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7, 2022</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r>
        <w:rPr>
          <w:rFonts w:ascii="Times New Roman" w:cs="Times New Roman" w:eastAsia="Times New Roman" w:hAnsi="Times New Roman"/>
          <w:sz w:val="29"/>
          <w:szCs w:val="29"/>
          <w:color w:val="auto"/>
        </w:rPr>
        <w:t>.</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134"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68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6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48"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6"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60" w:right="159"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622300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107950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right="5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On April 7, 2022, Calavo’s board of directors approved plans to reorganize its business to execute Project Uno integration efforts. As a result of the reorganization, the positions of Chief Operations Officer, held by Mark Lodge, and Chief Accounting Officer, held by Joel Silva, were eliminated effective as of April 13, 2022. Mark Lodge will remain an employee in a non-executive capacity until April 22, 2022.</w:t>
      </w:r>
    </w:p>
    <w:p>
      <w:pPr>
        <w:spacing w:after="0" w:line="180" w:lineRule="exact"/>
        <w:rPr>
          <w:sz w:val="20"/>
          <w:szCs w:val="20"/>
          <w:color w:val="auto"/>
        </w:rPr>
      </w:pPr>
    </w:p>
    <w:p>
      <w:pPr>
        <w:ind w:left="60" w:right="539" w:firstLine="324"/>
        <w:spacing w:after="0" w:line="266" w:lineRule="auto"/>
        <w:rPr>
          <w:sz w:val="20"/>
          <w:szCs w:val="20"/>
          <w:color w:val="auto"/>
        </w:rPr>
      </w:pPr>
      <w:r>
        <w:rPr>
          <w:rFonts w:ascii="Times New Roman" w:cs="Times New Roman" w:eastAsia="Times New Roman" w:hAnsi="Times New Roman"/>
          <w:sz w:val="18"/>
          <w:szCs w:val="18"/>
          <w:color w:val="auto"/>
        </w:rPr>
        <w:t>Additionally, Ron Araiza, Executive Vice President, Foods and RFG Sales, will remain an employee in a non-executive capacity as interim Prepared SVP/General Manager until a successor is identified or through his retirement which is anticipated on October 31, 2022.</w:t>
      </w:r>
    </w:p>
    <w:p>
      <w:pPr>
        <w:spacing w:after="0" w:line="17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Mr. Lodge will be entitled to severance compensation pursuant to his Employment Agreement, dated August 10, 2020, a copy of which is filed as Exhibit 10.1 Calavo’s Current Report on Form 8-K filed on August 13, 2020. In addition, Mr. Silva will be entitled to severance compensation pursuant to his Employment Agreement.</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60" w:right="119" w:firstLine="270"/>
        <w:spacing w:after="0" w:line="254" w:lineRule="auto"/>
        <w:rPr>
          <w:sz w:val="20"/>
          <w:szCs w:val="20"/>
          <w:color w:val="auto"/>
        </w:rPr>
      </w:pPr>
      <w:r>
        <w:rPr>
          <w:rFonts w:ascii="Times New Roman" w:cs="Times New Roman" w:eastAsia="Times New Roman" w:hAnsi="Times New Roman"/>
          <w:sz w:val="18"/>
          <w:szCs w:val="18"/>
          <w:color w:val="auto"/>
        </w:rPr>
        <w:t>On April 13, 2022, the Company issued a press release announcing the reorganization of its business, including the reorganization into two reporting segments, Grown and Prepared. The Grown segment will consist of fresh avocados, tomatoes and papaya. The Prepared segment will comprise all other products including fresh cut fruits and vegetables, ready-to-eat sandwiches, wraps, salads and snacks, guacamole, and salsa sold at retail and food service as well as avocado pulp sold to food service. The two segments each will be led by a Senior Vice President/General Manager responsible for sales, earnings, strategy, international growth, customer fulfillment, grower/supplier relations and new product development. Initially, those leaders are Robert Wedin for Grown and Ronald Araiza, on an interim basis, for Prepared. A copy of the press release is filed as Exhibit 99.1 hereto and incorporated herein by reference.</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440" w:hanging="390"/>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8"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w:anchor="page4">
        <w:r>
          <w:rPr>
            <w:rFonts w:ascii="Times New Roman" w:cs="Times New Roman" w:eastAsia="Times New Roman" w:hAnsi="Times New Roman"/>
            <w:sz w:val="18"/>
            <w:szCs w:val="18"/>
            <w:u w:val="single" w:color="auto"/>
            <w:color w:val="0000EE"/>
          </w:rPr>
          <w:t>Press Release dated April 13, 2022</w:t>
        </w:r>
      </w:hyperlink>
    </w:p>
    <w:p>
      <w:pPr>
        <w:spacing w:after="0" w:line="2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917575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13, 2022</w:t>
      </w:r>
    </w:p>
    <w:p>
      <w:pPr>
        <w:spacing w:after="0" w:line="20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17145</wp:posOffset>
            </wp:positionV>
            <wp:extent cx="253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Brian Kocher</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657225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168910</wp:posOffset>
            </wp:positionV>
            <wp:extent cx="1217295" cy="1183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1729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PMingLiU" w:cs="PMingLiU" w:eastAsia="PMingLiU" w:hAnsi="PMingLiU"/>
          <w:sz w:val="25"/>
          <w:szCs w:val="25"/>
          <w:b w:val="1"/>
          <w:bCs w:val="1"/>
          <w:color w:val="auto"/>
        </w:rPr>
        <w:t>Calavo Growers, Inc. Announces Business Reorganizaon</w:t>
      </w:r>
    </w:p>
    <w:p>
      <w:pPr>
        <w:spacing w:after="0" w:line="289" w:lineRule="exact"/>
        <w:rPr>
          <w:sz w:val="20"/>
          <w:szCs w:val="20"/>
          <w:color w:val="auto"/>
        </w:rPr>
      </w:pPr>
    </w:p>
    <w:p>
      <w:pPr>
        <w:jc w:val="both"/>
        <w:ind w:right="140"/>
        <w:spacing w:after="0" w:line="236" w:lineRule="auto"/>
        <w:rPr>
          <w:sz w:val="20"/>
          <w:szCs w:val="20"/>
          <w:color w:val="auto"/>
        </w:rPr>
      </w:pPr>
      <w:r>
        <w:rPr>
          <w:rFonts w:ascii="Calibri" w:cs="Calibri" w:eastAsia="Calibri" w:hAnsi="Calibri"/>
          <w:sz w:val="22"/>
          <w:szCs w:val="22"/>
          <w:b w:val="1"/>
          <w:bCs w:val="1"/>
          <w:color w:val="auto"/>
        </w:rPr>
        <w:t xml:space="preserve">SANTA PAULA, Calif., April 13, 2022—Calavo Growers, Inc. </w:t>
      </w:r>
      <w:r>
        <w:rPr>
          <w:rFonts w:ascii="PMingLiU" w:cs="PMingLiU" w:eastAsia="PMingLiU" w:hAnsi="PMingLiU"/>
          <w:sz w:val="22"/>
          <w:szCs w:val="22"/>
          <w:color w:val="auto"/>
        </w:rPr>
        <w:t>(Nasdaq-GS: CVGW) (“Calavo” or the “Company”), a</w:t>
      </w:r>
      <w:r>
        <w:rPr>
          <w:rFonts w:ascii="Calibri" w:cs="Calibri" w:eastAsia="Calibri" w:hAnsi="Calibri"/>
          <w:sz w:val="22"/>
          <w:szCs w:val="22"/>
          <w:b w:val="1"/>
          <w:bCs w:val="1"/>
          <w:color w:val="auto"/>
        </w:rPr>
        <w:t xml:space="preserve"> </w:t>
      </w:r>
      <w:r>
        <w:rPr>
          <w:rFonts w:ascii="PMingLiU" w:cs="PMingLiU" w:eastAsia="PMingLiU" w:hAnsi="PMingLiU"/>
          <w:sz w:val="22"/>
          <w:szCs w:val="22"/>
          <w:color w:val="auto"/>
        </w:rPr>
        <w:t>global avocado-industry leader and provider of value-added fresh food, today announced plans to reorganize its business to execute Project Uno integraon e orts and beer serve customers while improving e ciencies and cost savings.</w:t>
      </w:r>
    </w:p>
    <w:p>
      <w:pPr>
        <w:spacing w:after="0" w:line="282" w:lineRule="exact"/>
        <w:rPr>
          <w:sz w:val="20"/>
          <w:szCs w:val="20"/>
          <w:color w:val="auto"/>
        </w:rPr>
      </w:pPr>
    </w:p>
    <w:p>
      <w:pPr>
        <w:ind w:right="200"/>
        <w:spacing w:after="0" w:line="244" w:lineRule="auto"/>
        <w:rPr>
          <w:sz w:val="20"/>
          <w:szCs w:val="20"/>
          <w:color w:val="auto"/>
        </w:rPr>
      </w:pPr>
      <w:r>
        <w:rPr>
          <w:rFonts w:ascii="PMingLiU" w:cs="PMingLiU" w:eastAsia="PMingLiU" w:hAnsi="PMingLiU"/>
          <w:sz w:val="22"/>
          <w:szCs w:val="22"/>
          <w:color w:val="auto"/>
        </w:rPr>
        <w:t>The Company is now organized into two reporng segments, Grown and Prepared. The Grown segment will consist of fresh avocados, tomatoes and papaya. The Prepared segment will comprise all other products including fresh cut fruits and vegetables, ready-to-eat sandwiches, wraps, salads and snacks, guacamole, and salsa sold at retail and food service as well as avocado pulp sold to food service. The two segments each will be led by a Senior Vice President/General Manager responsible for sales, earnings, strategy, internaonal growth, customer fulfillment, grower/supplier relaons and new product development.</w:t>
      </w:r>
    </w:p>
    <w:p>
      <w:pPr>
        <w:spacing w:after="0" w:line="281" w:lineRule="exact"/>
        <w:rPr>
          <w:sz w:val="20"/>
          <w:szCs w:val="20"/>
          <w:color w:val="auto"/>
        </w:rPr>
      </w:pPr>
    </w:p>
    <w:p>
      <w:pPr>
        <w:ind w:right="40"/>
        <w:spacing w:after="0" w:line="243" w:lineRule="auto"/>
        <w:rPr>
          <w:sz w:val="20"/>
          <w:szCs w:val="20"/>
          <w:color w:val="auto"/>
        </w:rPr>
      </w:pPr>
      <w:r>
        <w:rPr>
          <w:rFonts w:ascii="PMingLiU" w:cs="PMingLiU" w:eastAsia="PMingLiU" w:hAnsi="PMingLiU"/>
          <w:sz w:val="22"/>
          <w:szCs w:val="22"/>
          <w:color w:val="auto"/>
        </w:rPr>
        <w:t>“The new organizaonal structure will bring clarity to the decision-making process and increase speed of execuon to capture e ciencies and generate growth,” said Brian W. Kocher, Calavo’s President and Chief Execuve O cer. “By aligning product fulfillment responsibilies with P&amp;L management, we will beer serve our customers with a cost-e ecve and market-focused organizaon.”</w:t>
      </w:r>
    </w:p>
    <w:p>
      <w:pPr>
        <w:spacing w:after="0" w:line="282" w:lineRule="exact"/>
        <w:rPr>
          <w:sz w:val="20"/>
          <w:szCs w:val="20"/>
          <w:color w:val="auto"/>
        </w:rPr>
      </w:pPr>
    </w:p>
    <w:p>
      <w:pPr>
        <w:ind w:right="20"/>
        <w:spacing w:after="0" w:line="242" w:lineRule="auto"/>
        <w:rPr>
          <w:sz w:val="20"/>
          <w:szCs w:val="20"/>
          <w:color w:val="auto"/>
        </w:rPr>
      </w:pPr>
      <w:r>
        <w:rPr>
          <w:rFonts w:ascii="PMingLiU" w:cs="PMingLiU" w:eastAsia="PMingLiU" w:hAnsi="PMingLiU"/>
          <w:sz w:val="22"/>
          <w:szCs w:val="22"/>
          <w:color w:val="auto"/>
        </w:rPr>
        <w:t>In addion to the Grown SVP/General Manager, Rob Wedin, and the interim Prepared SVP/General Manager, Ron Araiza, reporng to Kocher will be leaders with responsibilies for compliance and policy making who have companywide reach and influence.</w:t>
      </w:r>
    </w:p>
    <w:p>
      <w:pPr>
        <w:ind w:left="660" w:hanging="328"/>
        <w:spacing w:after="0" w:line="237" w:lineRule="auto"/>
        <w:tabs>
          <w:tab w:leader="none" w:pos="660" w:val="left"/>
        </w:tabs>
        <w:numPr>
          <w:ilvl w:val="0"/>
          <w:numId w:val="3"/>
        </w:numPr>
        <w:rPr>
          <w:rFonts w:ascii="Times New Roman" w:cs="Times New Roman" w:eastAsia="Times New Roman" w:hAnsi="Times New Roman"/>
          <w:sz w:val="18"/>
          <w:szCs w:val="18"/>
          <w:color w:val="auto"/>
        </w:rPr>
      </w:pPr>
      <w:r>
        <w:rPr>
          <w:rFonts w:ascii="PMingLiU" w:cs="PMingLiU" w:eastAsia="PMingLiU" w:hAnsi="PMingLiU"/>
          <w:sz w:val="20"/>
          <w:szCs w:val="20"/>
          <w:color w:val="auto"/>
        </w:rPr>
        <w:t>Chief Financial O cer Mariela Matute</w:t>
      </w:r>
    </w:p>
    <w:p>
      <w:pPr>
        <w:spacing w:after="0" w:line="6"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3"/>
        </w:numPr>
        <w:rPr>
          <w:rFonts w:ascii="Times New Roman" w:cs="Times New Roman" w:eastAsia="Times New Roman" w:hAnsi="Times New Roman"/>
          <w:sz w:val="18"/>
          <w:szCs w:val="18"/>
          <w:color w:val="auto"/>
        </w:rPr>
      </w:pPr>
      <w:r>
        <w:rPr>
          <w:rFonts w:ascii="PMingLiU" w:cs="PMingLiU" w:eastAsia="PMingLiU" w:hAnsi="PMingLiU"/>
          <w:sz w:val="20"/>
          <w:szCs w:val="20"/>
          <w:color w:val="auto"/>
        </w:rPr>
        <w:t>Chief Human Resources O cer Graciela Montgomery</w:t>
      </w:r>
    </w:p>
    <w:p>
      <w:pPr>
        <w:spacing w:after="0" w:line="6"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3"/>
        </w:numPr>
        <w:rPr>
          <w:rFonts w:ascii="Times New Roman" w:cs="Times New Roman" w:eastAsia="Times New Roman" w:hAnsi="Times New Roman"/>
          <w:sz w:val="18"/>
          <w:szCs w:val="18"/>
          <w:color w:val="auto"/>
        </w:rPr>
      </w:pPr>
      <w:r>
        <w:rPr>
          <w:rFonts w:ascii="PMingLiU" w:cs="PMingLiU" w:eastAsia="PMingLiU" w:hAnsi="PMingLiU"/>
          <w:sz w:val="20"/>
          <w:szCs w:val="20"/>
          <w:color w:val="auto"/>
        </w:rPr>
        <w:t>Vice President Shared Supply Chain to be named</w:t>
      </w:r>
    </w:p>
    <w:p>
      <w:pPr>
        <w:spacing w:after="0" w:line="6"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3"/>
        </w:numPr>
        <w:rPr>
          <w:rFonts w:ascii="Times New Roman" w:cs="Times New Roman" w:eastAsia="Times New Roman" w:hAnsi="Times New Roman"/>
          <w:sz w:val="18"/>
          <w:szCs w:val="18"/>
          <w:color w:val="auto"/>
        </w:rPr>
      </w:pPr>
      <w:r>
        <w:rPr>
          <w:rFonts w:ascii="PMingLiU" w:cs="PMingLiU" w:eastAsia="PMingLiU" w:hAnsi="PMingLiU"/>
          <w:sz w:val="20"/>
          <w:szCs w:val="20"/>
          <w:color w:val="auto"/>
        </w:rPr>
        <w:t>Vice President Communicaons, Markeng &amp; ESG Thomas Federl</w:t>
      </w:r>
    </w:p>
    <w:p>
      <w:pPr>
        <w:spacing w:after="0" w:line="6"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3"/>
        </w:numPr>
        <w:rPr>
          <w:rFonts w:ascii="Times New Roman" w:cs="Times New Roman" w:eastAsia="Times New Roman" w:hAnsi="Times New Roman"/>
          <w:sz w:val="18"/>
          <w:szCs w:val="18"/>
          <w:color w:val="auto"/>
        </w:rPr>
      </w:pPr>
      <w:r>
        <w:rPr>
          <w:rFonts w:ascii="PMingLiU" w:cs="PMingLiU" w:eastAsia="PMingLiU" w:hAnsi="PMingLiU"/>
          <w:sz w:val="20"/>
          <w:szCs w:val="20"/>
          <w:color w:val="auto"/>
        </w:rPr>
        <w:t>Vice President Calavo de Mexico Dionisio Orz</w:t>
      </w:r>
    </w:p>
    <w:p>
      <w:pPr>
        <w:spacing w:after="0" w:line="6"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3"/>
        </w:numPr>
        <w:rPr>
          <w:rFonts w:ascii="Times New Roman" w:cs="Times New Roman" w:eastAsia="Times New Roman" w:hAnsi="Times New Roman"/>
          <w:sz w:val="18"/>
          <w:szCs w:val="18"/>
          <w:color w:val="auto"/>
        </w:rPr>
      </w:pPr>
      <w:r>
        <w:rPr>
          <w:rFonts w:ascii="PMingLiU" w:cs="PMingLiU" w:eastAsia="PMingLiU" w:hAnsi="PMingLiU"/>
          <w:sz w:val="20"/>
          <w:szCs w:val="20"/>
          <w:color w:val="auto"/>
        </w:rPr>
        <w:t>Vice President Jalisco Operaons Eloy Hintz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801370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i w:val="1"/>
          <w:iCs w:val="1"/>
          <w:color w:val="auto"/>
        </w:rPr>
        <w:t>Calavo Growers, Inc.</w:t>
      </w:r>
    </w:p>
    <w:p>
      <w:pPr>
        <w:spacing w:after="0" w:line="235" w:lineRule="auto"/>
        <w:rPr>
          <w:sz w:val="20"/>
          <w:szCs w:val="20"/>
          <w:color w:val="auto"/>
        </w:rPr>
      </w:pPr>
      <w:r>
        <w:rPr>
          <w:rFonts w:ascii="Calibri" w:cs="Calibri" w:eastAsia="Calibri" w:hAnsi="Calibri"/>
          <w:sz w:val="18"/>
          <w:szCs w:val="18"/>
          <w:i w:val="1"/>
          <w:iCs w:val="1"/>
          <w:color w:val="auto"/>
        </w:rPr>
        <w:t>Page 2 of 4</w:t>
      </w:r>
    </w:p>
    <w:p>
      <w:pPr>
        <w:spacing w:after="0" w:line="200" w:lineRule="exact"/>
        <w:rPr>
          <w:sz w:val="20"/>
          <w:szCs w:val="20"/>
          <w:color w:val="auto"/>
        </w:rPr>
      </w:pPr>
    </w:p>
    <w:p>
      <w:pPr>
        <w:spacing w:after="0" w:line="295" w:lineRule="exact"/>
        <w:rPr>
          <w:sz w:val="20"/>
          <w:szCs w:val="20"/>
          <w:color w:val="auto"/>
        </w:rPr>
      </w:pPr>
    </w:p>
    <w:p>
      <w:pPr>
        <w:ind w:right="260"/>
        <w:spacing w:after="0" w:line="239" w:lineRule="auto"/>
        <w:rPr>
          <w:sz w:val="20"/>
          <w:szCs w:val="20"/>
          <w:color w:val="auto"/>
        </w:rPr>
      </w:pPr>
      <w:r>
        <w:rPr>
          <w:rFonts w:ascii="PMingLiU" w:cs="PMingLiU" w:eastAsia="PMingLiU" w:hAnsi="PMingLiU"/>
          <w:sz w:val="22"/>
          <w:szCs w:val="22"/>
          <w:color w:val="auto"/>
        </w:rPr>
        <w:t>Matute and Montgomery, who joined Calavo in October, will remain in their posions. Federl joined Calavo on March 28, and Hintz joined April 4. The other leadership posions are in the process of being filled.</w:t>
      </w:r>
    </w:p>
    <w:p>
      <w:pPr>
        <w:spacing w:after="0" w:line="163" w:lineRule="exact"/>
        <w:rPr>
          <w:sz w:val="20"/>
          <w:szCs w:val="20"/>
          <w:color w:val="auto"/>
        </w:rPr>
      </w:pPr>
    </w:p>
    <w:p>
      <w:pPr>
        <w:jc w:val="both"/>
        <w:ind w:right="160"/>
        <w:spacing w:after="0" w:line="243" w:lineRule="auto"/>
        <w:rPr>
          <w:sz w:val="20"/>
          <w:szCs w:val="20"/>
          <w:color w:val="auto"/>
        </w:rPr>
      </w:pPr>
      <w:r>
        <w:rPr>
          <w:rFonts w:ascii="PMingLiU" w:cs="PMingLiU" w:eastAsia="PMingLiU" w:hAnsi="PMingLiU"/>
          <w:sz w:val="22"/>
          <w:szCs w:val="22"/>
          <w:color w:val="auto"/>
        </w:rPr>
        <w:t>“We have moved quickly to establish an e cient operang structure and fill these roles while ensuring we get the right leaders for success,” Kocher said. “By finding great leaders, clarifying their responsibilies, idenfying accountabili]es and arming the organizaon with processes and services to execute, we will posioon Calavo for long-term profitable growth.”</w:t>
      </w:r>
    </w:p>
    <w:p>
      <w:pPr>
        <w:spacing w:after="0" w:line="147" w:lineRule="exact"/>
        <w:rPr>
          <w:sz w:val="20"/>
          <w:szCs w:val="20"/>
          <w:color w:val="auto"/>
        </w:rPr>
      </w:pPr>
    </w:p>
    <w:p>
      <w:pPr>
        <w:ind w:right="120"/>
        <w:spacing w:after="0" w:line="243" w:lineRule="auto"/>
        <w:rPr>
          <w:sz w:val="20"/>
          <w:szCs w:val="20"/>
          <w:color w:val="auto"/>
        </w:rPr>
      </w:pPr>
      <w:r>
        <w:rPr>
          <w:rFonts w:ascii="PMingLiU" w:cs="PMingLiU" w:eastAsia="PMingLiU" w:hAnsi="PMingLiU"/>
          <w:sz w:val="22"/>
          <w:szCs w:val="22"/>
          <w:color w:val="auto"/>
        </w:rPr>
        <w:t>The reorganizaon is part of Calavo’s Project Uno, a profit improvement project, that includes pricing iniaves, SKU raonalizaon, unified procurement, consolidated freight and opmizing administrave funcons across all business units. The company recently announced a brand refresh, which introduced the new Calavo brand identy and logo and combined all business units under One Calavo Brand.</w:t>
      </w:r>
    </w:p>
    <w:p>
      <w:pPr>
        <w:spacing w:after="0" w:line="160" w:lineRule="exact"/>
        <w:rPr>
          <w:sz w:val="20"/>
          <w:szCs w:val="20"/>
          <w:color w:val="auto"/>
        </w:rPr>
      </w:pPr>
    </w:p>
    <w:p>
      <w:pPr>
        <w:spacing w:after="0" w:line="243" w:lineRule="auto"/>
        <w:rPr>
          <w:sz w:val="20"/>
          <w:szCs w:val="20"/>
          <w:color w:val="auto"/>
        </w:rPr>
      </w:pPr>
      <w:r>
        <w:rPr>
          <w:rFonts w:ascii="PMingLiU" w:cs="PMingLiU" w:eastAsia="PMingLiU" w:hAnsi="PMingLiU"/>
          <w:sz w:val="22"/>
          <w:szCs w:val="22"/>
          <w:color w:val="auto"/>
        </w:rPr>
        <w:t>As a result of the reorganizaon, the posiZon of Chief Operaons O cer, among other roles in the organizaon, is being eliminated. Ancipated first year savings in Selling, General and Administrave expenses associated with reduced posions are expected to o set the costs associated with the reorganizaon and investment in talent to fill the new roles. Ongoing cost savings are expected to amount to over $2 million per year.</w:t>
      </w:r>
    </w:p>
    <w:p>
      <w:pPr>
        <w:spacing w:after="0" w:line="14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Calavo Growers, Inc.</w:t>
      </w:r>
    </w:p>
    <w:p>
      <w:pPr>
        <w:spacing w:after="0" w:line="12" w:lineRule="exact"/>
        <w:rPr>
          <w:sz w:val="20"/>
          <w:szCs w:val="20"/>
          <w:color w:val="auto"/>
        </w:rPr>
      </w:pPr>
    </w:p>
    <w:p>
      <w:pPr>
        <w:ind w:right="40"/>
        <w:spacing w:after="0" w:line="242" w:lineRule="auto"/>
        <w:rPr>
          <w:sz w:val="20"/>
          <w:szCs w:val="20"/>
          <w:color w:val="auto"/>
        </w:rPr>
      </w:pPr>
      <w:r>
        <w:rPr>
          <w:rFonts w:ascii="PMingLiU" w:cs="PMingLiU" w:eastAsia="PMingLiU" w:hAnsi="PMingLiU"/>
          <w:sz w:val="22"/>
          <w:szCs w:val="22"/>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w:t>
      </w:r>
    </w:p>
    <w:p>
      <w:pPr>
        <w:spacing w:after="0" w:line="282" w:lineRule="exact"/>
        <w:rPr>
          <w:sz w:val="20"/>
          <w:szCs w:val="20"/>
          <w:color w:val="auto"/>
        </w:rPr>
      </w:pPr>
    </w:p>
    <w:p>
      <w:pPr>
        <w:ind w:right="100"/>
        <w:spacing w:after="0" w:line="239" w:lineRule="auto"/>
        <w:rPr>
          <w:sz w:val="20"/>
          <w:szCs w:val="20"/>
          <w:color w:val="auto"/>
        </w:rPr>
      </w:pPr>
      <w:r>
        <w:rPr>
          <w:rFonts w:ascii="PMingLiU" w:cs="PMingLiU" w:eastAsia="PMingLiU" w:hAnsi="PMingLiU"/>
          <w:sz w:val="22"/>
          <w:szCs w:val="22"/>
          <w:color w:val="auto"/>
        </w:rPr>
        <w:t xml:space="preserve">Founded in 1924, Calavo has a rich culture of constant innovaon, sustainable pracces and market growth. The company now serves retail grocery, foodservice, club stores, mass merchandisers, food distributors and wholesalers worldwide. Calavo is headquartered in Santa Paula, Calif., with processing plants and packing facili]es throughout the U.S. and Mexico. Learn more about </w:t>
      </w:r>
      <w:r>
        <w:rPr>
          <w:rFonts w:ascii="Calibri" w:cs="Calibri" w:eastAsia="Calibri" w:hAnsi="Calibri"/>
          <w:sz w:val="22"/>
          <w:szCs w:val="22"/>
          <w:i w:val="1"/>
          <w:iCs w:val="1"/>
          <w:color w:val="auto"/>
        </w:rPr>
        <w:t>The Family of Fresh™</w:t>
      </w:r>
      <w:r>
        <w:rPr>
          <w:rFonts w:ascii="PMingLiU" w:cs="PMingLiU" w:eastAsia="PMingLiU" w:hAnsi="PMingLiU"/>
          <w:sz w:val="22"/>
          <w:szCs w:val="22"/>
          <w:color w:val="auto"/>
        </w:rPr>
        <w:t xml:space="preserve"> at calavo.com.</w:t>
      </w:r>
    </w:p>
    <w:p>
      <w:pPr>
        <w:spacing w:after="0" w:line="27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12" w:lineRule="exact"/>
        <w:rPr>
          <w:sz w:val="20"/>
          <w:szCs w:val="20"/>
          <w:color w:val="auto"/>
        </w:rPr>
      </w:pPr>
    </w:p>
    <w:p>
      <w:pPr>
        <w:ind w:right="120"/>
        <w:spacing w:after="0" w:line="244" w:lineRule="auto"/>
        <w:rPr>
          <w:sz w:val="20"/>
          <w:szCs w:val="20"/>
          <w:color w:val="auto"/>
        </w:rPr>
      </w:pPr>
      <w:r>
        <w:rPr>
          <w:rFonts w:ascii="PMingLiU" w:cs="PMingLiU" w:eastAsia="PMingLiU" w:hAnsi="PMingLiU"/>
          <w:sz w:val="22"/>
          <w:szCs w:val="22"/>
          <w:color w:val="auto"/>
        </w:rPr>
        <w:t>This press release contains statements relang to future events and results of Calavo (including certain projecons and business trends) that are "forward-looking statements," as defined in the Private Securies Ligaon Reform Act of 1995, that involve risks, uncertaines and assumpons. These statements include, but are not limited to, statements relang to filling leadership posions, ancipated inial and ongoing cost savings, ancipated costs associated with the reorganizaon, long-term growth and profitability posioning. These statements are based on our current expectaons and are not promises or guarantees. If any of the risks or uncertaines ever materialize or the assumpons prove incorrect, the results of Calavo may di er materially from those expressed or implied by such forward-looking statements and assumpons. Risks and uncertaines that may cause our actual results to be materially di erent from any future results expressed or implied by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705485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52" w:right="101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i w:val="1"/>
          <w:iCs w:val="1"/>
          <w:color w:val="auto"/>
        </w:rPr>
        <w:t>Calavo Growers, Inc.</w:t>
      </w:r>
    </w:p>
    <w:p>
      <w:pPr>
        <w:spacing w:after="0" w:line="235" w:lineRule="auto"/>
        <w:rPr>
          <w:sz w:val="20"/>
          <w:szCs w:val="20"/>
          <w:color w:val="auto"/>
        </w:rPr>
      </w:pPr>
      <w:r>
        <w:rPr>
          <w:rFonts w:ascii="Calibri" w:cs="Calibri" w:eastAsia="Calibri" w:hAnsi="Calibri"/>
          <w:sz w:val="18"/>
          <w:szCs w:val="18"/>
          <w:i w:val="1"/>
          <w:iCs w:val="1"/>
          <w:color w:val="auto"/>
        </w:rPr>
        <w:t>Page 3 of 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45" w:lineRule="auto"/>
        <w:rPr>
          <w:sz w:val="20"/>
          <w:szCs w:val="20"/>
          <w:color w:val="auto"/>
        </w:rPr>
      </w:pPr>
      <w:r>
        <w:rPr>
          <w:rFonts w:ascii="PMingLiU" w:cs="PMingLiU" w:eastAsia="PMingLiU" w:hAnsi="PMingLiU"/>
          <w:sz w:val="22"/>
          <w:szCs w:val="22"/>
          <w:color w:val="auto"/>
        </w:rPr>
        <w:t>include, but are not limited to, the following: the impact of the COVID-19 pandemic on our business, results of operaons, and financial condion, including, but not limited to, disrupons in the manufacturing of our products and the operaons of the related supply chains supporZng our ability to deliver our products to consumers, impacts on our employees and uncertainty regarding our ability to implement health and safety measures for our employees, uncertaines regarding consumer demand for our products, impact on our food service customers, increased costs, the impact of governmental trade restricons imposed as a result of COVID-19 and the possible adverse impact of COVID-19 on our goodwill and other intangible assets; our ability to raise prices, parcularly in our RFG and Foods segments, to o set increase costs of goods sold, and the impact of such price increases on future net sales; seasonality of our business; sensi}vity of our business to changes in market prices of avocados and other agricultural products and other raw materials including fuel, packaging and paper; potenal disrupons to our supply chain; risks associated with potenal future acquisions, including integraon; potenal exposure to data breaches and other cyber-aacks on our systems or those of our suppliers or customers; dependence on large customers; dependence on key personnel, including personnel that have not yet been hired, and the ability of our future management team to work together successfully; potenal for labor disputes; reliance on co-packers for a por on of our producon needs; compeve pressures, including from foreign growers; risks of recalls and food-related injuries to our customers; changing consumer preferences; the impact of environmental regulaons, including those related to climate change; our ability to develop and transion new products and services and enhance exisng products and services to meet customer needs; risks associated with doing business internaonally (including possible restricve U.S. and foreign governmental acons, such as restricons on transfers of funds and COVID-19 and trade protecon measures such as import/export/customs du es, tari s and/or quotas and currency fluctuaons); risks associated with receivables from, loans to and/or equity investments in unconsolidated enes; volality in the value of our common stock; the impact of macroeconomic trends and events; and the resolu}on of pending invesgaons, legal claims and tax disputes, including an assessment imposed by the Mexican Tax Administrave Service (the “SAT”) and our defenses against collecoon acvies commenced by the SAT. For a further discussion of these risks and uncertaines and other risks and uncertaines that we face, please see the risk factors described in our most recent Annual Report on Form 10-K filed with the SecuriÁes and Exchange Commission and any subsequent updates that may be contained in our Quarterly Reports on Form 10-Q and other filings with the Securioes and Exchange Commission. Forward-looking statements contained in this press release are made only as of the date of this press release, and we undertake no obligaon to update or revise the forward-looking statements, whether as a result of new informaon, future events or otherwise.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740" w:type="dxa"/>
            <w:vAlign w:val="bottom"/>
          </w:tcPr>
          <w:p>
            <w:pPr>
              <w:ind w:left="20"/>
              <w:spacing w:after="0"/>
              <w:rPr>
                <w:sz w:val="20"/>
                <w:szCs w:val="20"/>
                <w:color w:val="auto"/>
              </w:rPr>
            </w:pPr>
            <w:r>
              <w:rPr>
                <w:rFonts w:ascii="Calibri" w:cs="Calibri" w:eastAsia="Calibri" w:hAnsi="Calibri"/>
                <w:sz w:val="22"/>
                <w:szCs w:val="22"/>
                <w:b w:val="1"/>
                <w:bCs w:val="1"/>
                <w:color w:val="auto"/>
              </w:rPr>
              <w:t>Media Contact :</w:t>
            </w:r>
          </w:p>
        </w:tc>
        <w:tc>
          <w:tcPr>
            <w:tcW w:w="4180" w:type="dxa"/>
            <w:vAlign w:val="bottom"/>
          </w:tcPr>
          <w:p>
            <w:pPr>
              <w:ind w:left="980"/>
              <w:spacing w:after="0"/>
              <w:rPr>
                <w:sz w:val="20"/>
                <w:szCs w:val="20"/>
                <w:color w:val="auto"/>
              </w:rPr>
            </w:pPr>
            <w:r>
              <w:rPr>
                <w:rFonts w:ascii="Calibri" w:cs="Calibri" w:eastAsia="Calibri" w:hAnsi="Calibri"/>
                <w:sz w:val="22"/>
                <w:szCs w:val="22"/>
                <w:b w:val="1"/>
                <w:bCs w:val="1"/>
                <w:color w:val="auto"/>
              </w:rPr>
              <w:t>Investor Contact:</w:t>
            </w:r>
          </w:p>
        </w:tc>
      </w:tr>
      <w:tr>
        <w:trPr>
          <w:trHeight w:val="270"/>
        </w:trPr>
        <w:tc>
          <w:tcPr>
            <w:tcW w:w="5740" w:type="dxa"/>
            <w:vAlign w:val="bottom"/>
          </w:tcPr>
          <w:p>
            <w:pPr>
              <w:ind w:left="20"/>
              <w:spacing w:after="0"/>
              <w:rPr>
                <w:sz w:val="20"/>
                <w:szCs w:val="20"/>
                <w:color w:val="auto"/>
              </w:rPr>
            </w:pPr>
            <w:r>
              <w:rPr>
                <w:rFonts w:ascii="PMingLiU" w:cs="PMingLiU" w:eastAsia="PMingLiU" w:hAnsi="PMingLiU"/>
                <w:sz w:val="22"/>
                <w:szCs w:val="22"/>
                <w:color w:val="auto"/>
              </w:rPr>
              <w:t>Thomas Federl, VP Communicaons, Markeng &amp; ESG</w:t>
            </w:r>
          </w:p>
        </w:tc>
        <w:tc>
          <w:tcPr>
            <w:tcW w:w="4180" w:type="dxa"/>
            <w:vAlign w:val="bottom"/>
          </w:tcPr>
          <w:p>
            <w:pPr>
              <w:ind w:left="980"/>
              <w:spacing w:after="0"/>
              <w:rPr>
                <w:sz w:val="20"/>
                <w:szCs w:val="20"/>
                <w:color w:val="auto"/>
              </w:rPr>
            </w:pPr>
            <w:r>
              <w:rPr>
                <w:rFonts w:ascii="PMingLiU" w:cs="PMingLiU" w:eastAsia="PMingLiU" w:hAnsi="PMingLiU"/>
                <w:sz w:val="22"/>
                <w:szCs w:val="22"/>
                <w:color w:val="auto"/>
              </w:rPr>
              <w:t>Julie Kegley, SVP</w:t>
            </w:r>
          </w:p>
        </w:tc>
      </w:tr>
      <w:tr>
        <w:trPr>
          <w:trHeight w:val="272"/>
        </w:trPr>
        <w:tc>
          <w:tcPr>
            <w:tcW w:w="5740" w:type="dxa"/>
            <w:vAlign w:val="bottom"/>
          </w:tcPr>
          <w:p>
            <w:pPr>
              <w:ind w:left="20"/>
              <w:spacing w:after="0"/>
              <w:rPr>
                <w:sz w:val="20"/>
                <w:szCs w:val="20"/>
                <w:color w:val="auto"/>
              </w:rPr>
            </w:pPr>
            <w:r>
              <w:rPr>
                <w:rFonts w:ascii="PMingLiU" w:cs="PMingLiU" w:eastAsia="PMingLiU" w:hAnsi="PMingLiU"/>
                <w:sz w:val="22"/>
                <w:szCs w:val="22"/>
                <w:color w:val="auto"/>
              </w:rPr>
              <w:t>Calavo Growers, Inc.</w:t>
            </w:r>
          </w:p>
        </w:tc>
        <w:tc>
          <w:tcPr>
            <w:tcW w:w="4180" w:type="dxa"/>
            <w:vAlign w:val="bottom"/>
          </w:tcPr>
          <w:p>
            <w:pPr>
              <w:ind w:left="980"/>
              <w:spacing w:after="0"/>
              <w:rPr>
                <w:sz w:val="20"/>
                <w:szCs w:val="20"/>
                <w:color w:val="auto"/>
              </w:rPr>
            </w:pPr>
            <w:r>
              <w:rPr>
                <w:rFonts w:ascii="PMingLiU" w:cs="PMingLiU" w:eastAsia="PMingLiU" w:hAnsi="PMingLiU"/>
                <w:sz w:val="22"/>
                <w:szCs w:val="22"/>
                <w:color w:val="auto"/>
              </w:rPr>
              <w:t>Financial Profiles, Inc.</w:t>
            </w:r>
          </w:p>
        </w:tc>
      </w:tr>
      <w:tr>
        <w:trPr>
          <w:trHeight w:val="270"/>
        </w:trPr>
        <w:tc>
          <w:tcPr>
            <w:tcW w:w="5740" w:type="dxa"/>
            <w:vAlign w:val="bottom"/>
          </w:tcPr>
          <w:p>
            <w:pPr>
              <w:ind w:left="20"/>
              <w:spacing w:after="0"/>
              <w:rPr>
                <w:sz w:val="20"/>
                <w:szCs w:val="20"/>
                <w:color w:val="auto"/>
              </w:rPr>
            </w:pPr>
            <w:r>
              <w:rPr>
                <w:rFonts w:ascii="PMingLiU" w:cs="PMingLiU" w:eastAsia="PMingLiU" w:hAnsi="PMingLiU"/>
                <w:sz w:val="22"/>
                <w:szCs w:val="22"/>
                <w:color w:val="auto"/>
              </w:rPr>
              <w:t>Thomas.Federl@calavo.com</w:t>
            </w:r>
          </w:p>
        </w:tc>
        <w:tc>
          <w:tcPr>
            <w:tcW w:w="4180" w:type="dxa"/>
            <w:vAlign w:val="bottom"/>
          </w:tcPr>
          <w:p>
            <w:pPr>
              <w:ind w:left="980"/>
              <w:spacing w:after="0"/>
              <w:rPr>
                <w:sz w:val="20"/>
                <w:szCs w:val="20"/>
                <w:color w:val="auto"/>
              </w:rPr>
            </w:pPr>
            <w:r>
              <w:rPr>
                <w:rFonts w:ascii="PMingLiU" w:cs="PMingLiU" w:eastAsia="PMingLiU" w:hAnsi="PMingLiU"/>
                <w:sz w:val="22"/>
                <w:szCs w:val="22"/>
                <w:color w:val="auto"/>
              </w:rPr>
              <w:t>calavo@finprofiles.com</w:t>
            </w:r>
          </w:p>
        </w:tc>
      </w:tr>
      <w:tr>
        <w:trPr>
          <w:trHeight w:val="270"/>
        </w:trPr>
        <w:tc>
          <w:tcPr>
            <w:tcW w:w="5740" w:type="dxa"/>
            <w:vAlign w:val="bottom"/>
          </w:tcPr>
          <w:p>
            <w:pPr>
              <w:ind w:left="20"/>
              <w:spacing w:after="0"/>
              <w:rPr>
                <w:sz w:val="20"/>
                <w:szCs w:val="20"/>
                <w:color w:val="auto"/>
              </w:rPr>
            </w:pPr>
            <w:r>
              <w:rPr>
                <w:rFonts w:ascii="PMingLiU" w:cs="PMingLiU" w:eastAsia="PMingLiU" w:hAnsi="PMingLiU"/>
                <w:sz w:val="22"/>
                <w:szCs w:val="22"/>
                <w:color w:val="auto"/>
              </w:rPr>
              <w:t>843-801-4174</w:t>
            </w:r>
          </w:p>
        </w:tc>
        <w:tc>
          <w:tcPr>
            <w:tcW w:w="4180" w:type="dxa"/>
            <w:vAlign w:val="bottom"/>
          </w:tcPr>
          <w:p>
            <w:pPr>
              <w:ind w:left="980"/>
              <w:spacing w:after="0"/>
              <w:rPr>
                <w:sz w:val="20"/>
                <w:szCs w:val="20"/>
                <w:color w:val="auto"/>
              </w:rPr>
            </w:pPr>
            <w:r>
              <w:rPr>
                <w:rFonts w:ascii="PMingLiU" w:cs="PMingLiU" w:eastAsia="PMingLiU" w:hAnsi="PMingLiU"/>
                <w:sz w:val="22"/>
                <w:szCs w:val="22"/>
                <w:color w:val="auto"/>
              </w:rPr>
              <w:t>310-622-8246</w:t>
            </w:r>
          </w:p>
        </w:tc>
      </w:tr>
      <w:tr>
        <w:trPr>
          <w:trHeight w:val="790"/>
        </w:trPr>
        <w:tc>
          <w:tcPr>
            <w:tcW w:w="57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65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2022-04-13T14:02:52Z</dcterms:created>
  <dcterms:modified xsi:type="dcterms:W3CDTF">2022-04-13T14:02:52Z</dcterms:modified>
</cp:coreProperties>
</file>