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40" w:space="28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CALAVO GROWERS INC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1141A CUMMINGS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Limoneira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LMNR</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12/03/2018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543" w:type="dxa"/>
        <w:tblCellMar>
          <w:top w:w="0" w:type="dxa"/>
          <w:left w:w="0" w:type="dxa"/>
          <w:bottom w:w="0" w:type="dxa"/>
          <w:right w:w="0" w:type="dxa"/>
        </w:tblCellMar>
      </w:tblPr>
      <w:tr>
        <w:trPr>
          <w:trHeight w:val="16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spacing w:after="0"/>
              <w:rPr>
                <w:sz w:val="14"/>
                <w:szCs w:val="14"/>
                <w:color w:val="auto"/>
              </w:rPr>
            </w:pP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43"/>
        <w:spacing w:after="0"/>
        <w:rPr>
          <w:sz w:val="20"/>
          <w:szCs w:val="20"/>
          <w:color w:val="auto"/>
        </w:rPr>
      </w:pPr>
      <w:r>
        <w:rPr>
          <w:rFonts w:ascii="Arial" w:cs="Arial" w:eastAsia="Arial" w:hAnsi="Arial"/>
          <w:sz w:val="18"/>
          <w:szCs w:val="18"/>
          <w:color w:val="0000FF"/>
        </w:rPr>
        <w:t>Former 10% Owner</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SANTA PAULA CA</w:t>
            </w:r>
          </w:p>
        </w:tc>
        <w:tc>
          <w:tcPr>
            <w:tcW w:w="1680" w:type="dxa"/>
            <w:vAlign w:val="bottom"/>
          </w:tcPr>
          <w:p>
            <w:pPr>
              <w:ind w:left="420"/>
              <w:spacing w:after="0"/>
              <w:rPr>
                <w:sz w:val="20"/>
                <w:szCs w:val="20"/>
                <w:color w:val="auto"/>
              </w:rPr>
            </w:pPr>
            <w:r>
              <w:rPr>
                <w:rFonts w:ascii="Arial" w:cs="Arial" w:eastAsia="Arial" w:hAnsi="Arial"/>
                <w:sz w:val="18"/>
                <w:szCs w:val="18"/>
                <w:color w:val="0000FF"/>
              </w:rPr>
              <w:t>93060</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00"/>
              <w:spacing w:after="0"/>
              <w:rPr>
                <w:sz w:val="20"/>
                <w:szCs w:val="20"/>
                <w:color w:val="auto"/>
              </w:rPr>
            </w:pPr>
            <w:r>
              <w:rPr>
                <w:rFonts w:ascii="Arial" w:cs="Arial" w:eastAsia="Arial" w:hAnsi="Arial"/>
                <w:sz w:val="18"/>
                <w:szCs w:val="18"/>
                <w:color w:val="0000FF"/>
                <w:w w:val="99"/>
              </w:rPr>
              <w:t>12/03/2018</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8,275</w:t>
            </w:r>
          </w:p>
        </w:tc>
        <w:tc>
          <w:tcPr>
            <w:tcW w:w="5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23.8361</w:t>
            </w:r>
          </w:p>
        </w:tc>
        <w:tc>
          <w:tcPr>
            <w:tcW w:w="122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1,720,295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00"/>
              <w:spacing w:after="0"/>
              <w:rPr>
                <w:sz w:val="20"/>
                <w:szCs w:val="20"/>
                <w:color w:val="auto"/>
              </w:rPr>
            </w:pPr>
            <w:r>
              <w:rPr>
                <w:rFonts w:ascii="Arial" w:cs="Arial" w:eastAsia="Arial" w:hAnsi="Arial"/>
                <w:sz w:val="18"/>
                <w:szCs w:val="18"/>
                <w:color w:val="0000FF"/>
                <w:w w:val="99"/>
              </w:rPr>
              <w:t>12/04/2018</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1,110</w:t>
            </w:r>
          </w:p>
        </w:tc>
        <w:tc>
          <w:tcPr>
            <w:tcW w:w="5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23.3396</w:t>
            </w:r>
          </w:p>
        </w:tc>
        <w:tc>
          <w:tcPr>
            <w:tcW w:w="122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1,719,185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The sales reported in this Form 4 were effected pursuant to a 10b5-1 trading plan adopted by the Reporting Person on October 19, 2018.</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340"/>
        <w:spacing w:after="0" w:line="239" w:lineRule="auto"/>
        <w:rPr>
          <w:sz w:val="20"/>
          <w:szCs w:val="20"/>
          <w:color w:val="auto"/>
        </w:rPr>
      </w:pPr>
      <w:r>
        <w:rPr>
          <w:rFonts w:ascii="Arial" w:cs="Arial" w:eastAsia="Arial" w:hAnsi="Arial"/>
          <w:sz w:val="14"/>
          <w:szCs w:val="14"/>
          <w:color w:val="008000"/>
        </w:rPr>
        <w:t>As of the date of this Form 4, the Reporting Person is no longer a 10% owner of the equity securities of the Issuer. As a result, the Reporting Person is no longer subject to Section 16 in connection with its transactions in the equity securities of the Issuer and therefore will no longer report any such transactions on Form 4 or Form 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00" w:type="dxa"/>
            <w:vAlign w:val="bottom"/>
          </w:tcPr>
          <w:p>
            <w:pPr>
              <w:spacing w:after="0"/>
              <w:rPr>
                <w:sz w:val="20"/>
                <w:szCs w:val="20"/>
                <w:color w:val="auto"/>
              </w:rPr>
            </w:pPr>
            <w:r>
              <w:rPr>
                <w:rFonts w:ascii="Arial" w:cs="Arial" w:eastAsia="Arial" w:hAnsi="Arial"/>
                <w:sz w:val="18"/>
                <w:szCs w:val="18"/>
                <w:color w:val="0000FF"/>
                <w:w w:val="87"/>
              </w:rPr>
              <w:t>/s/ James Snyder, Controller</w:t>
            </w:r>
          </w:p>
        </w:tc>
        <w:tc>
          <w:tcPr>
            <w:tcW w:w="14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Arial" w:cs="Arial" w:eastAsia="Arial" w:hAnsi="Arial"/>
                <w:sz w:val="18"/>
                <w:szCs w:val="18"/>
                <w:color w:val="0000FF"/>
                <w:w w:val="86"/>
              </w:rPr>
              <w:t>12/05/2018</w:t>
            </w:r>
          </w:p>
        </w:tc>
      </w:tr>
      <w:tr>
        <w:trPr>
          <w:trHeight w:val="20"/>
        </w:trPr>
        <w:tc>
          <w:tcPr>
            <w:tcW w:w="2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00" w:type="dxa"/>
            <w:vAlign w:val="bottom"/>
          </w:tcPr>
          <w:p>
            <w:pPr>
              <w:spacing w:after="0"/>
              <w:rPr>
                <w:sz w:val="20"/>
                <w:szCs w:val="20"/>
                <w:color w:val="auto"/>
              </w:rPr>
            </w:pPr>
            <w:r>
              <w:rPr>
                <w:rFonts w:ascii="Arial" w:cs="Arial" w:eastAsia="Arial" w:hAnsi="Arial"/>
                <w:sz w:val="14"/>
                <w:szCs w:val="14"/>
                <w:color w:val="auto"/>
                <w:w w:val="97"/>
              </w:rPr>
              <w:t>** Signature of Reporting Person</w:t>
            </w:r>
          </w:p>
        </w:tc>
        <w:tc>
          <w:tcPr>
            <w:tcW w:w="140" w:type="dxa"/>
            <w:vAlign w:val="bottom"/>
          </w:tcPr>
          <w:p>
            <w:pPr>
              <w:spacing w:after="0"/>
              <w:rPr>
                <w:sz w:val="20"/>
                <w:szCs w:val="20"/>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33470" TargetMode="External"/><Relationship Id="rId13" Type="http://schemas.openxmlformats.org/officeDocument/2006/relationships/hyperlink" Target="http://www.sec.gov/cgi-bin/browse-edgar?action=getcompany&amp;CIK=0001342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2019-12-24T06:31:51Z</dcterms:created>
  <dcterms:modified xsi:type="dcterms:W3CDTF">2019-12-24T06:31:51Z</dcterms:modified>
</cp:coreProperties>
</file>