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377825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jc w:val="center"/>
        <w:ind w:right="20"/>
        <w:spacing w:after="0" w:line="194" w:lineRule="auto"/>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50165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18" w:lineRule="exact"/>
        <w:rPr>
          <w:sz w:val="24"/>
          <w:szCs w:val="24"/>
          <w:color w:val="auto"/>
        </w:rPr>
      </w:pPr>
    </w:p>
    <w:p>
      <w:pPr>
        <w:ind w:left="1500" w:hanging="536"/>
        <w:spacing w:after="0"/>
        <w:tabs>
          <w:tab w:leader="none" w:pos="15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w:t>
      </w:r>
    </w:p>
    <w:p>
      <w:pPr>
        <w:spacing w:after="0" w:line="25"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1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July 31, 2018</w:t>
      </w: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0" w:lineRule="exact"/>
        <w:rPr>
          <w:sz w:val="24"/>
          <w:szCs w:val="24"/>
          <w:color w:val="auto"/>
        </w:rPr>
      </w:pPr>
    </w:p>
    <w:p>
      <w:pPr>
        <w:ind w:left="1500" w:hanging="536"/>
        <w:spacing w:after="0"/>
        <w:tabs>
          <w:tab w:leader="none" w:pos="150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w:t>
      </w:r>
    </w:p>
    <w:p>
      <w:pPr>
        <w:spacing w:after="0" w:line="25" w:lineRule="exact"/>
        <w:rPr>
          <w:rFonts w:ascii="MS PGothic" w:cs="MS PGothic" w:eastAsia="MS PGothic" w:hAnsi="MS PGothic"/>
          <w:sz w:val="20"/>
          <w:szCs w:val="20"/>
          <w:color w:val="auto"/>
          <w:highlight w:val="black"/>
        </w:rPr>
      </w:pPr>
    </w:p>
    <w:p>
      <w:pPr>
        <w:ind w:left="150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1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4"/>
          <w:szCs w:val="34"/>
          <w:b w:val="1"/>
          <w:bCs w:val="1"/>
          <w:color w:val="auto"/>
        </w:rPr>
        <w:t>CALAVO GROWERS, INC.</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ectPr>
          <w:pgSz w:w="11900" w:h="16838" w:orient="portrait"/>
          <w:cols w:equalWidth="0" w:num="1">
            <w:col w:w="10400"/>
          </w:cols>
          <w:pgMar w:left="760" w:top="229" w:right="739" w:bottom="1440" w:gutter="0" w:footer="0" w:header="0"/>
        </w:sectPr>
      </w:pPr>
    </w:p>
    <w:p>
      <w:pPr>
        <w:spacing w:after="0" w:line="123"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5"/>
          <w:szCs w:val="15"/>
          <w:b w:val="1"/>
          <w:bCs w:val="1"/>
          <w:color w:val="auto"/>
        </w:rPr>
        <w:t>California</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33-0945304</w:t>
      </w:r>
    </w:p>
    <w:p>
      <w:pPr>
        <w:spacing w:after="0" w:line="97" w:lineRule="exact"/>
        <w:rPr>
          <w:sz w:val="24"/>
          <w:szCs w:val="24"/>
          <w:color w:val="auto"/>
        </w:rPr>
      </w:pPr>
    </w:p>
    <w:p>
      <w:pPr>
        <w:sectPr>
          <w:pgSz w:w="11900" w:h="16838" w:orient="portrait"/>
          <w:cols w:equalWidth="0" w:num="2">
            <w:col w:w="6680" w:space="720"/>
            <w:col w:w="3000"/>
          </w:cols>
          <w:pgMar w:left="760" w:top="229" w:right="7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200" w:lineRule="exact"/>
        <w:rPr>
          <w:sz w:val="24"/>
          <w:szCs w:val="24"/>
          <w:color w:val="auto"/>
        </w:rPr>
      </w:pPr>
    </w:p>
    <w:p>
      <w:pPr>
        <w:sectPr>
          <w:pgSz w:w="11900" w:h="16838" w:orient="portrait"/>
          <w:cols w:equalWidth="0" w:num="2">
            <w:col w:w="6160" w:space="720"/>
            <w:col w:w="3520"/>
          </w:cols>
          <w:pgMar w:left="760" w:top="229" w:right="7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1141-A Cummings Road</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Santa Paula, California  93060</w:t>
      </w:r>
    </w:p>
    <w:p>
      <w:pPr>
        <w:sectPr>
          <w:pgSz w:w="11900" w:h="16838" w:orient="portrait"/>
          <w:cols w:equalWidth="0" w:num="1">
            <w:col w:w="10400"/>
          </w:cols>
          <w:pgMar w:left="760" w:top="229" w:right="7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(805) 525-1245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180" w:lineRule="exact"/>
        <w:rPr>
          <w:sz w:val="24"/>
          <w:szCs w:val="24"/>
          <w:color w:val="auto"/>
        </w:rPr>
      </w:pPr>
    </w:p>
    <w:p>
      <w:pPr>
        <w:jc w:val="both"/>
        <w:ind w:right="6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84" w:lineRule="exact"/>
        <w:tabs>
          <w:tab w:leader="none" w:pos="5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13" w:lineRule="exact"/>
        <w:rPr>
          <w:sz w:val="24"/>
          <w:szCs w:val="24"/>
          <w:color w:val="auto"/>
        </w:rPr>
      </w:pPr>
    </w:p>
    <w:p>
      <w:pPr>
        <w:jc w:val="both"/>
        <w:ind w:right="14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0400"/>
          </w:cols>
          <w:pgMar w:left="760" w:top="229" w:right="739" w:bottom="1440" w:gutter="0" w:footer="0" w:header="0"/>
          <w:type w:val="continuous"/>
        </w:sectPr>
      </w:pPr>
    </w:p>
    <w:p>
      <w:pPr>
        <w:spacing w:after="0" w:line="152" w:lineRule="exact"/>
        <w:rPr>
          <w:sz w:val="24"/>
          <w:szCs w:val="24"/>
          <w:color w:val="auto"/>
        </w:rPr>
      </w:pPr>
    </w:p>
    <w:p>
      <w:pPr>
        <w:ind w:right="840"/>
        <w:spacing w:after="0" w:line="228"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Emerging growth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ind w:right="300" w:hanging="474"/>
        <w:spacing w:after="0" w:line="220"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 xml:space="preserve"> </w:t>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461" w:lineRule="exact"/>
        <w:rPr>
          <w:sz w:val="24"/>
          <w:szCs w:val="24"/>
          <w:color w:val="auto"/>
        </w:rPr>
      </w:pPr>
    </w:p>
    <w:p>
      <w:pPr>
        <w:sectPr>
          <w:pgSz w:w="11900" w:h="16838" w:orient="portrait"/>
          <w:cols w:equalWidth="0" w:num="3">
            <w:col w:w="2780" w:space="720"/>
            <w:col w:w="3660" w:space="720"/>
            <w:col w:w="2520"/>
          </w:cols>
          <w:pgMar w:left="760" w:top="229" w:right="739" w:bottom="1440" w:gutter="0" w:footer="0" w:header="0"/>
          <w:type w:val="continuous"/>
        </w:sectPr>
      </w:pPr>
    </w:p>
    <w:p>
      <w:pPr>
        <w:spacing w:after="0" w:line="22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5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Registrant's number of shares of common stock outstanding as of July 31, 2018 was 17,567,616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217805</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483870</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501015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826770</wp:posOffset>
            </wp:positionV>
            <wp:extent cx="66122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29" w:right="7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This Quarterly Report on Form 10-Q, including “Management’s Discussion and Analysis of Financial Condition and Results of Operations” in Item 2, contains forward-looking statements that involve risks, uncertainties and assumptions. If the risks or uncertainties ever materialize or the assumptions prove incorrect, the results of Calavo Growers, Inc. and its consolidated subsidiaries (Calavo, the Company, we, us or our)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 (loss) from unconsolidated entities, earnings, earnings per share, tax provisions, cash flows, currency exchange rates, the impact of acquisitions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and other risks that are described herein, including, but not limited to, the items discussed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fiscal year ended October 31, 2017, and those detailed from time to time in our other filings with the Securities and Exchange Commission. Calavo assumes no obligation and does not intend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w:t>
      </w:r>
    </w:p>
    <w:p>
      <w:pPr>
        <w:spacing w:after="0" w:line="221"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PART I. FINANCIAL INFORMATION</w:t>
        </w:r>
      </w:hyperlink>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gridSpan w:val="4"/>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Item 1.</w:t>
              </w:r>
            </w:hyperlink>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85"/>
        </w:trPr>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60" w:type="dxa"/>
            <w:vAlign w:val="bottom"/>
            <w:gridSpan w:val="15"/>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Consolidated Condensed Balance Sheets – July 31, 2018 and October 31, 2017</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60" w:type="dxa"/>
            <w:vAlign w:val="bottom"/>
            <w:gridSpan w:val="15"/>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Consolidated Condensed Statements of Income – Three Months and Nine Months Ended July 31, 2018 and 2017</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60" w:type="dxa"/>
            <w:vAlign w:val="bottom"/>
            <w:gridSpan w:val="15"/>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Consolidated Condensed Statements of Comprehensive Income – Three Months and Nine Months Ended July 31, 2018</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top w:val="single" w:sz="8" w:color="0000EE"/>
              <w:bottom w:val="single" w:sz="8" w:color="0000EE"/>
            </w:tcBorders>
            <w:gridSpan w:val="2"/>
          </w:tcPr>
          <w:p>
            <w:pPr>
              <w:spacing w:after="0" w:line="183" w:lineRule="exact"/>
              <w:rPr>
                <w:rFonts w:ascii="Times New Roman" w:cs="Times New Roman" w:eastAsia="Times New Roman" w:hAnsi="Times New Roman"/>
                <w:sz w:val="16"/>
                <w:szCs w:val="16"/>
                <w:color w:val="0000EE"/>
                <w:w w:val="94"/>
              </w:rPr>
            </w:pPr>
            <w:hyperlink w:anchor="page6">
              <w:r>
                <w:rPr>
                  <w:rFonts w:ascii="Times New Roman" w:cs="Times New Roman" w:eastAsia="Times New Roman" w:hAnsi="Times New Roman"/>
                  <w:sz w:val="16"/>
                  <w:szCs w:val="16"/>
                  <w:color w:val="0000EE"/>
                  <w:w w:val="94"/>
                </w:rPr>
                <w:t>and 2017</w:t>
              </w:r>
            </w:hyperlink>
          </w:p>
        </w:tc>
        <w:tc>
          <w:tcPr>
            <w:tcW w:w="7140" w:type="dxa"/>
            <w:vAlign w:val="bottom"/>
            <w:tcBorders>
              <w:top w:val="single" w:sz="8" w:color="0000EE"/>
            </w:tcBorders>
            <w:gridSpan w:val="12"/>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Consolidated Condensed Statements of Cash Flows – Three Months and Nine Months Ended July 31, 2018 and 2017</w:t>
              </w:r>
            </w:hyperlink>
          </w:p>
        </w:tc>
        <w:tc>
          <w:tcPr>
            <w:tcW w:w="38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w:anchor="page8">
              <w:r>
                <w:rPr>
                  <w:rFonts w:ascii="Times New Roman" w:cs="Times New Roman" w:eastAsia="Times New Roman" w:hAnsi="Times New Roman"/>
                  <w:sz w:val="16"/>
                  <w:szCs w:val="16"/>
                  <w:color w:val="0000EE"/>
                </w:rPr>
                <w:t>Notes to Consolidated Condensed Financial Statements</w:t>
              </w:r>
            </w:hyperlink>
          </w:p>
        </w:tc>
        <w:tc>
          <w:tcPr>
            <w:tcW w:w="438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85"/>
        </w:trPr>
        <w:tc>
          <w:tcPr>
            <w:tcW w:w="480" w:type="dxa"/>
            <w:vAlign w:val="bottom"/>
            <w:gridSpan w:val="2"/>
          </w:tcPr>
          <w:p>
            <w:pPr>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Item 2.</w:t>
              </w:r>
            </w:hyperlink>
          </w:p>
        </w:tc>
        <w:tc>
          <w:tcPr>
            <w:tcW w:w="220" w:type="dxa"/>
            <w:vAlign w:val="bottom"/>
            <w:gridSpan w:val="2"/>
          </w:tcPr>
          <w:p>
            <w:pPr>
              <w:spacing w:after="0"/>
              <w:rPr>
                <w:sz w:val="24"/>
                <w:szCs w:val="24"/>
                <w:color w:val="auto"/>
              </w:rPr>
            </w:pPr>
          </w:p>
        </w:tc>
        <w:tc>
          <w:tcPr>
            <w:tcW w:w="7960" w:type="dxa"/>
            <w:vAlign w:val="bottom"/>
            <w:gridSpan w:val="15"/>
          </w:tcPr>
          <w:p>
            <w:pPr>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Item 3.</w:t>
              </w:r>
            </w:hyperlink>
          </w:p>
        </w:tc>
        <w:tc>
          <w:tcPr>
            <w:tcW w:w="220" w:type="dxa"/>
            <w:vAlign w:val="bottom"/>
            <w:gridSpan w:val="2"/>
          </w:tcPr>
          <w:p>
            <w:pPr>
              <w:spacing w:after="0"/>
              <w:rPr>
                <w:sz w:val="24"/>
                <w:szCs w:val="24"/>
                <w:color w:val="auto"/>
              </w:rPr>
            </w:pPr>
          </w:p>
        </w:tc>
        <w:tc>
          <w:tcPr>
            <w:tcW w:w="7960" w:type="dxa"/>
            <w:vAlign w:val="bottom"/>
            <w:gridSpan w:val="15"/>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Quantitative and Qualitative Disclosures About Market Risk</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Item 4.</w:t>
              </w:r>
            </w:hyperlink>
          </w:p>
        </w:tc>
        <w:tc>
          <w:tcPr>
            <w:tcW w:w="220" w:type="dxa"/>
            <w:vAlign w:val="bottom"/>
            <w:gridSpan w:val="2"/>
          </w:tcPr>
          <w:p>
            <w:pPr>
              <w:spacing w:after="0"/>
              <w:rPr>
                <w:sz w:val="24"/>
                <w:szCs w:val="24"/>
                <w:color w:val="auto"/>
              </w:rPr>
            </w:pPr>
          </w:p>
        </w:tc>
        <w:tc>
          <w:tcPr>
            <w:tcW w:w="7960" w:type="dxa"/>
            <w:vAlign w:val="bottom"/>
            <w:gridSpan w:val="15"/>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Controls and Procedures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1"/>
          </w:tcPr>
          <w:p>
            <w:pPr>
              <w:spacing w:after="0"/>
              <w:rPr>
                <w:rFonts w:ascii="Times New Roman" w:cs="Times New Roman" w:eastAsia="Times New Roman" w:hAnsi="Times New Roman"/>
                <w:sz w:val="16"/>
                <w:szCs w:val="16"/>
                <w:b w:val="1"/>
                <w:bCs w:val="1"/>
                <w:color w:val="0000EE"/>
                <w:w w:val="99"/>
              </w:rPr>
            </w:pPr>
            <w:hyperlink w:anchor="page30">
              <w:r>
                <w:rPr>
                  <w:rFonts w:ascii="Times New Roman" w:cs="Times New Roman" w:eastAsia="Times New Roman" w:hAnsi="Times New Roman"/>
                  <w:sz w:val="16"/>
                  <w:szCs w:val="16"/>
                  <w:b w:val="1"/>
                  <w:bCs w:val="1"/>
                  <w:color w:val="0000EE"/>
                  <w:w w:val="99"/>
                </w:rPr>
                <w:t>PART II. OTHER INFORMATION</w:t>
              </w:r>
            </w:hyperlink>
          </w:p>
        </w:tc>
        <w:tc>
          <w:tcPr>
            <w:tcW w:w="616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r>
      <w:tr>
        <w:trPr>
          <w:trHeight w:val="385"/>
        </w:trPr>
        <w:tc>
          <w:tcPr>
            <w:tcW w:w="480" w:type="dxa"/>
            <w:vAlign w:val="bottom"/>
            <w:gridSpan w:val="2"/>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Item 1.</w:t>
              </w:r>
            </w:hyperlink>
          </w:p>
        </w:tc>
        <w:tc>
          <w:tcPr>
            <w:tcW w:w="220" w:type="dxa"/>
            <w:vAlign w:val="bottom"/>
            <w:gridSpan w:val="2"/>
          </w:tcPr>
          <w:p>
            <w:pPr>
              <w:spacing w:after="0"/>
              <w:rPr>
                <w:sz w:val="24"/>
                <w:szCs w:val="24"/>
                <w:color w:val="auto"/>
              </w:rPr>
            </w:pPr>
          </w:p>
        </w:tc>
        <w:tc>
          <w:tcPr>
            <w:tcW w:w="7960" w:type="dxa"/>
            <w:vAlign w:val="bottom"/>
            <w:gridSpan w:val="15"/>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Legal Proceedings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5"/>
        </w:trPr>
        <w:tc>
          <w:tcPr>
            <w:tcW w:w="580" w:type="dxa"/>
            <w:vAlign w:val="bottom"/>
            <w:gridSpan w:val="3"/>
          </w:tcPr>
          <w:p>
            <w:pPr>
              <w:spacing w:after="0"/>
              <w:rPr>
                <w:rFonts w:ascii="Times New Roman" w:cs="Times New Roman" w:eastAsia="Times New Roman" w:hAnsi="Times New Roman"/>
                <w:sz w:val="16"/>
                <w:szCs w:val="16"/>
                <w:color w:val="0000EE"/>
                <w:w w:val="98"/>
              </w:rPr>
            </w:pPr>
            <w:hyperlink w:anchor="page31">
              <w:r>
                <w:rPr>
                  <w:rFonts w:ascii="Times New Roman" w:cs="Times New Roman" w:eastAsia="Times New Roman" w:hAnsi="Times New Roman"/>
                  <w:sz w:val="16"/>
                  <w:szCs w:val="16"/>
                  <w:color w:val="0000EE"/>
                  <w:w w:val="98"/>
                </w:rPr>
                <w:t>Item 1A.</w:t>
              </w:r>
            </w:hyperlink>
          </w:p>
        </w:tc>
        <w:tc>
          <w:tcPr>
            <w:tcW w:w="120" w:type="dxa"/>
            <w:vAlign w:val="bottom"/>
          </w:tcPr>
          <w:p>
            <w:pPr>
              <w:spacing w:after="0"/>
              <w:rPr>
                <w:sz w:val="24"/>
                <w:szCs w:val="24"/>
                <w:color w:val="auto"/>
              </w:rPr>
            </w:pPr>
          </w:p>
        </w:tc>
        <w:tc>
          <w:tcPr>
            <w:tcW w:w="7960" w:type="dxa"/>
            <w:vAlign w:val="bottom"/>
            <w:gridSpan w:val="15"/>
          </w:tcPr>
          <w:p>
            <w:pPr>
              <w:spacing w:after="0"/>
              <w:rPr>
                <w:rFonts w:ascii="Times New Roman" w:cs="Times New Roman" w:eastAsia="Times New Roman" w:hAnsi="Times New Roman"/>
                <w:sz w:val="16"/>
                <w:szCs w:val="16"/>
                <w:color w:val="0000EE"/>
              </w:rPr>
            </w:pPr>
            <w:hyperlink w:anchor="page31">
              <w:r>
                <w:rPr>
                  <w:rFonts w:ascii="Times New Roman" w:cs="Times New Roman" w:eastAsia="Times New Roman" w:hAnsi="Times New Roman"/>
                  <w:sz w:val="16"/>
                  <w:szCs w:val="16"/>
                  <w:color w:val="0000EE"/>
                </w:rPr>
                <w:t>Risk Factors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16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5"/>
        </w:trPr>
        <w:tc>
          <w:tcPr>
            <w:tcW w:w="580" w:type="dxa"/>
            <w:vAlign w:val="bottom"/>
            <w:gridSpan w:val="3"/>
          </w:tcPr>
          <w:p>
            <w:pPr>
              <w:spacing w:after="0"/>
              <w:rPr>
                <w:rFonts w:ascii="Times New Roman" w:cs="Times New Roman" w:eastAsia="Times New Roman" w:hAnsi="Times New Roman"/>
                <w:sz w:val="16"/>
                <w:szCs w:val="16"/>
                <w:color w:val="0000EE"/>
              </w:rPr>
            </w:pPr>
            <w:hyperlink w:anchor="page31">
              <w:r>
                <w:rPr>
                  <w:rFonts w:ascii="Times New Roman" w:cs="Times New Roman" w:eastAsia="Times New Roman" w:hAnsi="Times New Roman"/>
                  <w:sz w:val="16"/>
                  <w:szCs w:val="16"/>
                  <w:color w:val="0000EE"/>
                </w:rPr>
                <w:t>Item 6.</w:t>
              </w:r>
            </w:hyperlink>
          </w:p>
        </w:tc>
        <w:tc>
          <w:tcPr>
            <w:tcW w:w="120" w:type="dxa"/>
            <w:vAlign w:val="bottom"/>
          </w:tcPr>
          <w:p>
            <w:pPr>
              <w:spacing w:after="0"/>
              <w:rPr>
                <w:sz w:val="24"/>
                <w:szCs w:val="24"/>
                <w:color w:val="auto"/>
              </w:rPr>
            </w:pPr>
          </w:p>
        </w:tc>
        <w:tc>
          <w:tcPr>
            <w:tcW w:w="7960" w:type="dxa"/>
            <w:vAlign w:val="bottom"/>
            <w:gridSpan w:val="15"/>
          </w:tcPr>
          <w:p>
            <w:pPr>
              <w:spacing w:after="0"/>
              <w:rPr>
                <w:rFonts w:ascii="Times New Roman" w:cs="Times New Roman" w:eastAsia="Times New Roman" w:hAnsi="Times New Roman"/>
                <w:sz w:val="16"/>
                <w:szCs w:val="16"/>
                <w:color w:val="0000EE"/>
              </w:rPr>
            </w:pPr>
            <w:hyperlink w:anchor="page31">
              <w:r>
                <w:rPr>
                  <w:rFonts w:ascii="Times New Roman" w:cs="Times New Roman" w:eastAsia="Times New Roman" w:hAnsi="Times New Roman"/>
                  <w:sz w:val="16"/>
                  <w:szCs w:val="16"/>
                  <w:color w:val="0000EE"/>
                </w:rPr>
                <w:t>Exhibits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300" w:type="dxa"/>
            <w:vAlign w:val="bottom"/>
            <w:gridSpan w:val="1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60" w:type="dxa"/>
            <w:vAlign w:val="bottom"/>
            <w:gridSpan w:val="15"/>
          </w:tcPr>
          <w:p>
            <w:pPr>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Signatures</w:t>
              </w:r>
            </w:hyperlink>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3"/>
        </w:trPr>
        <w:tc>
          <w:tcPr>
            <w:tcW w:w="4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$3,787 (2018)</w:t>
            </w:r>
          </w:p>
        </w:tc>
        <w:tc>
          <w:tcPr>
            <w:tcW w:w="246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99"/>
              </w:rPr>
              <w:t>$2,490 (2017)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69,750</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30,858</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Advances to suppliers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60" w:type="dxa"/>
            <w:vAlign w:val="bottom"/>
          </w:tcPr>
          <w:p>
            <w:pPr>
              <w:spacing w:after="0"/>
              <w:rPr>
                <w:sz w:val="18"/>
                <w:szCs w:val="18"/>
                <w:color w:val="auto"/>
              </w:rPr>
            </w:pPr>
          </w:p>
        </w:tc>
      </w:tr>
      <w:tr>
        <w:trPr>
          <w:trHeight w:val="210"/>
        </w:trPr>
        <w:tc>
          <w:tcPr>
            <w:tcW w:w="43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119,828</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121,309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120,072</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Limoneira Company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40,362</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entities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33,019</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25,035</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22,791</w:t>
            </w:r>
          </w:p>
        </w:tc>
        <w:tc>
          <w:tcPr>
            <w:tcW w:w="260" w:type="dxa"/>
            <w:vAlign w:val="bottom"/>
            <w:shd w:val="clear" w:color="auto" w:fill="CCEEFF"/>
          </w:tcPr>
          <w:p>
            <w:pPr>
              <w:spacing w:after="0"/>
              <w:rPr>
                <w:sz w:val="18"/>
                <w:szCs w:val="18"/>
                <w:color w:val="auto"/>
              </w:rPr>
            </w:pPr>
          </w:p>
        </w:tc>
      </w:tr>
      <w:tr>
        <w:trPr>
          <w:trHeight w:val="217"/>
        </w:trPr>
        <w:tc>
          <w:tcPr>
            <w:tcW w:w="432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372,933</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364,117</w:t>
            </w:r>
          </w:p>
        </w:tc>
        <w:tc>
          <w:tcPr>
            <w:tcW w:w="260" w:type="dxa"/>
            <w:vAlign w:val="bottom"/>
            <w:tcBorders>
              <w:bottom w:val="single" w:sz="8" w:color="CCEEFF"/>
            </w:tcBorders>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Payable to growers</w:t>
            </w:r>
          </w:p>
        </w:tc>
        <w:tc>
          <w:tcPr>
            <w:tcW w:w="2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16,524</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accounts payable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borrowings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payable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16,657</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obligations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CEEFF"/>
          </w:tcPr>
          <w:p>
            <w:pPr>
              <w:spacing w:after="0"/>
              <w:rPr>
                <w:sz w:val="18"/>
                <w:szCs w:val="18"/>
                <w:color w:val="auto"/>
              </w:rPr>
            </w:pPr>
          </w:p>
        </w:tc>
      </w:tr>
      <w:tr>
        <w:trPr>
          <w:trHeight w:val="210"/>
        </w:trPr>
        <w:tc>
          <w:tcPr>
            <w:tcW w:w="4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116,167</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obligations, less current portion</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rent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tcPr>
          <w:p>
            <w:pPr>
              <w:spacing w:after="0"/>
              <w:rPr>
                <w:sz w:val="18"/>
                <w:szCs w:val="18"/>
                <w:color w:val="auto"/>
              </w:rPr>
            </w:pPr>
          </w:p>
        </w:tc>
      </w:tr>
      <w:tr>
        <w:trPr>
          <w:trHeight w:val="210"/>
        </w:trPr>
        <w:tc>
          <w:tcPr>
            <w:tcW w:w="43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198"/>
        </w:trPr>
        <w:tc>
          <w:tcPr>
            <w:tcW w:w="6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 shares authorized; 17,568 (2018) and 17,533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(2017) shares issued and outstanding)</w:t>
            </w:r>
          </w:p>
        </w:tc>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0"/>
                <w:szCs w:val="20"/>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154,243</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26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78,411</w:t>
            </w:r>
          </w:p>
        </w:tc>
        <w:tc>
          <w:tcPr>
            <w:tcW w:w="260" w:type="dxa"/>
            <w:vAlign w:val="bottom"/>
            <w:tcBorders>
              <w:bottom w:val="single" w:sz="8" w:color="CCEEFF"/>
            </w:tcBorders>
          </w:tcPr>
          <w:p>
            <w:pPr>
              <w:spacing w:after="0"/>
              <w:rPr>
                <w:sz w:val="18"/>
                <w:szCs w:val="18"/>
                <w:color w:val="auto"/>
              </w:rPr>
            </w:pPr>
          </w:p>
        </w:tc>
      </w:tr>
      <w:tr>
        <w:trPr>
          <w:trHeight w:val="210"/>
        </w:trPr>
        <w:tc>
          <w:tcPr>
            <w:tcW w:w="4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286,545</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244,122</w:t>
            </w:r>
          </w:p>
        </w:tc>
        <w:tc>
          <w:tcPr>
            <w:tcW w:w="260" w:type="dxa"/>
            <w:vAlign w:val="bottom"/>
            <w:shd w:val="clear" w:color="auto" w:fill="CCEEFF"/>
          </w:tcPr>
          <w:p>
            <w:pPr>
              <w:spacing w:after="0"/>
              <w:rPr>
                <w:sz w:val="18"/>
                <w:szCs w:val="18"/>
                <w:color w:val="auto"/>
              </w:rPr>
            </w:pPr>
          </w:p>
        </w:tc>
      </w:tr>
      <w:tr>
        <w:trPr>
          <w:trHeight w:val="217"/>
        </w:trPr>
        <w:tc>
          <w:tcPr>
            <w:tcW w:w="4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372,933</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364,117</w:t>
            </w:r>
          </w:p>
        </w:tc>
        <w:tc>
          <w:tcPr>
            <w:tcW w:w="260" w:type="dxa"/>
            <w:vAlign w:val="bottom"/>
          </w:tcPr>
          <w:p>
            <w:pPr>
              <w:spacing w:after="0"/>
              <w:rPr>
                <w:sz w:val="18"/>
                <w:szCs w:val="18"/>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INCOME (UNAUDITED)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301,645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808,752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263,349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276,793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717,403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715,332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Income before provision for income taxes and income (loss) from</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unconsolidated entities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unconsolidated entities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Calavo Growers, Inc.</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Calavo Growers, Inc.’s net income per share: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17,412</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1" w:right="1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INCOME (UNAUDITED)</w:t>
      </w:r>
    </w:p>
    <w:p>
      <w:pPr>
        <w:spacing w:after="0" w:line="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2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July 31,</w:t>
            </w:r>
          </w:p>
        </w:tc>
      </w:tr>
      <w:tr>
        <w:trPr>
          <w:trHeight w:val="142"/>
        </w:trPr>
        <w:tc>
          <w:tcPr>
            <w:tcW w:w="5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2"/>
                <w:szCs w:val="12"/>
                <w:color w:val="auto"/>
              </w:rPr>
            </w:pPr>
          </w:p>
        </w:tc>
        <w:tc>
          <w:tcPr>
            <w:tcW w:w="72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$ 12,368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$ 33,373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$ 26,951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60" w:type="dxa"/>
            <w:vAlign w:val="bottom"/>
            <w:shd w:val="clear" w:color="auto" w:fill="CCEEFF"/>
          </w:tcPr>
          <w:p>
            <w:pPr>
              <w:spacing w:after="0"/>
              <w:rPr>
                <w:sz w:val="18"/>
                <w:szCs w:val="18"/>
                <w:color w:val="auto"/>
              </w:rPr>
            </w:pP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expense related to items of other comprehensive income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60" w:type="dxa"/>
            <w:vAlign w:val="bottom"/>
          </w:tcPr>
          <w:p>
            <w:pPr>
              <w:spacing w:after="0"/>
              <w:rPr>
                <w:sz w:val="18"/>
                <w:szCs w:val="18"/>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6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30,321</w:t>
            </w:r>
          </w:p>
        </w:tc>
        <w:tc>
          <w:tcPr>
            <w:tcW w:w="60" w:type="dxa"/>
            <w:vAlign w:val="bottom"/>
          </w:tcPr>
          <w:p>
            <w:pPr>
              <w:spacing w:after="0"/>
              <w:rPr>
                <w:sz w:val="18"/>
                <w:szCs w:val="18"/>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8"/>
                <w:szCs w:val="18"/>
                <w:color w:val="auto"/>
              </w:rPr>
            </w:pPr>
          </w:p>
        </w:tc>
      </w:tr>
      <w:tr>
        <w:trPr>
          <w:trHeight w:val="21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 Calavo Growers, Inc.</w:t>
            </w:r>
          </w:p>
        </w:tc>
        <w:tc>
          <w:tcPr>
            <w:tcW w:w="6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$ 17,441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$ 38,892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$ 30,374</w:t>
            </w:r>
          </w:p>
        </w:tc>
        <w:tc>
          <w:tcPr>
            <w:tcW w:w="6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560"/>
          </w:cols>
          <w:pgMar w:left="1420" w:top="121" w:right="9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gridSpan w:val="2"/>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33,373</w:t>
            </w:r>
          </w:p>
        </w:tc>
        <w:tc>
          <w:tcPr>
            <w:tcW w:w="320" w:type="dxa"/>
            <w:vAlign w:val="bottom"/>
          </w:tcPr>
          <w:p>
            <w:pPr>
              <w:spacing w:after="0"/>
              <w:rPr>
                <w:sz w:val="12"/>
                <w:szCs w:val="12"/>
                <w:color w:val="auto"/>
              </w:rPr>
            </w:pPr>
          </w:p>
        </w:tc>
        <w:tc>
          <w:tcPr>
            <w:tcW w:w="1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9,796</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losses (recoveries) on accounts receivable</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(income) from unconsolidated entities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3,399</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3,716</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disposal of property, plant, and equipment</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(3,652)</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 net</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(4,999)</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(3,246)</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rent</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long-term liabilities</w:t>
            </w:r>
          </w:p>
        </w:tc>
        <w:tc>
          <w:tcPr>
            <w:tcW w:w="9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(8,753)</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39,968</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41,185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Acquisitions of and deposits on property, plant, and equipment</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(41,078)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for repayment of San Rafael note</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 FreshRealm</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 to FreshRealm</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received for repayment of loan to FreshRealm</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 in Agricola Don Memo</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(14,702)</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(48,490)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(16,657)</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(15,696)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185,500</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facility</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(197,500)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minimum withholding taxes on net share settlement of equity awards</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noncontrolling interest of Salsa Lisa</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9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(29,862)</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decrease in cash and cash equivalents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(4,596)</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(4,971)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9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6,625</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960" w:type="dxa"/>
            <w:vAlign w:val="bottom"/>
          </w:tcPr>
          <w:p>
            <w:pPr>
              <w:spacing w:after="0"/>
              <w:rPr>
                <w:sz w:val="12"/>
                <w:szCs w:val="12"/>
                <w:color w:val="auto"/>
              </w:rPr>
            </w:pPr>
          </w:p>
        </w:tc>
        <w:tc>
          <w:tcPr>
            <w:tcW w:w="140"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2,029</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8,871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9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Acquisitions of property, plant, and equipment with capital lease</w:t>
            </w:r>
          </w:p>
        </w:tc>
        <w:tc>
          <w:tcPr>
            <w:tcW w:w="1100" w:type="dxa"/>
            <w:vAlign w:val="bottom"/>
            <w:gridSpan w:val="2"/>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02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Noncash transfer of noncontrolling interest</w:t>
            </w:r>
          </w:p>
        </w:tc>
        <w:tc>
          <w:tcPr>
            <w:tcW w:w="960" w:type="dxa"/>
            <w:vAlign w:val="bottom"/>
          </w:tcPr>
          <w:p>
            <w:pPr>
              <w:spacing w:after="0"/>
              <w:rPr>
                <w:sz w:val="12"/>
                <w:szCs w:val="12"/>
                <w:color w:val="auto"/>
              </w:rPr>
            </w:pPr>
          </w:p>
        </w:tc>
        <w:tc>
          <w:tcPr>
            <w:tcW w:w="140"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1,001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0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Collection for Agricola Belher Infrastructure Advance</w:t>
            </w: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02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Unrealized investment gain</w:t>
            </w:r>
          </w:p>
        </w:tc>
        <w:tc>
          <w:tcPr>
            <w:tcW w:w="960" w:type="dxa"/>
            <w:vAlign w:val="bottom"/>
          </w:tcPr>
          <w:p>
            <w:pPr>
              <w:spacing w:after="0"/>
              <w:rPr>
                <w:sz w:val="12"/>
                <w:szCs w:val="12"/>
                <w:color w:val="auto"/>
              </w:rPr>
            </w:pPr>
          </w:p>
        </w:tc>
        <w:tc>
          <w:tcPr>
            <w:tcW w:w="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6,758</w:t>
            </w:r>
          </w:p>
        </w:tc>
        <w:tc>
          <w:tcPr>
            <w:tcW w:w="3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5,307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right="60"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(Calavo, the Company, we, us or our), is a global leader in the avocado industry and an expanding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guacamole and salsa and (iii) create, process and package a portfolio of healthy fresh foods including fresh-cut fruit, fresh-cut vegetables, and prepared foods. We distribute our products both domestically and internationally and report our operations in three different business segments: Fresh products, Calavo Foods and Renaissance Food Group (RFG).</w:t>
      </w:r>
    </w:p>
    <w:p>
      <w:pPr>
        <w:spacing w:after="0" w:line="189"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of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2017.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right="160" w:firstLine="259"/>
        <w:spacing w:after="0" w:line="277" w:lineRule="auto"/>
        <w:rPr>
          <w:sz w:val="20"/>
          <w:szCs w:val="20"/>
          <w:color w:val="auto"/>
        </w:rPr>
      </w:pPr>
      <w:r>
        <w:rPr>
          <w:rFonts w:ascii="Times New Roman" w:cs="Times New Roman" w:eastAsia="Times New Roman" w:hAnsi="Times New Roman"/>
          <w:sz w:val="17"/>
          <w:szCs w:val="17"/>
          <w:color w:val="auto"/>
        </w:rPr>
        <w:t xml:space="preserve">In May 2017, the FASB issued an ASU, </w:t>
      </w:r>
      <w:r>
        <w:rPr>
          <w:rFonts w:ascii="Times New Roman" w:cs="Times New Roman" w:eastAsia="Times New Roman" w:hAnsi="Times New Roman"/>
          <w:sz w:val="17"/>
          <w:szCs w:val="17"/>
          <w:i w:val="1"/>
          <w:iCs w:val="1"/>
          <w:color w:val="auto"/>
        </w:rPr>
        <w:t>Stock Compensation (Topic 718), Scope of Modification Accounting</w:t>
      </w:r>
      <w:r>
        <w:rPr>
          <w:rFonts w:ascii="Times New Roman" w:cs="Times New Roman" w:eastAsia="Times New Roman" w:hAnsi="Times New Roman"/>
          <w:sz w:val="17"/>
          <w:szCs w:val="17"/>
          <w:color w:val="auto"/>
        </w:rPr>
        <w:t>. This ASU clarifies when changes to the terms or conditions of a share-based payment award must be accounted for as modifications. The guidance clarifies that modification accounting will be applied if the value, vesting conditions or classification of the award changes. The Company adopted this new standard beginning in the three months ended January 31, 2018. The adoption of the amendment did not have a material impact on the Company’s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firstLine="259"/>
        <w:spacing w:after="0" w:line="257" w:lineRule="auto"/>
        <w:rPr>
          <w:sz w:val="20"/>
          <w:szCs w:val="20"/>
          <w:color w:val="auto"/>
        </w:rPr>
      </w:pPr>
      <w:r>
        <w:rPr>
          <w:rFonts w:ascii="Times New Roman" w:cs="Times New Roman" w:eastAsia="Times New Roman" w:hAnsi="Times New Roman"/>
          <w:sz w:val="18"/>
          <w:szCs w:val="18"/>
          <w:color w:val="auto"/>
        </w:rPr>
        <w:t>In June 2018, the FASB issued an ASU</w:t>
      </w:r>
      <w:r>
        <w:rPr>
          <w:rFonts w:ascii="Times New Roman" w:cs="Times New Roman" w:eastAsia="Times New Roman" w:hAnsi="Times New Roman"/>
          <w:sz w:val="18"/>
          <w:szCs w:val="18"/>
          <w:i w:val="1"/>
          <w:iCs w:val="1"/>
          <w:color w:val="auto"/>
        </w:rPr>
        <w:t>, Improvements to Nonemployee Share-Based Payment Accounting</w:t>
      </w:r>
      <w:r>
        <w:rPr>
          <w:rFonts w:ascii="Times New Roman" w:cs="Times New Roman" w:eastAsia="Times New Roman" w:hAnsi="Times New Roman"/>
          <w:sz w:val="18"/>
          <w:szCs w:val="18"/>
          <w:color w:val="auto"/>
        </w:rPr>
        <w:t>. The FASB is issuing this update to simplify the accounting for share-based payments to nonemployees by aligning it with the accounting for share-based payments to employees, with certain exceptions. This ASU will be effective for us beginning the first day of our 2020 fiscal year. We are evaluating the impact of the update of this ASU on our financial condition, results of operations and cash flows, and, as such, we are not able to estimate the effect the adoption of the new standard will have on our financial statements.</w:t>
      </w:r>
    </w:p>
    <w:p>
      <w:pPr>
        <w:spacing w:after="0" w:line="183" w:lineRule="exact"/>
        <w:rPr>
          <w:sz w:val="20"/>
          <w:szCs w:val="20"/>
          <w:color w:val="auto"/>
        </w:rPr>
      </w:pPr>
    </w:p>
    <w:p>
      <w:pPr>
        <w:ind w:right="220" w:firstLine="259"/>
        <w:spacing w:after="0" w:line="257" w:lineRule="auto"/>
        <w:rPr>
          <w:sz w:val="20"/>
          <w:szCs w:val="20"/>
          <w:color w:val="auto"/>
        </w:rPr>
      </w:pPr>
      <w:r>
        <w:rPr>
          <w:rFonts w:ascii="Times New Roman" w:cs="Times New Roman" w:eastAsia="Times New Roman" w:hAnsi="Times New Roman"/>
          <w:sz w:val="18"/>
          <w:szCs w:val="18"/>
          <w:color w:val="auto"/>
        </w:rPr>
        <w:t xml:space="preserve">In February 2018, the FASB issued an ASU, </w:t>
      </w:r>
      <w:r>
        <w:rPr>
          <w:rFonts w:ascii="Times New Roman" w:cs="Times New Roman" w:eastAsia="Times New Roman" w:hAnsi="Times New Roman"/>
          <w:sz w:val="18"/>
          <w:szCs w:val="18"/>
          <w:i w:val="1"/>
          <w:iCs w:val="1"/>
          <w:color w:val="auto"/>
        </w:rPr>
        <w:t>Reclassification of Certain Tax Effects From 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which amends Accounting Standards Codification ("ASC") 220, Income Statement —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to allow a reclassification from accumulated other comprehensive income to retained earnings for stranded tax effects resulting from the Tax Cuts and Jobs Act, (the "Act"). In addition, under the ASU, an entity will be required to provide certain disclosures regarding stranded tax effects. This ASU is effective for us the first day of our 2020 fiscal year. Early adoption is permitted. We are evaluating the impact of adoption of this ASU on our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financial condition, results of operations and cash flows, and, as such, we are not able to estimate the effect the adoption of the new standard will have on our financial statements.</w:t>
      </w:r>
    </w:p>
    <w:p>
      <w:pPr>
        <w:spacing w:after="0" w:line="160" w:lineRule="exact"/>
        <w:rPr>
          <w:sz w:val="20"/>
          <w:szCs w:val="20"/>
          <w:color w:val="auto"/>
        </w:rPr>
      </w:pPr>
    </w:p>
    <w:p>
      <w:pPr>
        <w:ind w:right="180" w:firstLine="259"/>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an ASU, </w:t>
      </w:r>
      <w:r>
        <w:rPr>
          <w:rFonts w:ascii="Times New Roman" w:cs="Times New Roman" w:eastAsia="Times New Roman" w:hAnsi="Times New Roman"/>
          <w:sz w:val="18"/>
          <w:szCs w:val="18"/>
          <w:i w:val="1"/>
          <w:iCs w:val="1"/>
          <w:color w:val="auto"/>
        </w:rPr>
        <w:t>Business Combinations: Clarifying the Definition of a Business,</w:t>
      </w:r>
      <w:r>
        <w:rPr>
          <w:rFonts w:ascii="Times New Roman" w:cs="Times New Roman" w:eastAsia="Times New Roman" w:hAnsi="Times New Roman"/>
          <w:sz w:val="18"/>
          <w:szCs w:val="18"/>
          <w:color w:val="auto"/>
        </w:rPr>
        <w:t xml:space="preserve"> which adds guidance to assist entities with evaluating whether transactions should be accounted for as acquisitions (or disposals) of assets or businesses. This ASU will be effective for us beginning the first day of our 2019 fiscal year. Early adoption is permitted. We do not expect this ASU to have an impact until an applicable transaction takes place.</w:t>
      </w:r>
    </w:p>
    <w:p>
      <w:pPr>
        <w:spacing w:after="0" w:line="180"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 xml:space="preserve">In October 2016, the FASB issued an ASU, </w:t>
      </w:r>
      <w:r>
        <w:rPr>
          <w:rFonts w:ascii="Times New Roman" w:cs="Times New Roman" w:eastAsia="Times New Roman" w:hAnsi="Times New Roman"/>
          <w:sz w:val="18"/>
          <w:szCs w:val="18"/>
          <w:i w:val="1"/>
          <w:iCs w:val="1"/>
          <w:color w:val="auto"/>
        </w:rPr>
        <w:t>Intra-Entity Transfers of Assets Other Than Inventory</w:t>
      </w:r>
      <w:r>
        <w:rPr>
          <w:rFonts w:ascii="Times New Roman" w:cs="Times New Roman" w:eastAsia="Times New Roman" w:hAnsi="Times New Roman"/>
          <w:sz w:val="18"/>
          <w:szCs w:val="18"/>
          <w:color w:val="auto"/>
        </w:rPr>
        <w:t>, which will require companies to recognize the income tax effects of intra-entity sales and transfers of assets other than inventory, particularly those asset transfers involving intellectual property, in the period in which the transfer occurs. The ASU will be effective for us beginning the first day of our 2019 fiscal year and is not expected to have a significant impact upon adoption.</w:t>
      </w:r>
    </w:p>
    <w:p>
      <w:pPr>
        <w:spacing w:after="0" w:line="180"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an ASU,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will be effective for us beginning the first day of our 2021 fiscal year and is not expected to have a significant impact upon adoption.</w:t>
      </w:r>
    </w:p>
    <w:p>
      <w:pPr>
        <w:spacing w:after="0" w:line="183"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an ASU,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a dual approach for lessee accounting under which a lessee would account for leases as finance leases or operating leases. Both finance leases and operating leases will result in the lessee recognizing a right-of use asset and a corresponding lease liability. For finance leases, the lessee would recognize interest expense and amortization of the right-of-use asset, and for operating leases, the lessee would recognize a straight-line total lease expense. The guidance also requires qualitative and specific quantitative disclosures to supplement the amounts recorded in the financial statements so that users can understand more about the nature of an entity’s leasing activities, including significant judgments and changes in judgments. This ASU will be effective for us beginning the first day of our 2020 fiscal year. Early adoption is permitted. Although we are in the process of evaluating the impact of adoption of ASU 2016-02 on our consolidated financial statements, we currently expect the most significant changes will be related to the recognition of material new long-term right-of-use assets and lease liabilities on our consolidated balance sheet.</w:t>
      </w:r>
    </w:p>
    <w:p>
      <w:pPr>
        <w:spacing w:after="0" w:line="188"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an ASU, which requires equity investments (except those accounted for under the equity method of accounting) to be measured at fair value with changes in fair value recognized in net income. The guidance is effective for fiscal years and interim period within those fiscal years beginning after December 15, 2017. Early adoption is permitted. The impact of the adoption of this ASU on our consolidated statements of income depends on the net unrealized gain or loss on our equity investment. For the three months ended July 31, 2018 and 2017, the net unrealized gain on our equity investment was $6.9 million and $3.6 million. For the nine months ended July 31, 2018 and 2017, the net unrealized gain on our equity investment was $6.8 million and $5.3 million.</w:t>
      </w:r>
    </w:p>
    <w:p>
      <w:pPr>
        <w:spacing w:after="0" w:line="189"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In May 2014, the FASB issued a comprehensive new revenue recognition standard which will supersede previous existing revenue recognition guidance. The standard is intended to clarify the principles of recognizing revenue and create common revenue recognition guidance between U.S. GAAP and International Financial Reporting Standards. The standard also requires expanded disclosures surrounding revenue recognition. During fiscal 2017, the FASB issued additional clarification guidance on the new revenue recognition standard which also included certain scope improvements and practical expedients. The standard (including clarification guidance issued) is effective for fiscal periods beginning after December 15, 2017, which will be our first quarter of fiscal 2019. We will adopt the new standard using the modified retrospective transition method, under which the cumulative effect of initially applying the new guidance is recognized as an adjustment to the opening balance of retained earnings on the first day of our 2019 fiscal year. Based on our findings to date, we do not expect the standard to have a material impact on our results 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operations or financial position. Our assessment, however, is not yet complete. During fiscal 2018, we plan to finalize our review.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Information regarding our operations in different segments</w:t>
      </w:r>
    </w:p>
    <w:p>
      <w:pPr>
        <w:spacing w:after="0" w:line="229" w:lineRule="exact"/>
        <w:rPr>
          <w:sz w:val="20"/>
          <w:szCs w:val="20"/>
          <w:color w:val="auto"/>
        </w:rPr>
      </w:pPr>
    </w:p>
    <w:p>
      <w:pPr>
        <w:ind w:right="360" w:firstLine="259"/>
        <w:spacing w:after="0" w:line="254" w:lineRule="auto"/>
        <w:rPr>
          <w:sz w:val="20"/>
          <w:szCs w:val="20"/>
          <w:color w:val="auto"/>
        </w:rPr>
      </w:pPr>
      <w:r>
        <w:rPr>
          <w:rFonts w:ascii="Times New Roman" w:cs="Times New Roman" w:eastAsia="Times New Roman" w:hAnsi="Times New Roman"/>
          <w:sz w:val="18"/>
          <w:szCs w:val="18"/>
          <w:color w:val="auto"/>
        </w:rPr>
        <w:t>We report our operations in three different business segments: (1) Fresh products, (2) Calavo Foods, and (3) RFG. These three business segments are presented based on how information is used by our Chief Executive Officer to measure performance and allocate resources. The Fresh products segment includes all operations that involve the distribution of avocados and other fresh produce products. The Calavo Foods segment represents all operations related to the purchase, manufacturing, and distribution of prepared products, including guacamole and salsa. The RFG segment represents all operations related to the manufacturing and distribution of fresh-cut fruit, fresh-cut vegetables, vegetables and prepared foods. Selling, general and administrative expenses, as well as other non-operating income/expense items, are evaluated by our Chief Executive Officer in the aggregate. We do not allocate assets, or specifically identify them to, our operating segments. Data in the following tables is presented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10"/>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July 31, 2018</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11"/>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July 31, 2017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Fresh</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RFG</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Fresh</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RFG</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Avocados</w:t>
            </w: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141,545</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141,545</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161,183</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161,183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Tomatoes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Papayas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fresh products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Prepared avocado products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28,395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28,395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22,836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Salsa</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Fresh-cut fruit &amp; vegetables and prepared foods</w:t>
            </w: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121,924</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121,924</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112,804</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112,804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gross sales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150,817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29,405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121,924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302,146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170,200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23,936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112,804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306,940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sales incentives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 inter-company eliminations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4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149,834</w:t>
            </w: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25,340</w:t>
            </w: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121,245</w:t>
            </w: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296,419</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168,919</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20,251</w:t>
            </w: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112,475</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301,645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11"/>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July 31, 2018</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11"/>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Nine months ended July 31, 2017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Fresh</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RFG</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Fresh</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RFG</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Foods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Avocados</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378,217</w:t>
            </w: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378,217</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408,848</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408,848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Tomatoes</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26,295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26,295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23,174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23,174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Papayas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fresh products</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Prepared avocado products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75,433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75,433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61,351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Salsa</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Fresh-cut fruit &amp; vegetables and prepared foods</w:t>
            </w: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333,682</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333,682</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308,879</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308,879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gross sales</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413,297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78,048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333,682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825,027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438,744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64,484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308,879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812,107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sales incentives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(9,288)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(1,774)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(8,339)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Less inter-company eliminations</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4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410,554</w:t>
            </w: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66,290</w:t>
            </w: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331,908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808,752</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436,601</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53,876</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307,884</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798,361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340"/>
          </w:cols>
          <w:pgMar w:left="1420" w:top="121" w:right="11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RFG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July 31, 2018</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sales before intercompany eliminations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150,217</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26,166</w:t>
            </w:r>
          </w:p>
        </w:tc>
        <w:tc>
          <w:tcPr>
            <w:tcW w:w="80" w:type="dxa"/>
            <w:vAlign w:val="bottom"/>
          </w:tcPr>
          <w:p>
            <w:pPr>
              <w:spacing w:after="0"/>
              <w:rPr>
                <w:sz w:val="12"/>
                <w:szCs w:val="12"/>
                <w:color w:val="auto"/>
              </w:rPr>
            </w:pPr>
          </w:p>
        </w:tc>
        <w:tc>
          <w:tcPr>
            <w:tcW w:w="26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121,245</w:t>
            </w:r>
          </w:p>
        </w:tc>
        <w:tc>
          <w:tcPr>
            <w:tcW w:w="100" w:type="dxa"/>
            <w:vAlign w:val="bottom"/>
          </w:tcPr>
          <w:p>
            <w:pPr>
              <w:spacing w:after="0"/>
              <w:rPr>
                <w:sz w:val="12"/>
                <w:szCs w:val="12"/>
                <w:color w:val="auto"/>
              </w:rPr>
            </w:pP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297,628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Intercompany eliminations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149,834</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25,340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121,245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296,419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Cost of sales before intercompany eliminations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135,254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264,558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Intercompany eliminations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134,903</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17,199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111,247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263,349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14,931</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8,141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9,998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33,070</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July 31, 2017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sales before intercompany eliminations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169,473</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21,103</w:t>
            </w:r>
          </w:p>
        </w:tc>
        <w:tc>
          <w:tcPr>
            <w:tcW w:w="80" w:type="dxa"/>
            <w:vAlign w:val="bottom"/>
          </w:tcPr>
          <w:p>
            <w:pPr>
              <w:spacing w:after="0"/>
              <w:rPr>
                <w:sz w:val="12"/>
                <w:szCs w:val="12"/>
                <w:color w:val="auto"/>
              </w:rPr>
            </w:pPr>
          </w:p>
        </w:tc>
        <w:tc>
          <w:tcPr>
            <w:tcW w:w="26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112,475</w:t>
            </w:r>
          </w:p>
        </w:tc>
        <w:tc>
          <w:tcPr>
            <w:tcW w:w="100" w:type="dxa"/>
            <w:vAlign w:val="bottom"/>
          </w:tcPr>
          <w:p>
            <w:pPr>
              <w:spacing w:after="0"/>
              <w:rPr>
                <w:sz w:val="12"/>
                <w:szCs w:val="12"/>
                <w:color w:val="auto"/>
              </w:rPr>
            </w:pP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303,051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Intercompany eliminations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168,919</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112,475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301,645</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Cost of sales before intercompany eliminations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152,459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20,071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105,669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278,199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Intercompany eliminations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151,971</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19,175</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105,647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276,793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16,948</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6,828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24,852</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RFG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 July 31, 2018</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sales before intercompany eliminations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411,605</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68,760</w:t>
            </w:r>
          </w:p>
        </w:tc>
        <w:tc>
          <w:tcPr>
            <w:tcW w:w="80" w:type="dxa"/>
            <w:vAlign w:val="bottom"/>
          </w:tcPr>
          <w:p>
            <w:pPr>
              <w:spacing w:after="0"/>
              <w:rPr>
                <w:sz w:val="12"/>
                <w:szCs w:val="12"/>
                <w:color w:val="auto"/>
              </w:rPr>
            </w:pPr>
          </w:p>
        </w:tc>
        <w:tc>
          <w:tcPr>
            <w:tcW w:w="26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331,908</w:t>
            </w:r>
          </w:p>
        </w:tc>
        <w:tc>
          <w:tcPr>
            <w:tcW w:w="100" w:type="dxa"/>
            <w:vAlign w:val="bottom"/>
          </w:tcPr>
          <w:p>
            <w:pPr>
              <w:spacing w:after="0"/>
              <w:rPr>
                <w:sz w:val="12"/>
                <w:szCs w:val="12"/>
                <w:color w:val="auto"/>
              </w:rPr>
            </w:pP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812,273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Intercompany eliminations</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(2,470)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(3,521)</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410,554</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66,290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331,908</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808,752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Cost of sales before intercompany eliminations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367,209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307,515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720,924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Intercompany eliminations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(1,578)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(3,521)</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366,246</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44,622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306,535</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717,403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44,308</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21,668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25,373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91,349</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 July 31, 2017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sales before intercompany eliminations</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437,484</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56,145</w:t>
            </w:r>
          </w:p>
        </w:tc>
        <w:tc>
          <w:tcPr>
            <w:tcW w:w="80" w:type="dxa"/>
            <w:vAlign w:val="bottom"/>
          </w:tcPr>
          <w:p>
            <w:pPr>
              <w:spacing w:after="0"/>
              <w:rPr>
                <w:sz w:val="12"/>
                <w:szCs w:val="12"/>
                <w:color w:val="auto"/>
              </w:rPr>
            </w:pPr>
          </w:p>
        </w:tc>
        <w:tc>
          <w:tcPr>
            <w:tcW w:w="26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307,884</w:t>
            </w:r>
          </w:p>
        </w:tc>
        <w:tc>
          <w:tcPr>
            <w:tcW w:w="100" w:type="dxa"/>
            <w:vAlign w:val="bottom"/>
          </w:tcPr>
          <w:p>
            <w:pPr>
              <w:spacing w:after="0"/>
              <w:rPr>
                <w:sz w:val="12"/>
                <w:szCs w:val="12"/>
                <w:color w:val="auto"/>
              </w:rPr>
            </w:pP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801,513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Intercompany eliminations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(3,152)</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436,601</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53,876</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307,884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798,361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Cost of sales before intercompany eliminations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388,753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285,736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718,484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Intercompany eliminations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(1,887)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(3,152)</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388,005</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42,108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285,219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715,332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48,596</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11,768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22,665</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83,029</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For the three months ended July 31, 2018 and 2017, inter-segment sales and cost of sales of $0.3 million and $0.6 million between Fresh products and RFG were eliminated. For the nine months ended July 31, 2018 and 2017, inter-segment sales and cost of sales of $0.9 million between Fresh products and RFG were eliminated. For the three months ended July 31, 2018 and 2017, inter-segment sales and cost of sales of $0.8 million and $0.9 million between Calavo Foods and RFG were eliminated. For the nine months ended July 31, 2018 and 2017, inter-segment sales and cost of sales of $2.5 million and $2.3 million between Calavo Foods and RFG were eliminated. For the three months ended July 31, 2018, inter-segment sales and cost of sales of $0.1 million between Fresh products and Calavo Foods were eliminated. For the nine months ended July 31, 2018, inter-segment sales and cost of sales of $0.2 million between Fresh products and Calavo Foods were eliminated.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300"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We periodically review the value of items in inventory and record any necessary write downs of inventory based on our assessment of market conditions. No inventory reserve was considered necessary as of July 31, 2018. We recorded a write down of $0.4 million to adjust our fresh fruit inventory to the lower of cost or net realizable value as of October 31, 2017.</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into with other growers. During the three months ended July 31, 2018 and 2017, the aggregate amount of avocados procured from entities owned or controlled by members of our Board of Directors was $9.2 million and $12.3 million. During the nine months ended July 31, 2018 and 2017, the aggregate amount of avocados procured from entities owned or controlled by members of our Board of Directors was $11.2 million and $17.5 million. Amounts payable to these Board members were $1.9 million as of July 31, 2018. We did not have any amounts payable to these Board members as of October 31, 2017.</w:t>
      </w:r>
    </w:p>
    <w:p>
      <w:pPr>
        <w:spacing w:after="0" w:line="189"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During the three months ended July 31, 2018 and 2017, we received $0.1 million as dividend income from Limoneira Company (Limoneira). During the nine months ended July 31, 2018 and 2017, we received $0.3 million as dividend income from Limoneira. In addition, we lease office space from Limoneira and paid rental expenses of $0.1 million for the three months ended July 31, 2018 and 2017. We paid to Limoneira rental expenses of $0.2 million for the nine months ended July 31, 2018 and 2017. Harold Edwards, who is a member of our Board of Directors, is the Chief Executive Officer of Limoneira Company. We have a 10% ownership interest in Limoneira. Additionally, our Chief Executive Officer is a member of the Limoneira Board of Directors.</w:t>
      </w:r>
    </w:p>
    <w:p>
      <w:pPr>
        <w:spacing w:after="0" w:line="189"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We currently have a member of our Board of Directors who also serves as a partner in the law firm of TroyGould PC, which frequently represents Calavo as legal counsel. During each of the three months ended July 31, 2018 and 2017, Calavo Growers, Inc. paid fees totaling less than $0.1 million to TroyGould PC. During each of the nine months ended July 31, 2018 and 2017, Calavo Growers, Inc. paid fees totaling $0.1 million and $0.2 million to TroyGould PC.</w:t>
      </w:r>
    </w:p>
    <w:p>
      <w:pPr>
        <w:spacing w:after="0" w:line="180"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In December 2014, Calavo formed a wholly owned subsidiary Calavo Growers De Mexico, S. de R.L. de C.V. (Calavo Sub). In July 2015, Calavo Sub entered into a Shareholder Agreement with Grupo Belo del Pacifico, S.A. de C.V., (Belo) a Mexican Company owned by Agricola Belher, and formed Agricola Don Memo, S.A. de C.V. (Don Memo). Belo and Calavo Sub have an equal one-half ownership interest in Don Memo. Pursuant to a management service agreement, Belo, through its officers and employees, has day-to-day power and authority to manage the operations. Belo is entitled to a management fee, as defined, which is payable annually in July of each year. Additionally, Calavo Sub is entitled to commission, for the sale of produce in the Mexican National Market, United States, Canada, and any other overseas market.</w:t>
      </w:r>
    </w:p>
    <w:p>
      <w:pPr>
        <w:spacing w:after="0" w:line="18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In January 2016, our unconsolidated subsidiary, Don Memo, entered into a loan agreement in the amount of $4.5 million with Bank of America, N.A. (BoA) proceeds of which were used by Don Memo to repay debt owed to Calavo. Also in January 2016, Calavo and BoA, entered into a Continuing and Unconditional Guaranty Agreement (the Guaranty). Under the terms of the Guaranty, Calavo unconditionally guarantees and promises to pay BoA any and all Indebtedness, as defined therein, of our unconsolidated subsidiary Don Memo to BoA. Belo has also entered into a</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similar guarantee with BoA. As of July 31, 2018, Don Memo was not in compliance with covenants related to this loan agreement with BoA. In August 2018, Don Memo obtained a waiver for this violation.</w:t>
      </w:r>
    </w:p>
    <w:p>
      <w:pPr>
        <w:spacing w:after="0" w:line="162"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As of July 31, 2018 and October 31, 2017, we have an investment of $4.7 million and $4.6 million, representing Calavo Sub’s 50% ownership in Don Memo, which is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July 31, 2018 and October 31, 2017, we had outstanding advances of $2.5 million and $1.6 million to Don Memo. During the three months ended July 31, 2018 and 2017, we recorded $3.4 million and $4.3 million of expenses to Don Memo pursuant to our consignment agreement. During the nine months ended July 31, 2018 and 2017, we recorded $7.2 million and $5.0 million of expenses to Don Memo pursuant to our consignment agreement.</w:t>
      </w:r>
    </w:p>
    <w:p>
      <w:pPr>
        <w:spacing w:after="0" w:line="185"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We had grower advances due from Belher of $2.0 million and $4.0 million as of July 31, 2018 and October 31, 2017, which are netted against the grower payable. In addition, we had infrastructure advances due from Belher of $0.4 million and $0.6 million as of July 31, 2018 and October 31, 2017. Of these infrastructure advances $0.2 million was recorded as receivable in prepaid and other current assets. The remaining $0.2 million of these infrastructure advances are recorded in other assets. During the three months ended July 31, 2018 and 2017, we recorded $1.5 million and $0.8 million of expenses to Belher pursuant to our consignment agreement. During the nine months ended July 31, 2018 and 2017, we recorded $14.1 million and $13.9 million of expenses to Belher pursuant to our consignment agreement.</w:t>
      </w:r>
    </w:p>
    <w:p>
      <w:pPr>
        <w:spacing w:after="0" w:line="189" w:lineRule="exact"/>
        <w:rPr>
          <w:sz w:val="20"/>
          <w:szCs w:val="20"/>
          <w:color w:val="auto"/>
        </w:rPr>
      </w:pPr>
    </w:p>
    <w:p>
      <w:pPr>
        <w:ind w:right="20" w:firstLine="259"/>
        <w:spacing w:after="0" w:line="257" w:lineRule="auto"/>
        <w:rPr>
          <w:sz w:val="20"/>
          <w:szCs w:val="20"/>
          <w:color w:val="auto"/>
        </w:rPr>
      </w:pPr>
      <w:r>
        <w:rPr>
          <w:rFonts w:ascii="Times New Roman" w:cs="Times New Roman" w:eastAsia="Times New Roman" w:hAnsi="Times New Roman"/>
          <w:sz w:val="18"/>
          <w:szCs w:val="18"/>
          <w:color w:val="auto"/>
        </w:rPr>
        <w:t>In August 2015, we entered into Shareholder’s Agreement with various partners and created Avocados de Jalisco, S.A.P.I. de C.V. (“Avocados de Jalisco”). Avocados de Jalisco is a Mexican corporation created to engage in procuring, packing and selling avocados. This entity is approximately 83% owned by Calavo and is consolidated in our financial</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Avocados de Jalisco built a packinghouse located in Jalisco, Mexico, which began operations in June of 2017. As of July 31, 2018 and October 31, 2017, we have made preseason advances of approximately $0.1 million to various partners of Avocados de Jalisco. During the three months ended July 31, 2018 and 2017, we purchased approximately $0.9 million and $1.7 million of avocados from the partners of Avocados de Jalisco. During the nine months ended July 31, 2018 and 2017, we purchased approximately $1.1 million and $1.7 million of avocados from the partners of Avocados de Jalisco. In January 2018, we transferred $1.0 million of interest to the Avocados de Jalisco noncontrolling members.</w:t>
      </w:r>
    </w:p>
    <w:p>
      <w:pPr>
        <w:spacing w:after="0" w:line="190"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As of July 31, 2018 and October 31, 2017, we have an investment of $28.4 million in FreshRealm, LLC (“FreshRealm”). We record the amount of our investment in FreshRealm in “Investment in unconsolidated entities” on our Consolidated Condensed Balance Sheets and recognize losses in FreshRealm in “Income (loss) in unconsolidated entities” in our Consolidated Condensed Statement of Income. See Note 13 for additional information.</w:t>
      </w:r>
    </w:p>
    <w:p>
      <w:pPr>
        <w:spacing w:after="0" w:line="180" w:lineRule="exact"/>
        <w:rPr>
          <w:sz w:val="20"/>
          <w:szCs w:val="20"/>
          <w:color w:val="auto"/>
        </w:rPr>
      </w:pPr>
    </w:p>
    <w:p>
      <w:pPr>
        <w:ind w:right="100" w:firstLine="259"/>
        <w:spacing w:after="0" w:line="282" w:lineRule="auto"/>
        <w:rPr>
          <w:sz w:val="20"/>
          <w:szCs w:val="20"/>
          <w:color w:val="auto"/>
        </w:rPr>
      </w:pPr>
      <w:r>
        <w:rPr>
          <w:rFonts w:ascii="Times New Roman" w:cs="Times New Roman" w:eastAsia="Times New Roman" w:hAnsi="Times New Roman"/>
          <w:sz w:val="18"/>
          <w:szCs w:val="18"/>
          <w:color w:val="auto"/>
        </w:rPr>
        <w:t>On July 3</w:t>
      </w:r>
      <w:r>
        <w:rPr>
          <w:rFonts w:ascii="Times New Roman" w:cs="Times New Roman" w:eastAsia="Times New Roman" w:hAnsi="Times New Roman"/>
          <w:sz w:val="8"/>
          <w:szCs w:val="8"/>
          <w:color w:val="auto"/>
        </w:rPr>
        <w:t>rd</w:t>
      </w:r>
      <w:r>
        <w:rPr>
          <w:rFonts w:ascii="Times New Roman" w:cs="Times New Roman" w:eastAsia="Times New Roman" w:hAnsi="Times New Roman"/>
          <w:sz w:val="18"/>
          <w:szCs w:val="18"/>
          <w:color w:val="auto"/>
        </w:rPr>
        <w:t>, 2018, we entered into a $2.5 million Promissory Note with FreshRealm. That note was repaid in full on July 31, 2018 in connection with the debt and equity financing described below.</w:t>
      </w:r>
    </w:p>
    <w:p>
      <w:pPr>
        <w:spacing w:after="0" w:line="162"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Effective July 31, 2018, we entered into a Note and Membership Unit Purchase Agreement (“NMUPA”) with FreshRealm, pursuant to which we agreed to provide additional financing to FreshRealm, subject to certain terms and conditions. Pursuant to such NMUPA, we entered into a Subscription Agreement with FreshRealm, whereby we purchased $3.5 million of equity units in FreshRealm, on July 31, 2018. FreshRealm concurrently entered into subscription agreements with certain third-party investors for an additional $3.5 million of equity investments. As of July 31, 2018, our ownership percentage in FreshRealm was approximately 37%.</w:t>
      </w:r>
    </w:p>
    <w:p>
      <w:pPr>
        <w:spacing w:after="0" w:line="188" w:lineRule="exact"/>
        <w:rPr>
          <w:sz w:val="20"/>
          <w:szCs w:val="20"/>
          <w:color w:val="auto"/>
        </w:rPr>
      </w:pPr>
    </w:p>
    <w:p>
      <w:pPr>
        <w:ind w:right="200" w:firstLine="259"/>
        <w:spacing w:after="0" w:line="256" w:lineRule="auto"/>
        <w:rPr>
          <w:sz w:val="20"/>
          <w:szCs w:val="20"/>
          <w:color w:val="auto"/>
        </w:rPr>
      </w:pPr>
      <w:r>
        <w:rPr>
          <w:rFonts w:ascii="Times New Roman" w:cs="Times New Roman" w:eastAsia="Times New Roman" w:hAnsi="Times New Roman"/>
          <w:sz w:val="18"/>
          <w:szCs w:val="18"/>
          <w:color w:val="auto"/>
        </w:rPr>
        <w:t>Additionally, pursuant to such NMUPA, we entered into a $12 million Senior Promissory Note and corresponding Security Agreement (collectively, the “Agreements”) with FreshRealm, effective August 10, 2018. Pursuant to the Agreements, the $12 million facility is available in two $6 million tranches. On August 10, 2018, we funded the first $6 million tranche to FreshRealm. The second $6 million tranche will be available to FreshRealm upon its attainment of least $17 million in gross revenues over any consecutive two calendar months (i.e. in aggregate). See Note 13 for further information.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Three officers and five members of our board of directors have investments in FreshRealm. In addition, as of July 31, 2018 and October 31, 2017, we have a loan to FreshRealm members of approximately $0.2 million and $0.3 million. In December 2017, our Chairman and Chief Executive Officer invested $1.5 million into FreshRealm. In January 2018, one of our non-executive directors invested $1.8 million into FreshRealm. In the second quarter of fiscal 2018, two of our non-executive directors invested $1.2 million into FreshRealm.</w:t>
      </w:r>
    </w:p>
    <w:p>
      <w:pPr>
        <w:spacing w:after="0" w:line="184" w:lineRule="exact"/>
        <w:rPr>
          <w:sz w:val="20"/>
          <w:szCs w:val="20"/>
          <w:color w:val="auto"/>
        </w:rPr>
      </w:pPr>
    </w:p>
    <w:p>
      <w:pPr>
        <w:ind w:right="40" w:firstLine="259"/>
        <w:spacing w:after="0" w:line="272" w:lineRule="auto"/>
        <w:rPr>
          <w:sz w:val="20"/>
          <w:szCs w:val="20"/>
          <w:color w:val="auto"/>
        </w:rPr>
      </w:pPr>
      <w:r>
        <w:rPr>
          <w:rFonts w:ascii="Times New Roman" w:cs="Times New Roman" w:eastAsia="Times New Roman" w:hAnsi="Times New Roman"/>
          <w:sz w:val="17"/>
          <w:szCs w:val="17"/>
          <w:color w:val="auto"/>
        </w:rPr>
        <w:t>We provide storage services to FreshRealm from our New Jersey and Texas Value-Added Depots, and our RFG Riverside facility. We have received $0.1 million in storage services revenue from FreshRealm in the three months ended July 31, 2018. We have received $0.2 million in storage services revenue from FreshRealm in the nine months ended July 31,</w:t>
      </w:r>
    </w:p>
    <w:p>
      <w:pPr>
        <w:spacing w:after="0" w:line="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2018. For the three months ended July 31, 2018 and 2017, RFG has sold $3.6 million and $2.1 million of products to FreshRealm. For the nine months ended July 31, 2018 and 2017, RFG has sold $7.4 million and $5.1 million of products to FreshRealm.</w:t>
      </w:r>
    </w:p>
    <w:p>
      <w:pPr>
        <w:spacing w:after="0" w:line="186"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The previous owners of RFG, one of which is currently an officer of Calavo, have a majority ownership of certain entities that provide various services to RFG, specifically LIG Partners, LLC and THNC, LLC. One of RFG’s California operating facilities leases a building from LIG Partners, LLC (LIG) pursuant to an operating lease. RFG’s Texas operating facility leases a building from THNC, LLC (THNC) pursuant to an operating lease. See the following tables for the related party activity for the three and nine months ended July 31, 2018 and 2017:</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1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480" w:type="dxa"/>
            <w:vAlign w:val="bottom"/>
            <w:vMerge w:val="continue"/>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paid to LIG</w:t>
            </w: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Rent paid to THNC, LLC</w:t>
            </w:r>
          </w:p>
        </w:tc>
        <w:tc>
          <w:tcPr>
            <w:tcW w:w="2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tcPr>
          <w:p>
            <w:pPr>
              <w:spacing w:after="0"/>
              <w:rPr>
                <w:sz w:val="20"/>
                <w:szCs w:val="20"/>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20" w:type="dxa"/>
            <w:vAlign w:val="bottom"/>
          </w:tcPr>
          <w:p>
            <w:pPr>
              <w:spacing w:after="0"/>
              <w:rPr>
                <w:sz w:val="24"/>
                <w:szCs w:val="24"/>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11"/>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480" w:type="dxa"/>
            <w:vAlign w:val="bottom"/>
            <w:vMerge w:val="continue"/>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paid to LIG</w:t>
            </w:r>
          </w:p>
        </w:tc>
        <w:tc>
          <w:tcPr>
            <w:tcW w:w="182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Rent paid to THNC, LLC</w:t>
            </w:r>
          </w:p>
        </w:tc>
        <w:tc>
          <w:tcPr>
            <w:tcW w:w="2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0" w:type="dxa"/>
            <w:vAlign w:val="bottom"/>
          </w:tcPr>
          <w:p>
            <w:pPr>
              <w:spacing w:after="0"/>
              <w:rPr>
                <w:sz w:val="20"/>
                <w:szCs w:val="20"/>
                <w:color w:val="auto"/>
              </w:rPr>
            </w:pPr>
          </w:p>
        </w:tc>
        <w:tc>
          <w:tcPr>
            <w:tcW w:w="380" w:type="dxa"/>
            <w:vAlign w:val="bottom"/>
            <w:gridSpan w:val="5"/>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Other assets</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920" w:type="dxa"/>
            <w:vAlign w:val="bottom"/>
          </w:tcPr>
          <w:p>
            <w:pPr>
              <w:spacing w:after="0"/>
              <w:rPr>
                <w:sz w:val="17"/>
                <w:szCs w:val="17"/>
                <w:color w:val="auto"/>
              </w:rPr>
            </w:pPr>
          </w:p>
        </w:tc>
        <w:tc>
          <w:tcPr>
            <w:tcW w:w="348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Borders>
              <w:right w:val="single" w:sz="8" w:color="CCEEFF"/>
            </w:tcBorders>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000" w:type="dxa"/>
            <w:vAlign w:val="bottom"/>
            <w:gridSpan w:val="5"/>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6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w w:val="98"/>
              </w:rPr>
              <w:t>Mexican IVA (i.e. value-added) taxes receivable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18,174</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CCEEFF"/>
            </w:tcBorders>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 advance to Agricola Belher</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Loan to FreshRealm members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right w:val="single" w:sz="8" w:color="CCEEFF"/>
            </w:tcBorders>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 from San Rafael</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6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6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Borders>
              <w:right w:val="single" w:sz="8" w:color="CCEEFF"/>
            </w:tcBorders>
          </w:tcPr>
          <w:p>
            <w:pPr>
              <w:spacing w:after="0"/>
              <w:rPr>
                <w:sz w:val="19"/>
                <w:szCs w:val="19"/>
                <w:color w:val="auto"/>
              </w:rPr>
            </w:pPr>
          </w:p>
        </w:tc>
        <w:tc>
          <w:tcPr>
            <w:tcW w:w="348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gridSpan w:val="5"/>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25,035</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gridSpan w:val="3"/>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22,791</w:t>
            </w:r>
          </w:p>
        </w:tc>
        <w:tc>
          <w:tcPr>
            <w:tcW w:w="60" w:type="dxa"/>
            <w:vAlign w:val="bottom"/>
            <w:tcBorders>
              <w:bottom w:val="single" w:sz="8" w:color="auto"/>
              <w:right w:val="single" w:sz="8" w:color="CCEEFF"/>
            </w:tcBorders>
            <w:shd w:val="clear" w:color="auto" w:fill="CCEEFF"/>
          </w:tcPr>
          <w:p>
            <w:pPr>
              <w:spacing w:after="0"/>
              <w:rPr>
                <w:sz w:val="19"/>
                <w:szCs w:val="19"/>
                <w:color w:val="auto"/>
              </w:rPr>
            </w:pPr>
          </w:p>
        </w:tc>
        <w:tc>
          <w:tcPr>
            <w:tcW w:w="90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4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2018</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October 31, 2017</w:t>
            </w: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27"/>
        </w:trPr>
        <w:tc>
          <w:tcPr>
            <w:tcW w:w="28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6"/>
        </w:trPr>
        <w:tc>
          <w:tcPr>
            <w:tcW w:w="28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Book</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Book</w:t>
            </w:r>
          </w:p>
        </w:tc>
      </w:tr>
      <w:tr>
        <w:trPr>
          <w:trHeight w:val="199"/>
        </w:trPr>
        <w:tc>
          <w:tcPr>
            <w:tcW w:w="28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7"/>
                <w:szCs w:val="17"/>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list/relationships</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 years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$ 1,459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8.4 years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secrets/recipes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 years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Brand name intangibles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indefinite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 years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$ 2,226</w:t>
            </w:r>
          </w:p>
        </w:tc>
        <w:tc>
          <w:tcPr>
            <w:tcW w:w="60" w:type="dxa"/>
            <w:vAlign w:val="bottom"/>
          </w:tcPr>
          <w:p>
            <w:pPr>
              <w:spacing w:after="0"/>
              <w:rPr>
                <w:sz w:val="18"/>
                <w:szCs w:val="18"/>
                <w:color w:val="auto"/>
              </w:rPr>
            </w:pPr>
          </w:p>
        </w:tc>
      </w:tr>
    </w:tbl>
    <w:p>
      <w:pPr>
        <w:spacing w:after="0" w:line="198"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We anticipate recording amortization expense of approximately $0.3 million for the remainder of fiscal 2018, $0.7 million for fiscal year 2019, $0.1 million for fiscal year 2020, $0.1 million for fiscal year 2021, and $0.1 million for thereafter, through fiscal year 2023.</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11 for additional information related to Mexican IVA taxes.</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ind w:right="480" w:firstLine="259"/>
        <w:spacing w:after="0" w:line="261" w:lineRule="auto"/>
        <w:rPr>
          <w:sz w:val="20"/>
          <w:szCs w:val="20"/>
          <w:color w:val="auto"/>
        </w:rPr>
      </w:pPr>
      <w:r>
        <w:rPr>
          <w:rFonts w:ascii="Times New Roman" w:cs="Times New Roman" w:eastAsia="Times New Roman" w:hAnsi="Times New Roman"/>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180" w:lineRule="exact"/>
        <w:rPr>
          <w:sz w:val="20"/>
          <w:szCs w:val="20"/>
          <w:color w:val="auto"/>
        </w:rPr>
      </w:pPr>
    </w:p>
    <w:p>
      <w:pPr>
        <w:ind w:right="140" w:firstLine="259"/>
        <w:spacing w:after="0" w:line="254" w:lineRule="auto"/>
        <w:rPr>
          <w:sz w:val="20"/>
          <w:szCs w:val="20"/>
          <w:color w:val="auto"/>
        </w:rPr>
      </w:pPr>
      <w:r>
        <w:rPr>
          <w:rFonts w:ascii="Times New Roman" w:cs="Times New Roman" w:eastAsia="Times New Roman" w:hAnsi="Times New Roman"/>
          <w:sz w:val="18"/>
          <w:szCs w:val="18"/>
          <w:color w:val="auto"/>
        </w:rPr>
        <w:t>On January 2, 2018, all 12 of our non-employee directors were granted 1,750 restricted shares each (total of 21,000 shares). These shares have full voting rights and participate in dividends as if unrestricted. The closing price of our stock on such date was $85.90. On January 2, 2019, as long as the directors are still serving on the board, these shares lose their restriction and become non-forfeitable and transferable. These shares were granted pursuant to our 2011 Plan. The total recognized stock-based compensation expense for these grants was $0.5 million for the three months ended July 31,</w:t>
      </w:r>
    </w:p>
    <w:p>
      <w:pPr>
        <w:spacing w:after="0" w:line="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2018. The total recognized stock-based compensation expense for these grants was $1.1 million for the nine months ended July 31, 2018.</w:t>
      </w:r>
    </w:p>
    <w:p>
      <w:pPr>
        <w:spacing w:after="0" w:line="180" w:lineRule="exact"/>
        <w:rPr>
          <w:sz w:val="20"/>
          <w:szCs w:val="20"/>
          <w:color w:val="auto"/>
        </w:rPr>
      </w:pPr>
    </w:p>
    <w:p>
      <w:pPr>
        <w:ind w:right="100" w:firstLine="259"/>
        <w:spacing w:after="0" w:line="256" w:lineRule="auto"/>
        <w:rPr>
          <w:sz w:val="20"/>
          <w:szCs w:val="20"/>
          <w:color w:val="auto"/>
        </w:rPr>
      </w:pPr>
      <w:r>
        <w:rPr>
          <w:rFonts w:ascii="Times New Roman" w:cs="Times New Roman" w:eastAsia="Times New Roman" w:hAnsi="Times New Roman"/>
          <w:sz w:val="18"/>
          <w:szCs w:val="18"/>
          <w:color w:val="auto"/>
        </w:rPr>
        <w:t>On December 18, 2017, our executive officers were granted a total of 25,241 restricted shares. These shares have full voting rights and participate in dividends as if unrestricted. The closing price of our stock on such date was $75.45. These shares vest in one-third increments, on an annual basis, beginning December 18, 2018. These shares were granted pursuant to our 2011 Plan. The total recognized stock-based compensation expense for these grants was $0.2 million for the three months ended July 31, 2018. The total recognized stock-based compensation expense for these grants was $0.4 million for the nine months ended July 31, 2018.</w:t>
      </w:r>
    </w:p>
    <w:p>
      <w:pPr>
        <w:spacing w:after="0" w:line="188"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On October 31, 2017, a member of the management team at RFG resigned. His unvested portion of restricted stock issued in December of 2016 and January of 2016 was forfeited. On January 25, 2018, in consideration of and in exchange for his forfeiture of restricted shares upon his resignation, the board of directors granted 10,788 shares of unrestricted stock, which immediately vested. The closing price of our stock on such date was $87.10. We recorded for this grant $0.8 million of stock-based compensation expense in our fiscal first quarter of 2018.</w:t>
      </w:r>
    </w:p>
    <w:p>
      <w:pPr>
        <w:spacing w:after="0" w:line="184"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On February 2, 2017, our Vice President of the Foods Division retired from Calavo for medical reasons. In January 2018, per the terms of our 2011 Plan and the respective employee award, the board of directors awarded the portion of the fiscal 2017 management bonus for the percentage of the year worked. As a result, he was granted 867 shares of unrestricted stock, which immediately vested. As a result, we recorded $0.1 million of stock-based compensation expense in our fiscal first quarter of 2018.</w:t>
      </w:r>
    </w:p>
    <w:p>
      <w:pPr>
        <w:spacing w:after="0" w:line="4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21" w:right="1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A summary of restricted stock activity, related to our 2011 Management Incentive Plan, is as follows (in thousands, except for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2018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The total recognized stock-based compensation expense for restricted stock was $0.9 million and $0.8 million for the three months ended July 31, 2018 and 2017. The total recognized stock-based compensation expense for restricted stock was $2.7 million and $2.3 million for the nine months ended July 31, 2018 and 2017. Total unrecognized stock-based compensation expense totaled $3.9 million and $3.0 million as of July 31, 2018 and October 31, 2017, and will be amortized through fiscal year 2020.</w:t>
      </w:r>
    </w:p>
    <w:p>
      <w:pPr>
        <w:spacing w:after="0" w:line="184" w:lineRule="exact"/>
        <w:rPr>
          <w:sz w:val="20"/>
          <w:szCs w:val="20"/>
          <w:color w:val="auto"/>
        </w:rPr>
      </w:pPr>
    </w:p>
    <w:p>
      <w:pPr>
        <w:ind w:right="160" w:firstLine="259"/>
        <w:spacing w:after="0" w:line="266" w:lineRule="auto"/>
        <w:rPr>
          <w:sz w:val="20"/>
          <w:szCs w:val="20"/>
          <w:color w:val="auto"/>
        </w:rPr>
      </w:pPr>
      <w:r>
        <w:rPr>
          <w:rFonts w:ascii="Times New Roman" w:cs="Times New Roman" w:eastAsia="Times New Roman" w:hAnsi="Times New Roman"/>
          <w:sz w:val="18"/>
          <w:szCs w:val="18"/>
          <w:color w:val="auto"/>
        </w:rPr>
        <w:t>Stock options are granted with exercise prices of not less than the fair market value at grant date, generally vest over one to five years and generally expire two to five years after the grant date. We settle stock option exercises with newly issued shares of common stock.</w:t>
      </w:r>
    </w:p>
    <w:p>
      <w:pPr>
        <w:spacing w:after="0" w:line="68"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 based compensation awards on the date of grant.</w:t>
      </w:r>
    </w:p>
    <w:p>
      <w:pPr>
        <w:spacing w:after="0" w:line="68" w:lineRule="exact"/>
        <w:rPr>
          <w:sz w:val="20"/>
          <w:szCs w:val="20"/>
          <w:color w:val="auto"/>
        </w:rPr>
      </w:pPr>
    </w:p>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related to our 2005 Stock Incentive Plan, is as follows (in thousands, except for per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99"/>
        </w:trPr>
        <w:tc>
          <w:tcPr>
            <w:tcW w:w="5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2017</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18.54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tcPr>
          <w:p>
            <w:pPr>
              <w:jc w:val="right"/>
              <w:ind w:right="234"/>
              <w:spacing w:after="0"/>
              <w:rPr>
                <w:sz w:val="20"/>
                <w:szCs w:val="20"/>
                <w:color w:val="auto"/>
              </w:rPr>
            </w:pPr>
            <w:r>
              <w:rPr>
                <w:rFonts w:ascii="Times New Roman" w:cs="Times New Roman" w:eastAsia="Times New Roman" w:hAnsi="Times New Roman"/>
                <w:sz w:val="18"/>
                <w:szCs w:val="18"/>
                <w:color w:val="auto"/>
              </w:rPr>
              <w:t>17.66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2018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19.20</w:t>
            </w:r>
          </w:p>
        </w:tc>
        <w:tc>
          <w:tcPr>
            <w:tcW w:w="1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shd w:val="clear" w:color="auto" w:fill="CCEEFF"/>
          </w:tcPr>
          <w:p>
            <w:pPr>
              <w:spacing w:after="0"/>
              <w:rPr>
                <w:sz w:val="19"/>
                <w:szCs w:val="19"/>
                <w:color w:val="auto"/>
              </w:rPr>
            </w:pPr>
          </w:p>
        </w:tc>
      </w:tr>
      <w:tr>
        <w:trPr>
          <w:trHeight w:val="210"/>
        </w:trPr>
        <w:tc>
          <w:tcPr>
            <w:tcW w:w="53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Exercisable at July 31, 2018</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tcPr>
          <w:p>
            <w:pPr>
              <w:jc w:val="right"/>
              <w:ind w:right="234"/>
              <w:spacing w:after="0" w:line="203" w:lineRule="exact"/>
              <w:rPr>
                <w:sz w:val="20"/>
                <w:szCs w:val="20"/>
                <w:color w:val="auto"/>
              </w:rPr>
            </w:pPr>
            <w:r>
              <w:rPr>
                <w:rFonts w:ascii="Times New Roman" w:cs="Times New Roman" w:eastAsia="Times New Roman" w:hAnsi="Times New Roman"/>
                <w:sz w:val="18"/>
                <w:szCs w:val="18"/>
                <w:color w:val="auto"/>
              </w:rPr>
              <w:t>19.20</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ind w:right="216"/>
              <w:spacing w:after="0" w:line="203" w:lineRule="exact"/>
              <w:rPr>
                <w:sz w:val="20"/>
                <w:szCs w:val="20"/>
                <w:color w:val="auto"/>
              </w:rPr>
            </w:pPr>
            <w:r>
              <w:rPr>
                <w:rFonts w:ascii="Times New Roman" w:cs="Times New Roman" w:eastAsia="Times New Roman" w:hAnsi="Times New Roman"/>
                <w:sz w:val="18"/>
                <w:szCs w:val="18"/>
                <w:color w:val="auto"/>
              </w:rPr>
              <w:t>370</w:t>
            </w:r>
          </w:p>
        </w:tc>
        <w:tc>
          <w:tcPr>
            <w:tcW w:w="6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At July 31, 2018, outstanding and exercisable stock options had a weighted-average remaining contractual term of</w:t>
      </w:r>
    </w:p>
    <w:p>
      <w:pPr>
        <w:spacing w:after="0" w:line="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1.6 years. The total recognized and unrecognized stock-based compensation expense was insignificant for the three and nine months ended July 31, 2018.</w:t>
      </w:r>
    </w:p>
    <w:p>
      <w:pPr>
        <w:spacing w:after="0" w:line="153" w:lineRule="exact"/>
        <w:rPr>
          <w:sz w:val="20"/>
          <w:szCs w:val="20"/>
          <w:color w:val="auto"/>
        </w:rPr>
      </w:pPr>
    </w:p>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related to our 2011 Management Incentive Plan, is as follows (in thousands, except for per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16"/>
        </w:trPr>
        <w:tc>
          <w:tcPr>
            <w:tcW w:w="5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8"/>
                <w:szCs w:val="18"/>
                <w:color w:val="auto"/>
              </w:rPr>
            </w:pPr>
          </w:p>
        </w:tc>
        <w:tc>
          <w:tcPr>
            <w:tcW w:w="7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9"/>
        </w:trPr>
        <w:tc>
          <w:tcPr>
            <w:tcW w:w="5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2017</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40.07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July 31, 2018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40.07</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60" w:type="dxa"/>
            <w:vAlign w:val="bottom"/>
          </w:tcPr>
          <w:p>
            <w:pPr>
              <w:spacing w:after="0"/>
              <w:rPr>
                <w:sz w:val="19"/>
                <w:szCs w:val="19"/>
                <w:color w:val="auto"/>
              </w:rPr>
            </w:pPr>
          </w:p>
        </w:tc>
      </w:tr>
      <w:tr>
        <w:trPr>
          <w:trHeight w:val="223"/>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July 31, 2018</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29.01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762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right="40" w:firstLine="259"/>
        <w:spacing w:after="0" w:line="266" w:lineRule="auto"/>
        <w:rPr>
          <w:sz w:val="20"/>
          <w:szCs w:val="20"/>
          <w:color w:val="auto"/>
        </w:rPr>
      </w:pPr>
      <w:r>
        <w:rPr>
          <w:rFonts w:ascii="Times New Roman" w:cs="Times New Roman" w:eastAsia="Times New Roman" w:hAnsi="Times New Roman"/>
          <w:sz w:val="18"/>
          <w:szCs w:val="18"/>
          <w:color w:val="auto"/>
        </w:rPr>
        <w:t>At July 31, 2018, outstanding and exercisable stock options had a weighted-average remaining contractual term of 4.5 years. The total recognized and unrecognized stock-based compensation expense was insignificant for the three and nine months ended July 31, 2018.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60" w:hanging="357"/>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 payment</w:t>
      </w:r>
    </w:p>
    <w:p>
      <w:pPr>
        <w:spacing w:after="0" w:line="229"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On December 8, 2017, we paid a $0.95 per share dividend in the aggregate amount of $16.7 million to shareholders of record on November 17, 2017.</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We were a named defendant in two class action lawsuits filed in Superior state courts in California alleging violations of California wage-and-hour laws, failure to pay overtime, failure to pay for missed meal and rest periods, failure to provide accurate itemized wage statements, failure to pay all wages due at the time of termination or resignation, as well as statutory penalties for violation of the California Labor Code and Minimum Wage Order-2014.</w:t>
      </w:r>
    </w:p>
    <w:p>
      <w:pPr>
        <w:spacing w:after="0" w:line="180"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In August 2017, the parties reached a tentative settlement of the case (pending court approval), whereby we agreed to pay $0.4 million to resolve the allegations and avoid further distraction that would result if the litigation continued. The Company recorded $0.4 million as a selling, general and administrative expense in the third quarter of fiscal 2017. In August 2018, the court approved the settlement, and we paid $0.4 million.</w:t>
      </w:r>
    </w:p>
    <w:p>
      <w:pPr>
        <w:spacing w:after="0" w:line="180"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right="20" w:firstLine="177"/>
        <w:spacing w:after="0" w:line="252" w:lineRule="auto"/>
        <w:rPr>
          <w:sz w:val="20"/>
          <w:szCs w:val="20"/>
          <w:color w:val="auto"/>
        </w:rPr>
      </w:pPr>
      <w:r>
        <w:rPr>
          <w:rFonts w:ascii="Times New Roman" w:cs="Times New Roman" w:eastAsia="Times New Roman" w:hAnsi="Times New Roman"/>
          <w:sz w:val="18"/>
          <w:szCs w:val="18"/>
          <w:color w:val="auto"/>
        </w:rPr>
        <w:t>We conduct business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(“VAT”). During our fourth fiscal quarter of 2016, we provided a written rebuttal to MFM’s preliminary observations and requested the adoption of a conclusive agreement before the PRODECON (Local Tax Ombudsman) so that a full discussion of the case between us, the MFM and the PRODECON, as appropriate, can lead to a reconsideration of the MFM findings. During our third and fourth fiscal quarters of 2017, several meetings between MFM, PRODECON and us took place and on November 28, 2017, the initial PRODECON process concluded. In April 2018, we filed a second formal agreement before the PRODECON, so that we can continue the discussion of the case between us, the MFM and the PRODECON. During this meeting and discussion period, the statutory period that MFM has in order to issue the tax assessment has been suspended. Currently, we are waiting for the response of the MFM and the PRODECON regarding our next meeting date. We believe we have the legal arguments and documentation to sustain the positions challenged by tax authorities.</w:t>
      </w:r>
    </w:p>
    <w:p>
      <w:pPr>
        <w:spacing w:after="0" w:line="196" w:lineRule="exact"/>
        <w:rPr>
          <w:sz w:val="20"/>
          <w:szCs w:val="20"/>
          <w:color w:val="auto"/>
        </w:rPr>
      </w:pPr>
    </w:p>
    <w:p>
      <w:pPr>
        <w:ind w:right="140" w:firstLine="170"/>
        <w:spacing w:after="0" w:line="253" w:lineRule="auto"/>
        <w:rPr>
          <w:sz w:val="20"/>
          <w:szCs w:val="20"/>
          <w:color w:val="auto"/>
        </w:rPr>
      </w:pPr>
      <w:r>
        <w:rPr>
          <w:rFonts w:ascii="Times New Roman" w:cs="Times New Roman" w:eastAsia="Times New Roman" w:hAnsi="Times New Roman"/>
          <w:sz w:val="18"/>
          <w:szCs w:val="18"/>
          <w:color w:val="auto"/>
        </w:rPr>
        <w:t>Additionally, we also received notice from Mexico's Federal Tax Administration Service, Servicio de Administracion Tributaria (SAT), that our wholly-owned Mexican subsidiary, Calavo de Mexico,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 during our second fiscal quarter of 2017, which the SAT is in process of analyzing. During our third fiscal quarter of 2017, we requested the adoption of a conclusive agreement before the PRODECON (Local Tax Ombudsman), so that a full discussion of the case between us, the SAT and the PRODECON, as appropriate, can lead to a reconsideration of the SATs findings. During this meeting and discussion period, the statutory period that SAT had in order to issue the tax assessment was suspended. During our first fiscal quarter of 2018, we had an initial meeting with officials from the SAT and the PRODECON, which led to a further exchange of supporting information and documentation. Although several meetings and discussions with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PRODECON and the SAT were conducted during our fiscal third quarter, we were unable to materially resolve our case with the SAT through the PRODECON process.</w:t>
      </w:r>
    </w:p>
    <w:p>
      <w:pPr>
        <w:spacing w:after="0" w:line="162" w:lineRule="exact"/>
        <w:rPr>
          <w:sz w:val="20"/>
          <w:szCs w:val="20"/>
          <w:color w:val="auto"/>
        </w:rPr>
      </w:pPr>
    </w:p>
    <w:p>
      <w:pPr>
        <w:ind w:right="140" w:firstLine="170"/>
        <w:spacing w:after="0" w:line="261" w:lineRule="auto"/>
        <w:rPr>
          <w:sz w:val="20"/>
          <w:szCs w:val="20"/>
          <w:color w:val="auto"/>
        </w:rPr>
      </w:pPr>
      <w:r>
        <w:rPr>
          <w:rFonts w:ascii="Times New Roman" w:cs="Times New Roman" w:eastAsia="Times New Roman" w:hAnsi="Times New Roman"/>
          <w:sz w:val="18"/>
          <w:szCs w:val="18"/>
          <w:color w:val="auto"/>
        </w:rPr>
        <w:t>As a result, on July 12, 2018, the SAT’s local office in Uruapan issued to CDM a final tax assessment (the “2013 Assessment”) totaling approximately $2.62 billion Mexican pesos related to Income Tax, Flat Rate Business Tax, and Value Added Tax, related to this fiscal 2013 tax audit. Additionally, the tax authorities have determined an employee’s profit sharing liability totaling approximately $118 million Mexican pesos as well.</w:t>
      </w:r>
    </w:p>
    <w:p>
      <w:pPr>
        <w:spacing w:after="0" w:line="180" w:lineRule="exact"/>
        <w:rPr>
          <w:sz w:val="20"/>
          <w:szCs w:val="20"/>
          <w:color w:val="auto"/>
        </w:rPr>
      </w:pPr>
    </w:p>
    <w:p>
      <w:pPr>
        <w:ind w:right="20" w:firstLine="177"/>
        <w:spacing w:after="0" w:line="254" w:lineRule="auto"/>
        <w:rPr>
          <w:sz w:val="20"/>
          <w:szCs w:val="20"/>
          <w:color w:val="auto"/>
        </w:rPr>
      </w:pPr>
      <w:r>
        <w:rPr>
          <w:rFonts w:ascii="Times New Roman" w:cs="Times New Roman" w:eastAsia="Times New Roman" w:hAnsi="Times New Roman"/>
          <w:sz w:val="18"/>
          <w:szCs w:val="18"/>
          <w:color w:val="auto"/>
        </w:rPr>
        <w:t>We have consulted with both an internationally recognized tax advisor, as well as a global law firm with offices throughout Mexico, and we continue to believe this tax assessment is without merit. In August 2018, we filed an administrative appeal on the 2013 Assessment. The filing of an administrative appeal in Mexico is a process in which the taxpayer appeals to a different office within the Mexican tax authorities forcing the legal office within the SAT to rule on the matter. This process preserves the taxpayer’s right to litigate in tax court if the administrative appeal process ends without a favorable or just resolution. Here, CDM has appealed our case to the SAT’s central legal department in Mexico City. Furthermore, in August 2018, we received a favorable ruling from the SAT’s central legal department in Mexico City on another tax matter (see footnote 11 regarding VAT refunds) indicating that they believe our legal interpretation is accurate on a matter that is also central to the 2013 Assessment. We believe this recent ruling significantly undermines the 2013 Assessment we received in July 2018.</w:t>
      </w:r>
    </w:p>
    <w:p>
      <w:pPr>
        <w:spacing w:after="0" w:line="186" w:lineRule="exact"/>
        <w:rPr>
          <w:sz w:val="20"/>
          <w:szCs w:val="20"/>
          <w:color w:val="auto"/>
        </w:rPr>
      </w:pPr>
    </w:p>
    <w:p>
      <w:pPr>
        <w:ind w:right="940" w:firstLine="222"/>
        <w:spacing w:after="0" w:line="282" w:lineRule="auto"/>
        <w:rPr>
          <w:sz w:val="20"/>
          <w:szCs w:val="20"/>
          <w:color w:val="auto"/>
        </w:rPr>
      </w:pPr>
      <w:r>
        <w:rPr>
          <w:rFonts w:ascii="Times New Roman" w:cs="Times New Roman" w:eastAsia="Times New Roman" w:hAnsi="Times New Roman"/>
          <w:sz w:val="18"/>
          <w:szCs w:val="18"/>
          <w:color w:val="auto"/>
        </w:rPr>
        <w:t>We continue to believe that the ultimate resolution of these matters is unlikely to have a material effect on our consolidated financial position, results of operations and cash flows.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4"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financial assets and liabilities as of July 31, 2018 that are measured on a recurring basis during the period, segregated by level within the fair value hierarchy: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9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(All amounts are pres</w:t>
            </w: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nted in thousands)</w:t>
            </w:r>
          </w:p>
        </w:tc>
      </w:tr>
      <w:tr>
        <w:trPr>
          <w:trHeight w:val="216"/>
        </w:trPr>
        <w:tc>
          <w:tcPr>
            <w:tcW w:w="90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Investment in Limoneira Company</w:t>
            </w:r>
            <w:r>
              <w:rPr>
                <w:rFonts w:ascii="Times New Roman" w:cs="Times New Roman" w:eastAsia="Times New Roman" w:hAnsi="Times New Roman"/>
                <w:sz w:val="8"/>
                <w:szCs w:val="8"/>
                <w:color w:val="auto"/>
              </w:rPr>
              <w:t>(1)</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$ 47,121</w:t>
            </w: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$ 47,121</w:t>
            </w:r>
          </w:p>
        </w:tc>
        <w:tc>
          <w:tcPr>
            <w:tcW w:w="60" w:type="dxa"/>
            <w:vAlign w:val="bottom"/>
            <w:tcBorders>
              <w:bottom w:val="single" w:sz="8" w:color="CCEEFF"/>
            </w:tcBorders>
          </w:tcPr>
          <w:p>
            <w:pPr>
              <w:spacing w:after="0"/>
              <w:rPr>
                <w:sz w:val="18"/>
                <w:szCs w:val="18"/>
                <w:color w:val="auto"/>
              </w:rPr>
            </w:pPr>
          </w:p>
        </w:tc>
      </w:tr>
      <w:tr>
        <w:trPr>
          <w:trHeight w:val="217"/>
        </w:trPr>
        <w:tc>
          <w:tcPr>
            <w:tcW w:w="900" w:type="dxa"/>
            <w:vAlign w:val="bottom"/>
          </w:tcPr>
          <w:p>
            <w:pPr>
              <w:spacing w:after="0"/>
              <w:rPr>
                <w:sz w:val="18"/>
                <w:szCs w:val="18"/>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$ 47,121</w:t>
            </w: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$ 47,121</w:t>
            </w:r>
          </w:p>
        </w:tc>
        <w:tc>
          <w:tcPr>
            <w:tcW w:w="60" w:type="dxa"/>
            <w:vAlign w:val="bottom"/>
            <w:tcBorders>
              <w:bottom w:val="single" w:sz="8" w:color="CCEEFF"/>
            </w:tcBorders>
            <w:shd w:val="clear" w:color="auto" w:fill="CCEEFF"/>
          </w:tcPr>
          <w:p>
            <w:pPr>
              <w:spacing w:after="0"/>
              <w:rPr>
                <w:sz w:val="18"/>
                <w:szCs w:val="18"/>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85" w:lineRule="exact"/>
        <w:rPr>
          <w:sz w:val="20"/>
          <w:szCs w:val="20"/>
          <w:color w:val="auto"/>
        </w:rPr>
      </w:pPr>
    </w:p>
    <w:p>
      <w:pPr>
        <w:jc w:val="both"/>
        <w:ind w:left="1220" w:hanging="322"/>
        <w:spacing w:after="0" w:line="231" w:lineRule="auto"/>
        <w:tabs>
          <w:tab w:leader="none" w:pos="132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in Limoneira Company consists of marketable securities in the Limoneira Company stock. We currently own approximately 10% of Limoneira’s outstanding common stock. These securities are measured at fair value using quoted market prices. Limoneira’s stock price at July 31, 2018 and October 31, 2017 equaled $27.26 per share and $23.35 per share. Unrealized gains and losses are recognized through other comprehensive income. Unrealized investment holding gains arising during the three months ended July 31, 2018 and 2017 was $6.9 million and $3.6 million. Unrealized investment holding gains arising during the nine months ended July 31, 2018 and 2017 was $6.8 million and $5.3 million.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Noncontrolling interest</w:t>
      </w:r>
    </w:p>
    <w:p>
      <w:pPr>
        <w:spacing w:after="0" w:line="229" w:lineRule="exact"/>
        <w:rPr>
          <w:sz w:val="20"/>
          <w:szCs w:val="20"/>
          <w:color w:val="auto"/>
        </w:rPr>
      </w:pPr>
    </w:p>
    <w:p>
      <w:pPr>
        <w:ind w:right="14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shareholders’ equity attributable to noncontrolling interest related to Avocados de Jalisco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23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0" w:type="dxa"/>
            <w:vAlign w:val="bottom"/>
          </w:tcPr>
          <w:p>
            <w:pPr>
              <w:spacing w:after="0"/>
              <w:rPr>
                <w:sz w:val="1"/>
                <w:szCs w:val="1"/>
                <w:color w:val="auto"/>
              </w:rPr>
            </w:pPr>
          </w:p>
        </w:tc>
      </w:tr>
      <w:tr>
        <w:trPr>
          <w:trHeight w:val="142"/>
        </w:trPr>
        <w:tc>
          <w:tcPr>
            <w:tcW w:w="6680" w:type="dxa"/>
            <w:vAlign w:val="bottom"/>
            <w:gridSpan w:val="2"/>
            <w:vMerge w:val="continue"/>
          </w:tcPr>
          <w:p>
            <w:pPr>
              <w:spacing w:after="0"/>
              <w:rPr>
                <w:sz w:val="12"/>
                <w:szCs w:val="12"/>
                <w:color w:val="auto"/>
              </w:rPr>
            </w:pPr>
          </w:p>
        </w:tc>
        <w:tc>
          <w:tcPr>
            <w:tcW w:w="1060" w:type="dxa"/>
            <w:vAlign w:val="bottom"/>
            <w:tcBorders>
              <w:top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00" w:type="dxa"/>
            <w:vAlign w:val="bottom"/>
          </w:tcPr>
          <w:p>
            <w:pPr>
              <w:spacing w:after="0"/>
              <w:rPr>
                <w:sz w:val="18"/>
                <w:szCs w:val="18"/>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 of Avocados de Jalisco</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73"/>
        </w:trPr>
        <w:tc>
          <w:tcPr>
            <w:tcW w:w="6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18"/>
                <w:szCs w:val="18"/>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transfer of noncontrolling interest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of Avocados de Jalisco</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Basic and diluted net income per share is calculated as follows (data in thousands, except per share data):</w:t>
      </w: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 w:type="dxa"/>
            <w:vAlign w:val="bottom"/>
          </w:tcPr>
          <w:p>
            <w:pPr>
              <w:spacing w:after="0"/>
              <w:rPr>
                <w:sz w:val="15"/>
                <w:szCs w:val="15"/>
                <w:color w:val="auto"/>
              </w:rPr>
            </w:pPr>
          </w:p>
        </w:tc>
        <w:tc>
          <w:tcPr>
            <w:tcW w:w="17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Calavo Growers, Inc.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27,004</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17,412</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stock/options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7"/>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17,507</w:t>
            </w: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Calavo Growers, Inc:</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Mexican IVA taxes receivable</w:t>
      </w:r>
    </w:p>
    <w:p>
      <w:pPr>
        <w:spacing w:after="0" w:line="229"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76" w:lineRule="exact"/>
        <w:rPr>
          <w:sz w:val="20"/>
          <w:szCs w:val="20"/>
          <w:color w:val="auto"/>
        </w:rPr>
      </w:pPr>
    </w:p>
    <w:p>
      <w:pPr>
        <w:ind w:right="80" w:firstLine="259"/>
        <w:spacing w:after="0" w:line="255" w:lineRule="auto"/>
        <w:rPr>
          <w:sz w:val="20"/>
          <w:szCs w:val="20"/>
          <w:color w:val="auto"/>
        </w:rPr>
      </w:pPr>
      <w:r>
        <w:rPr>
          <w:rFonts w:ascii="Times New Roman" w:cs="Times New Roman" w:eastAsia="Times New Roman" w:hAnsi="Times New Roman"/>
          <w:sz w:val="18"/>
          <w:szCs w:val="18"/>
          <w:color w:val="auto"/>
        </w:rPr>
        <w:t>As of July 31, 2018 and October 31, 2017, IVA receivables totaled $23.7 million and $19.5 million. Historically, CDM received IVA refund payments from the Mexican tax authorities on a timely basis. Beginning in fiscal 2014 and continuing into fiscal 2018,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through regular administrative processes, but certain amounts may ultimately need to be recovered via legal means.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259"/>
        <w:spacing w:after="0" w:line="253" w:lineRule="auto"/>
        <w:rPr>
          <w:sz w:val="20"/>
          <w:szCs w:val="20"/>
          <w:color w:val="auto"/>
        </w:rPr>
      </w:pPr>
      <w:r>
        <w:rPr>
          <w:rFonts w:ascii="Times New Roman" w:cs="Times New Roman" w:eastAsia="Times New Roman" w:hAnsi="Times New Roman"/>
          <w:sz w:val="18"/>
          <w:szCs w:val="18"/>
          <w:color w:val="auto"/>
        </w:rPr>
        <w:t>During the first quarter of fiscal 2017, tax authorities informed us that their internal opinion, based on the information provided by the local SAT office in Uruapan, considers that CDM is not properly documented relative to its declared tax structure and therefore CDM cannot claim the refundable IVA balance. CDM has strong arguments and supporting documentation to sustain its declared tax structure for IVA and income tax purposes. CDM decided to start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central legal department in Mexico City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And therefore, CDM may need to file a substance-over-form annulment suit in the Federal Tax Court to recover its full refund for IVA over the subject period.</w:t>
      </w:r>
    </w:p>
    <w:p>
      <w:pPr>
        <w:spacing w:after="0" w:line="193"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Furthermore, our internationally recognized tax advisors believe that there are legal grounds to prevail in the Federal Tax Court and that therefore, the Mexican tax authorities will ultimately authorize the refund of the corresponding IVA amounts. We will continue to monitor the collection of these receivables with our outside consultants.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right="120" w:firstLine="225"/>
        <w:spacing w:after="0" w:line="261" w:lineRule="auto"/>
        <w:rPr>
          <w:sz w:val="20"/>
          <w:szCs w:val="20"/>
          <w:color w:val="auto"/>
        </w:rPr>
      </w:pPr>
      <w:r>
        <w:rPr>
          <w:rFonts w:ascii="Times New Roman" w:cs="Times New Roman" w:eastAsia="Times New Roman" w:hAnsi="Times New Roman"/>
          <w:sz w:val="18"/>
          <w:szCs w:val="18"/>
          <w:color w:val="auto"/>
        </w:rPr>
        <w:t>Our tax provision is determined using an estimated annual effective tax rate and adjusted for discrete taxable events that may occur during the quarter.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80"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and enacted comprehensive tax legislation into law H.R. 1, commonly referred to as the Tax Cuts and Jobs Act (the “Tax Act”). Except for certain provisions, the Tax Act is effective for tax years beginning on or after January 1, 2018. As a fiscal year U.S. taxpayer with an October 31 fiscal year end, the majority of the new provisions, such as eliminating the domestic manufacturing deduction, creating new taxes on certain foreign sourced income and introducing new limitations on certain business deductions, will not apply until our 2019 fiscal year. For fiscal 2018 and effective in the first fiscal quarter, the most significant impacts include: lowering of the U.S. federal corporate income tax rate; remeasuring certain net deferred tax assets and liabilities; and requiring the transition tax on the deemed repatriation of certain foreign earnings. In the first quarter of fiscal 2018, we recorded $1.7 million in one-time, non-cash charges related to the revaluation of our net deferred tax assets (approximately $1.4 million) and the transition tax on the deemed repatriation of foreign earnings (approximately $0.3 million). For fiscal year 2018 we are estimating an effective consolidated rate of 26.0% based primarily on the blending of the historical federal corporate tax rate of 35% and the new federal corporate income tax rate of 21%.</w:t>
      </w:r>
    </w:p>
    <w:p>
      <w:pPr>
        <w:spacing w:after="0" w:line="19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22, 2017, the SEC issued guidance under Staff Accounting Bulletin No. 118, Income Tax Accounting Implications of the Tax Cuts and Jobs Act (“SAB 118”) allowing taxpayers to record a reasonable estimate of the impact of the U.S. legislation when it does not have the necessary information available, prepared or analyzed (including computations) in reasonable detail to complete its accounting for the change in tax law. In accordance with SAB 118, the estimated income tax charge of $1.7 million represents the Company’s best estimate based on interpretation of the U.S. legislation. As a result, the actual impact on the net deferred tax liability may vary from the estimated amount due to uncertainties in the Company’s preliminary review.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Variable Interest Entity</w:t>
      </w:r>
    </w:p>
    <w:p>
      <w:pPr>
        <w:spacing w:after="0" w:line="229" w:lineRule="exact"/>
        <w:rPr>
          <w:sz w:val="20"/>
          <w:szCs w:val="20"/>
          <w:color w:val="auto"/>
        </w:rPr>
      </w:pPr>
    </w:p>
    <w:p>
      <w:pPr>
        <w:ind w:right="380" w:firstLine="324"/>
        <w:spacing w:after="0" w:line="274" w:lineRule="auto"/>
        <w:rPr>
          <w:sz w:val="20"/>
          <w:szCs w:val="20"/>
          <w:color w:val="auto"/>
        </w:rPr>
      </w:pPr>
      <w:r>
        <w:rPr>
          <w:rFonts w:ascii="Times New Roman" w:cs="Times New Roman" w:eastAsia="Times New Roman" w:hAnsi="Times New Roman"/>
          <w:sz w:val="17"/>
          <w:szCs w:val="17"/>
          <w:color w:val="auto"/>
        </w:rPr>
        <w:t>Based on the NMUPA and related Agreements, as described in Note 4, we reconsidered whether FreshRealm is a variable interest entity (“VIE”) as of July 31, 2018. A VIE refers to a legal business structure in which an investor has a controlling interest in, despite not having a majority of voting rights; or a structure involving equity investors that do not have sufficient resources to support the ongoing operating needs of the business. Due primarily to FreshRealm utilizing substantially more debt to finance its activities, in addition to its existing equity, we believe that FreshRealm should be considered a VIE. In evaluating whether we are the primary beneficiary of FreshRealm, we considered several factors,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including whether we (a) have the power to direct the activities that most significantly impact FreshRealm’s economic performance and (b) the obligation to absorb losses and the right to receive benefits that could potentially be significant to the VIE. We were not the primary beneficiary of FreshRealm at July 31, 2018 because the nature of our involvement with the activities of FreshRealm does not give us the power to direct the activities that most significantly impact its economic performance. Except as described in Note 4, we do not have a future obligation to fund losses or debts on behalf of FreshRealm. We may, however, voluntarily contribute funds. In the accompanying statements of income, we have presented the income (loss) from unconsolidated entities, after the provision for income taxes for all periods presented. Previously, we had included such amounts, totaling $0.5 million and $0.1 million (related primarily to Don Memo), for the three and nine month periods ended July 31, 2017, in other income, net.</w:t>
      </w:r>
    </w:p>
    <w:p>
      <w:pPr>
        <w:spacing w:after="0" w:line="189"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We record the amount of our investment in FreshRealm, totaling $28.4 million at July 31, 2018, in “Investment in unconsolidated entities” on our Consolidated Condensed Balance Sheets and recognize losses in FreshRealm in “Income/(loss) in unconsolidated entities” on our Consolidated Condensed Statement of Income.</w:t>
      </w:r>
    </w:p>
    <w:p>
      <w:pPr>
        <w:spacing w:after="0" w:line="17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For the three months ended July 31, 2018, FreshRealm incurred losses totaling $7.1 million, of which we recorded $3.5 million of non-cash losses during our third fiscal quarter of 2018. Calavo has not recorded losses from FreshRealm since Impermanence invested in FreshRealm and Calavo deconsolidated FreshRealm in fiscal 2014, as FASB Accounting Standards Codification (“ASC”) 810, ASC 323, and ASC 970 mandate that the recognition of losses for an unconsolidated subsidiary be handled in a manner consistent with cash distributions upon liquidation of the entity when such distributions are different than the investors percentage ownership. Further, the current FreshRealm LLC operating agreement mandates that losses be recognized first by other investors (“non-option investors”) with positive capital accounts and then by Calavo (the only “option investor” to date) until all such capital accounts are reduced to zero. During our third fiscal quarter of 2018, we estimated that all non-option investor capital accounts were reduced to zero and, as of July 31, 2018, we were the only investor with a remaining positive capital account balance. As of July 31, 2018, our capital account balance was approximately $10.0 million. Unless we opt to contribute additional funds (i.e. equity or debt), we estimate that our maximum exposure to loss from FreshRealm, as of July 31, 2018, is limited to our total investment balance of approximately $28.4 million, plus $12 million related to the debt Agreements, as described in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00" w:right="120" w:hanging="890"/>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9"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2017 of Calavo Growers, Inc. (we, Calavo, or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payment</w:t>
      </w:r>
    </w:p>
    <w:p>
      <w:pPr>
        <w:spacing w:after="0" w:line="227"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On December 8, 2017, we paid a $0.95 per share dividend in the aggregate amount of $16.7 million to shareholders of record on November 17, 2017.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We were a named defendant in two class action lawsuits filed in Superior state courts in California alleging violations of California wage-and-hour laws, failure to pay overtime, failure to pay for missed meal and rest periods, failure to provide accurate itemized wage statements, failure to pay all wages due at the time of termination or resignation, as well as statutory penalties for violation of the California Labor Code and Minimum Wage Order-2014.</w:t>
      </w:r>
    </w:p>
    <w:p>
      <w:pPr>
        <w:spacing w:after="0" w:line="180"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In August 2017, the parties reached a tentative settlement of the case (pending court approval), whereby we agreed to pay $0.4 million to resolve the allegations and avoid further distraction that would result if the litigation continued. The Company recorded $0.4 million as a selling, general and administrative expense in the third quarter of fiscal 2017. In August 2018, the court approved the settlement, and we paid $0.4 million.</w:t>
      </w:r>
    </w:p>
    <w:p>
      <w:pPr>
        <w:spacing w:after="0" w:line="180"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 tax audits</w:t>
      </w:r>
    </w:p>
    <w:p>
      <w:pPr>
        <w:spacing w:after="0" w:line="227" w:lineRule="exact"/>
        <w:rPr>
          <w:sz w:val="20"/>
          <w:szCs w:val="20"/>
          <w:color w:val="auto"/>
        </w:rPr>
      </w:pPr>
    </w:p>
    <w:p>
      <w:pPr>
        <w:ind w:right="20" w:firstLine="177"/>
        <w:spacing w:after="0" w:line="252" w:lineRule="auto"/>
        <w:rPr>
          <w:sz w:val="20"/>
          <w:szCs w:val="20"/>
          <w:color w:val="auto"/>
        </w:rPr>
      </w:pPr>
      <w:r>
        <w:rPr>
          <w:rFonts w:ascii="Times New Roman" w:cs="Times New Roman" w:eastAsia="Times New Roman" w:hAnsi="Times New Roman"/>
          <w:sz w:val="18"/>
          <w:szCs w:val="18"/>
          <w:color w:val="auto"/>
        </w:rPr>
        <w:t>We conduct business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(“VAT”). During our fourth fiscal quarter of 2016, we provided a written rebuttal to MFM’s preliminary observations and requested the adoption of a conclusive agreement before the PRODECON (Local Tax Ombudsman) so that a full discussion of the case between us, the MFM and the PRODECON, as appropriate, can lead to a reconsideration of the MFM findings. During our third and fourth fiscal quarters of 2017, several meetings between MFM, PRODECON and us took place and on November 28, 2017, the initial PRODECON process concluded. In April 2018, we filed a second formal agreement before the PRODECON, so that we can continue the discussion of the case between us, the MFM and the PRODECON. During this meeting and discussion period, the statutory period that MFM has in order to issue the tax assessment has been suspended. Currently, we are waiting for the response of the MFM and the PRODECON regarding our next meeting date. We believe we have the legal arguments and documentation to sustain the positions challenged by tax authorities.</w:t>
      </w:r>
    </w:p>
    <w:p>
      <w:pPr>
        <w:spacing w:after="0" w:line="196" w:lineRule="exact"/>
        <w:rPr>
          <w:sz w:val="20"/>
          <w:szCs w:val="20"/>
          <w:color w:val="auto"/>
        </w:rPr>
      </w:pPr>
    </w:p>
    <w:p>
      <w:pPr>
        <w:ind w:right="260" w:firstLine="170"/>
        <w:spacing w:after="0" w:line="266" w:lineRule="auto"/>
        <w:rPr>
          <w:sz w:val="20"/>
          <w:szCs w:val="20"/>
          <w:color w:val="auto"/>
        </w:rPr>
      </w:pPr>
      <w:r>
        <w:rPr>
          <w:rFonts w:ascii="Times New Roman" w:cs="Times New Roman" w:eastAsia="Times New Roman" w:hAnsi="Times New Roman"/>
          <w:sz w:val="18"/>
          <w:szCs w:val="18"/>
          <w:color w:val="auto"/>
        </w:rPr>
        <w:t>Additionally, we also received notice from Mexico's Federal Tax Administration Service, Servicio de Administracion Tributaria (SAT), that our wholly-owned Mexican subsidiary, Calavo de Mexico, is currently under examination related to fiscal year 2013. In January 2017, we received preliminary observations from SAT outlining certain proposed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adjustments primarily related to intercompany funding deductions for services from certain vendors/suppliers and VAT. We provided a written rebuttal to these preliminary observation during our second fiscal quarter of 2017, which the SAT is in process of analyzing. During our third fiscal quarter of 2017, we requested the adoption of a conclusive agreement before the PRODECON (Local Tax Ombudsman), so that a full discussion of the case between us, the SAT and the PRODECON, as appropriate, can lead to a reconsideration of the SATs findings. During this meeting and discussion period, the statutory period that SAT had in order to issue the tax assessment was suspended. During our first fiscal quarter of 2018, we had an initial meeting with officials from the SAT and the PRODECON, which led to a further exchange of supporting information and documentation. Although several meetings and discussions with the PRODECON and the SAT were conducted during our fiscal third quarter, we were unable to materially resolve our case with the SAT through the PRODECON process.</w:t>
      </w:r>
    </w:p>
    <w:p>
      <w:pPr>
        <w:spacing w:after="0" w:line="189" w:lineRule="exact"/>
        <w:rPr>
          <w:sz w:val="20"/>
          <w:szCs w:val="20"/>
          <w:color w:val="auto"/>
        </w:rPr>
      </w:pPr>
    </w:p>
    <w:p>
      <w:pPr>
        <w:ind w:right="160" w:firstLine="170"/>
        <w:spacing w:after="0" w:line="261" w:lineRule="auto"/>
        <w:rPr>
          <w:sz w:val="20"/>
          <w:szCs w:val="20"/>
          <w:color w:val="auto"/>
        </w:rPr>
      </w:pPr>
      <w:r>
        <w:rPr>
          <w:rFonts w:ascii="Times New Roman" w:cs="Times New Roman" w:eastAsia="Times New Roman" w:hAnsi="Times New Roman"/>
          <w:sz w:val="18"/>
          <w:szCs w:val="18"/>
          <w:color w:val="auto"/>
        </w:rPr>
        <w:t>As a result, on July 12, 2018, the SAT’s local office in Uruapan issued to CDM a final tax assessment (the “2013 Assessment”) totaling approximately $2.62 billion Mexican pesos related to Income Tax, Flat Rate Business Tax, and Value Added Tax, related to this fiscal 2013 tax audit. Additionally, the tax authorities have determined an employee’s profit sharing liability totaling approximately $118 million Mexican pesos as well.</w:t>
      </w:r>
    </w:p>
    <w:p>
      <w:pPr>
        <w:spacing w:after="0" w:line="180" w:lineRule="exact"/>
        <w:rPr>
          <w:sz w:val="20"/>
          <w:szCs w:val="20"/>
          <w:color w:val="auto"/>
        </w:rPr>
      </w:pPr>
    </w:p>
    <w:p>
      <w:pPr>
        <w:ind w:right="40" w:firstLine="177"/>
        <w:spacing w:after="0" w:line="254" w:lineRule="auto"/>
        <w:rPr>
          <w:sz w:val="20"/>
          <w:szCs w:val="20"/>
          <w:color w:val="auto"/>
        </w:rPr>
      </w:pPr>
      <w:r>
        <w:rPr>
          <w:rFonts w:ascii="Times New Roman" w:cs="Times New Roman" w:eastAsia="Times New Roman" w:hAnsi="Times New Roman"/>
          <w:sz w:val="18"/>
          <w:szCs w:val="18"/>
          <w:color w:val="auto"/>
        </w:rPr>
        <w:t>We have consulted with both an internationally recognized tax advisor, as well as a global law firm with offices throughout Mexico, and we continue to believe this tax assessment is without merit. In August 2018, we filed an administrative appeal on the 2013 Assessment. The filing of an administrative appeal in Mexico is a process in which the taxpayer appeals to a different office within the Mexican tax authorities forcing the legal office within the SAT to rule on the matter. This process preserves the taxpayer’s right to litigate in tax court if the administrative appeal process ends without a favorable or just resolution. Here, CDM has appealed our case to the SAT’s central legal department in Mexico City. Furthermore, in August 2018, we received a favorable ruling from the SAT’s central legal department in Mexico City on another tax matter (see footnote 11 regarding VAT refunds) indicating that they believe our legal interpretation is accurate on a matter that is also central to the 2013 Assessment. We believe this recent ruling significantly undermines the 2013 Assessment we received in July 2018.</w:t>
      </w:r>
    </w:p>
    <w:p>
      <w:pPr>
        <w:spacing w:after="0" w:line="186" w:lineRule="exact"/>
        <w:rPr>
          <w:sz w:val="20"/>
          <w:szCs w:val="20"/>
          <w:color w:val="auto"/>
        </w:rPr>
      </w:pPr>
    </w:p>
    <w:p>
      <w:pPr>
        <w:ind w:right="960" w:firstLine="222"/>
        <w:spacing w:after="0" w:line="282" w:lineRule="auto"/>
        <w:rPr>
          <w:sz w:val="20"/>
          <w:szCs w:val="20"/>
          <w:color w:val="auto"/>
        </w:rPr>
      </w:pPr>
      <w:r>
        <w:rPr>
          <w:rFonts w:ascii="Times New Roman" w:cs="Times New Roman" w:eastAsia="Times New Roman" w:hAnsi="Times New Roman"/>
          <w:sz w:val="18"/>
          <w:szCs w:val="18"/>
          <w:color w:val="auto"/>
        </w:rPr>
        <w:t>We continue to believe that the ultimate resolution of these matters is unlikely to have a material effect on our consolidated financial position, results of operations and cash flows.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sales by business segment for each of the three and nine months ended July 31, 2018 and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760" w:type="dxa"/>
            <w:vAlign w:val="bottom"/>
            <w:gridSpan w:val="7"/>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 w:type="dxa"/>
            <w:vAlign w:val="bottom"/>
          </w:tcPr>
          <w:p>
            <w:pPr>
              <w:spacing w:after="0"/>
              <w:rPr>
                <w:sz w:val="15"/>
                <w:szCs w:val="15"/>
                <w:color w:val="auto"/>
              </w:rPr>
            </w:pPr>
          </w:p>
        </w:tc>
        <w:tc>
          <w:tcPr>
            <w:tcW w:w="3060" w:type="dxa"/>
            <w:vAlign w:val="bottom"/>
            <w:gridSpan w:val="9"/>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Fresh products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$ 149,834</w:t>
            </w: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$ 168,919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$ 410,554</w:t>
            </w: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436,601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Calavo Foods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RFG</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121,245</w:t>
            </w: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112,475</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331,908</w:t>
            </w:r>
          </w:p>
        </w:tc>
        <w:tc>
          <w:tcPr>
            <w:tcW w:w="2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307,884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net sales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$ 296,419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$ 301,645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$ 808,752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798,361</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Fresh products</w:t>
            </w: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50.5 %</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54.7 %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Calavo Foods</w:t>
            </w:r>
          </w:p>
        </w:tc>
        <w:tc>
          <w:tcPr>
            <w:tcW w:w="15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8.6 %</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6.7 %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RFG</w:t>
            </w: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40.9 %</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38.6 %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tcBorders>
              <w:top w:val="single" w:sz="8" w:color="CCEEFF"/>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21" w:right="139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sales for the three months ended July 31, 2018, compared to the corresponding period in fiscal 2017, decreased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million, or approximately 2%. The decrease in sales, when compared to the same corresponding prior year periods,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related to the decline in the Fresh products segment, partially offset by gains in Calavo Foods and RFG. Net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July 31, 2018, compared to the corresponding period in fiscal 2017, increased by $10.4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 The increase in sales, when compared to the same corresponding prior year periods, was primarily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growth in the Calavo Foods and RFG segments, partially offset by a decline in the Fresh products segment.</w:t>
      </w:r>
    </w:p>
    <w:p>
      <w:pPr>
        <w:spacing w:after="0" w:line="207"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For both the quarter and the nine months ended July 31, 2018, Calavo Foods had our largest percentage increases in sales, followed by our RFG segment. Our Fresh product segment decreased, as shown above. The increase in Calavo Foods sales was due primarily to increased sales of our prepared avocado products, which was partially offset by decreased sales of salsa products. The increase in RFG sales was due primarily to increased sales from fresh prepared food, fresh-cut fruit and vegetable products. The decrease in Fresh products sales was due primarily to decreased sales of avocados. See discussion below for further details.</w:t>
      </w:r>
    </w:p>
    <w:p>
      <w:pPr>
        <w:spacing w:after="0" w:line="188" w:lineRule="exact"/>
        <w:rPr>
          <w:sz w:val="20"/>
          <w:szCs w:val="20"/>
          <w:color w:val="auto"/>
        </w:rPr>
      </w:pPr>
    </w:p>
    <w:p>
      <w:pPr>
        <w:ind w:right="380" w:firstLine="259"/>
        <w:spacing w:after="0" w:line="282" w:lineRule="auto"/>
        <w:rPr>
          <w:sz w:val="20"/>
          <w:szCs w:val="20"/>
          <w:color w:val="auto"/>
        </w:rPr>
      </w:pPr>
      <w:r>
        <w:rPr>
          <w:rFonts w:ascii="Times New Roman" w:cs="Times New Roman" w:eastAsia="Times New Roman" w:hAnsi="Times New Roman"/>
          <w:sz w:val="18"/>
          <w:szCs w:val="18"/>
          <w:color w:val="auto"/>
        </w:rPr>
        <w:t>All three segments of our business are subject to seasonal trends which can impact the volume and/or quality of fruit sourced in any particular quarter. All intercompany sales are eliminated in our consolidated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Third Quarter 2018 vs. Third Quarter 2017</w:t>
      </w:r>
    </w:p>
    <w:p>
      <w:pPr>
        <w:spacing w:after="0" w:line="225"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Net sales delivered by the Fresh products business decreased by approximately $19.1 million, or 11%, for the third quarter of fiscal 2018, when compared to the same period for fiscal 2017. This decrease in Fresh product sales during the third quarter of fiscal 2018 was primarily related to decreased sales of avocados and tomatoes, as higher volumes were offset by lower sales prices.</w:t>
      </w:r>
    </w:p>
    <w:p>
      <w:pPr>
        <w:spacing w:after="0" w:line="180" w:lineRule="exact"/>
        <w:rPr>
          <w:sz w:val="20"/>
          <w:szCs w:val="20"/>
          <w:color w:val="auto"/>
        </w:rPr>
      </w:pPr>
    </w:p>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Sales of avocados decreased $19.6 million, or 12%, for the third quarter of 2018, when compared to the same prior year period. This decrease in avocado sales was primarily due to a 26% decrease in the average sales price per carton. We attribute much of this change in price to a higher overall supply of avocados in the market during the third quarter of fiscal 2018. The decrease in sales price was partially offset by a 15.6 million pound, or 18%, increase in the volume of avocados sold during the quarter.</w:t>
      </w:r>
    </w:p>
    <w:p>
      <w:pPr>
        <w:spacing w:after="0" w:line="184" w:lineRule="exact"/>
        <w:rPr>
          <w:sz w:val="20"/>
          <w:szCs w:val="20"/>
          <w:color w:val="auto"/>
        </w:rPr>
      </w:pPr>
    </w:p>
    <w:p>
      <w:pPr>
        <w:jc w:val="both"/>
        <w:ind w:right="220" w:firstLine="259"/>
        <w:spacing w:after="0" w:line="266" w:lineRule="auto"/>
        <w:rPr>
          <w:sz w:val="20"/>
          <w:szCs w:val="20"/>
          <w:color w:val="auto"/>
        </w:rPr>
      </w:pPr>
      <w:r>
        <w:rPr>
          <w:rFonts w:ascii="Times New Roman" w:cs="Times New Roman" w:eastAsia="Times New Roman" w:hAnsi="Times New Roman"/>
          <w:sz w:val="18"/>
          <w:szCs w:val="18"/>
          <w:color w:val="auto"/>
        </w:rPr>
        <w:t>Sales of tomatoes decreased to $6.0 million for the third quarter of fiscal 2018, compared to $6.2 million for the same period for fiscal 2017. The decrease in sales for tomatoes is primarily due to a 25% decrease in the average sales price per carton, which was partially offset by an approximately 29% increase in the volume of cartons sold.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Nine Months Ended 2018 vs. Nine Months Ended 2017</w:t>
      </w:r>
    </w:p>
    <w:p>
      <w:pPr>
        <w:spacing w:after="0" w:line="225"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Net sales delivered by the Fresh products business decreased by approximately $26.0 million, or 6.0%, for the nine months ended 2018, when compared to the same period for fiscal 2017. This decrease in Fresh product sales during the nine months ended 2018 was primarily related to decreased sales of avocados, partially offset by increased sales of tomatoes.</w:t>
      </w:r>
    </w:p>
    <w:p>
      <w:pPr>
        <w:spacing w:after="0" w:line="176" w:lineRule="exact"/>
        <w:rPr>
          <w:sz w:val="20"/>
          <w:szCs w:val="20"/>
          <w:color w:val="auto"/>
        </w:rPr>
      </w:pPr>
    </w:p>
    <w:p>
      <w:pPr>
        <w:jc w:val="both"/>
        <w:ind w:right="100" w:firstLine="259"/>
        <w:spacing w:after="0" w:line="266" w:lineRule="auto"/>
        <w:rPr>
          <w:sz w:val="20"/>
          <w:szCs w:val="20"/>
          <w:color w:val="auto"/>
        </w:rPr>
      </w:pPr>
      <w:r>
        <w:rPr>
          <w:rFonts w:ascii="Times New Roman" w:cs="Times New Roman" w:eastAsia="Times New Roman" w:hAnsi="Times New Roman"/>
          <w:sz w:val="18"/>
          <w:szCs w:val="18"/>
          <w:color w:val="auto"/>
        </w:rPr>
        <w:t>Sales of avocados decreased $31.2 million, or 8%, for the nine months ended July 31, 2018, when compared to the same prior year period. This decrease in avocado sales was primarily due to a 17% decrease in the average sales price per carton, partially offset by a 27.1 million pound, or a 11% increase in the volume of avocados sold during the year.</w:t>
      </w:r>
    </w:p>
    <w:p>
      <w:pPr>
        <w:spacing w:after="0" w:line="176" w:lineRule="exact"/>
        <w:rPr>
          <w:sz w:val="20"/>
          <w:szCs w:val="20"/>
          <w:color w:val="auto"/>
        </w:rPr>
      </w:pPr>
    </w:p>
    <w:p>
      <w:pPr>
        <w:ind w:right="120" w:firstLine="259"/>
        <w:spacing w:after="0" w:line="266" w:lineRule="auto"/>
        <w:rPr>
          <w:sz w:val="20"/>
          <w:szCs w:val="20"/>
          <w:color w:val="auto"/>
        </w:rPr>
      </w:pPr>
      <w:r>
        <w:rPr>
          <w:rFonts w:ascii="Times New Roman" w:cs="Times New Roman" w:eastAsia="Times New Roman" w:hAnsi="Times New Roman"/>
          <w:sz w:val="18"/>
          <w:szCs w:val="18"/>
          <w:color w:val="auto"/>
        </w:rPr>
        <w:t>Sales of tomatoes increased to $25.4 million for the nine months ended July 31, 2018, compared to $22.3 million for the same period for fiscal 2017. The increase in sales for tomatoes is primarily due to an approximately 13% increase in the average sales price per carton.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Calavo Foods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Third Quarter 2018 vs. Third Quarter 2017</w:t>
      </w:r>
    </w:p>
    <w:p>
      <w:pPr>
        <w:spacing w:after="0" w:line="225"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Sales for Calavo Foods for the quarter ended July 31, 2018, when compared to the same period for fiscal 2017, increased $5.1 million, or 25%. Sales of prepared avocado products increased by approximately $5.2 million, or 27%, for the quarter ended July 31, 2018, when compared to the same prior year period. This increase was the result of both an increase in the total volume of pounds sold and an increase in the average sales price per pound. Sales of salsa products decreased by $0.1 million during in the quarter.</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Nine Months Ended 2018 vs. Nine Months Ended 2017</w:t>
      </w:r>
    </w:p>
    <w:p>
      <w:pPr>
        <w:spacing w:after="0" w:line="225"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Sales for Calavo Foods for the nine months ended July 31, 2018, when compared to the same period for fiscal 2017, increased $12.4 million, or 23%. Sales of prepared avocado products increased by approximately $13.0 million, or 25%, for the nine months ended July 31, 2018, when compared to the same prior year period, resulting from increases in both the average sales price per pound and the total volume of pounds sold. Partially offsetting this gain were sales of salsa products, which decreased by approximately $0.6 million during the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RFG</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Third Quarter 2018 vs. Third Quarter 2017</w:t>
      </w:r>
    </w:p>
    <w:p>
      <w:pPr>
        <w:spacing w:after="0" w:line="225" w:lineRule="exact"/>
        <w:rPr>
          <w:sz w:val="20"/>
          <w:szCs w:val="20"/>
          <w:color w:val="auto"/>
        </w:rPr>
      </w:pPr>
    </w:p>
    <w:p>
      <w:pPr>
        <w:jc w:val="both"/>
        <w:ind w:right="380" w:firstLine="259"/>
        <w:spacing w:after="0" w:line="266" w:lineRule="auto"/>
        <w:rPr>
          <w:sz w:val="20"/>
          <w:szCs w:val="20"/>
          <w:color w:val="auto"/>
        </w:rPr>
      </w:pPr>
      <w:r>
        <w:rPr>
          <w:rFonts w:ascii="Times New Roman" w:cs="Times New Roman" w:eastAsia="Times New Roman" w:hAnsi="Times New Roman"/>
          <w:sz w:val="18"/>
          <w:szCs w:val="18"/>
          <w:color w:val="auto"/>
        </w:rPr>
        <w:t>Sales for RFG for the quarter ended July 31, 2018, when compared to the same period for fiscal 2017, increased $8.8 million, or 8%. The overall increase in sales is primarily due to higher sales volume from expanded retail partnerships in multiple geographies, most notably in a few regions in which the Company has added production capacity.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Nine Months Ended 2018 vs. Nine Months Ended 2017</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Sales for RFG for the nine months ended July 31, 2018, when compared to the same period for fiscal 2017, increased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 million, or 8%. The overall increase in sales is primarily due to higher sales volume from expanded retail partnerships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multiple geographies, most notably in a few regions in which the Company has added production capacity.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 for the three and nine months ended July 31, 2018 and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60" w:type="dxa"/>
            <w:vAlign w:val="bottom"/>
          </w:tcPr>
          <w:p>
            <w:pPr>
              <w:spacing w:after="0"/>
              <w:rPr>
                <w:sz w:val="15"/>
                <w:szCs w:val="15"/>
                <w:color w:val="auto"/>
              </w:rPr>
            </w:pPr>
          </w:p>
        </w:tc>
        <w:tc>
          <w:tcPr>
            <w:tcW w:w="262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Fresh products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$ 14,931</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$ 16,948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$ 44,308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$ 48,596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Calavo Foods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656.6 %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RFG</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46.4 %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25,373</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22,665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gross profit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$ 33,070</w:t>
            </w:r>
          </w:p>
        </w:tc>
        <w:tc>
          <w:tcPr>
            <w:tcW w:w="92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33.1 %</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$ 24,852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$ 91,349</w:t>
            </w:r>
          </w:p>
        </w:tc>
        <w:tc>
          <w:tcPr>
            <w:tcW w:w="92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$ 83,029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 percentages:</w:t>
            </w:r>
          </w:p>
        </w:tc>
        <w:tc>
          <w:tcPr>
            <w:tcW w:w="2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 products</w:t>
            </w:r>
          </w:p>
        </w:tc>
        <w:tc>
          <w:tcPr>
            <w:tcW w:w="2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10.0 %</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10.0 %</w:t>
            </w: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10.8 %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40" w:type="dxa"/>
            <w:vAlign w:val="bottom"/>
          </w:tcPr>
          <w:p>
            <w:pPr>
              <w:spacing w:after="0"/>
              <w:rPr>
                <w:sz w:val="18"/>
                <w:szCs w:val="18"/>
                <w:color w:val="auto"/>
              </w:rPr>
            </w:pPr>
          </w:p>
        </w:tc>
      </w:tr>
      <w:tr>
        <w:trPr>
          <w:trHeight w:val="216"/>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Calavo Foods</w:t>
            </w:r>
          </w:p>
        </w:tc>
        <w:tc>
          <w:tcPr>
            <w:tcW w:w="22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32.1 %</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5.3 %</w:t>
            </w:r>
          </w:p>
        </w:tc>
        <w:tc>
          <w:tcPr>
            <w:tcW w:w="1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32.7 %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40" w:type="dxa"/>
            <w:vAlign w:val="bottom"/>
            <w:shd w:val="clear" w:color="auto" w:fill="CCEEFF"/>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RFG</w:t>
            </w:r>
          </w:p>
        </w:tc>
        <w:tc>
          <w:tcPr>
            <w:tcW w:w="2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8.2 %</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6.1 %</w:t>
            </w: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7.6 %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40" w:type="dxa"/>
            <w:vAlign w:val="bottom"/>
          </w:tcPr>
          <w:p>
            <w:pPr>
              <w:spacing w:after="0"/>
              <w:rPr>
                <w:sz w:val="18"/>
                <w:szCs w:val="18"/>
                <w:color w:val="auto"/>
              </w:rPr>
            </w:pPr>
          </w:p>
        </w:tc>
      </w:tr>
      <w:tr>
        <w:trPr>
          <w:trHeight w:val="216"/>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22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11.2 %</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8.2 %</w:t>
            </w:r>
          </w:p>
        </w:tc>
        <w:tc>
          <w:tcPr>
            <w:tcW w:w="1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11.3 %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40" w:type="dxa"/>
            <w:vAlign w:val="bottom"/>
            <w:shd w:val="clear" w:color="auto" w:fill="CCEEFF"/>
          </w:tcPr>
          <w:p>
            <w:pPr>
              <w:spacing w:after="0"/>
              <w:rPr>
                <w:sz w:val="18"/>
                <w:szCs w:val="18"/>
                <w:color w:val="auto"/>
              </w:rPr>
            </w:pPr>
          </w:p>
        </w:tc>
      </w:tr>
      <w:tr>
        <w:trPr>
          <w:trHeight w:val="864"/>
        </w:trPr>
        <w:tc>
          <w:tcPr>
            <w:tcW w:w="3060" w:type="dxa"/>
            <w:vAlign w:val="bottom"/>
          </w:tcPr>
          <w:p>
            <w:pPr>
              <w:spacing w:after="0"/>
              <w:rPr>
                <w:sz w:val="24"/>
                <w:szCs w:val="24"/>
                <w:color w:val="auto"/>
              </w:rPr>
            </w:pPr>
          </w:p>
        </w:tc>
        <w:tc>
          <w:tcPr>
            <w:tcW w:w="22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0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bl>
    <w:p>
      <w:pPr>
        <w:sectPr>
          <w:pgSz w:w="11900" w:h="16838" w:orient="portrait"/>
          <w:cols w:equalWidth="0" w:num="1">
            <w:col w:w="9100"/>
          </w:cols>
          <w:pgMar w:left="1420" w:top="121" w:right="13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increased by approximately $8.2 million, or 33%, for the third quarter of fiscal 2018, when compared to the same period for fiscal 2017. The increase was primarily attributable to gross profit increases in our Calavo Foods and RFG segments, partially offset by a decrease in the Fresh products segment. Gross profit increased by approximately $8.3 million, or 10%, for the nine months ended July 31, 2018, when compared to the same period for fiscal 2017. The increase was primarily attributable to gross profit increases in our Calavo Foods and RFG segments, partially offset by a decrease in the Fresh products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right="100" w:firstLine="259"/>
        <w:spacing w:after="0" w:line="254" w:lineRule="auto"/>
        <w:rPr>
          <w:sz w:val="20"/>
          <w:szCs w:val="20"/>
          <w:color w:val="auto"/>
        </w:rPr>
      </w:pPr>
      <w:r>
        <w:rPr>
          <w:rFonts w:ascii="Times New Roman" w:cs="Times New Roman" w:eastAsia="Times New Roman" w:hAnsi="Times New Roman"/>
          <w:sz w:val="18"/>
          <w:szCs w:val="18"/>
          <w:color w:val="auto"/>
        </w:rPr>
        <w:t>During our three months ended July 31, 2018, as compared to the same prior year period, the decrease in our Fresh products segment gross profit percentage was the result of decreased profit for avocados and tomatoes. For the third quarter ended July 31, 2018, compared to the same prior year period, the gross profit percentage for avocados decreased to 9.7% in 2018 from 10.0% in 2017. The decrease was primarily related to the unusual market supply conditions experienced during the third quarter last year, as our level of profitability in the third quarter of 2018 was strong in comparison to most other historical periods. Freight costs also increased compared to last year’s third quarter. Partially offsetting this decrease in profitability, the U.S. Dollar to Mexican Peso exchange rate was stronger in the third quarter 2018, when compared to the same prior year period. Note that any significant fluctuations in the exchange rate between the U.S. Dollar and the Mexican Peso may have a material impact on future gross profits for our Fresh products segment.</w:t>
      </w:r>
    </w:p>
    <w:p>
      <w:pPr>
        <w:spacing w:after="0" w:line="189" w:lineRule="exact"/>
        <w:rPr>
          <w:sz w:val="20"/>
          <w:szCs w:val="20"/>
          <w:color w:val="auto"/>
        </w:rPr>
      </w:pPr>
    </w:p>
    <w:p>
      <w:pPr>
        <w:jc w:val="both"/>
        <w:ind w:right="160" w:firstLine="259"/>
        <w:spacing w:after="0" w:line="266" w:lineRule="auto"/>
        <w:rPr>
          <w:sz w:val="20"/>
          <w:szCs w:val="20"/>
          <w:color w:val="auto"/>
        </w:rPr>
      </w:pPr>
      <w:r>
        <w:rPr>
          <w:rFonts w:ascii="Times New Roman" w:cs="Times New Roman" w:eastAsia="Times New Roman" w:hAnsi="Times New Roman"/>
          <w:sz w:val="18"/>
          <w:szCs w:val="18"/>
          <w:color w:val="auto"/>
        </w:rPr>
        <w:t>For the three months ended July 31, 2018, we generated gross profit of $0.6 million from tomato sales, down from $0.7 million in the corresponding prior year period. The decrease in tomato gross profit was due primarily to the year-over-year reduction in sales described in more detail earlier.</w:t>
      </w:r>
    </w:p>
    <w:p>
      <w:pPr>
        <w:spacing w:after="0" w:line="176"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During our nine months ended July 31, 2018, as compared to the same prior year period, the decrease in our Fresh products segment gross profit percentage was the result of decreased profit for avocados, partially offset by an increase in tomatoes. For the nine months ended July 31, 2018, compared to the same prior year period, the gross profit percentage for avocados decreased to 10.7% in 2018 from 11.4% in 2017. The decrease during the nine months of 2018 was primarily related to the unusual market supply conditions experienced last year and higher year-over-year freight costs. In addition, the U.S. Dollar to Mexican Peso exchange rate was weaker in the first nine months of fiscal 2018, when compared to the same prior year period. Note that any significant fluctuations in the exchange rate between the U.S. Dollar and the Mexican Peso may have a material impact on future gross profits for our Fresh products segment.</w:t>
      </w:r>
    </w:p>
    <w:p>
      <w:pPr>
        <w:spacing w:after="0" w:line="185"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For the nine months ended July 31, 2018 we generated gross profit of $2.7 million from tomato sales, up from $2.0 million in the corresponding prior year period. The increase in tomato gross profit was due primarily to the year-over-year increase in sales described in more detail earlier.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Calavo Foods</w:t>
      </w:r>
    </w:p>
    <w:p>
      <w:pPr>
        <w:spacing w:after="0" w:line="227"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Calavo Foods gross profit percentage increased to 32.1% and 32.7% of net sales, during our three and nine months ended July 31, 2018 compared to 5.3% and 21.8% during the same prior year periods. The increase in Calavo Foods gross profit percentage was due primarily to increased gross profit of our prepared avocado products. The increase in gross profit and margin for our prepared avocado products was primarily due to higher sales, as well as fruit costs that, while higher than in the second quarter, was below last year’s third quarter’s record-high fruit prices. Note that any significant fluctuation in the cost of fruit used in the production process or the exchange rate between the U.S. Dollar and the Mexican Peso may have a material impact on future gross profit for our Calavo Foods segments.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RFG</w:t>
      </w:r>
    </w:p>
    <w:p>
      <w:pPr>
        <w:spacing w:after="0" w:line="22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RFG’s gross profit percentage for the quarter ended July 31, 2018 was 8.2%, compared to 6.1% in the same prior year period. RFG’s gross profit percentage for the nine months ended July 31, 2018 was 7.6%, compared to 7.4% in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same prior year period. The gross profit improvement in the three and nine months ended July 31, 2018, was due primarily to manufacturing efficiencies generated across the segment’s manufacturing footprint, as well as lower raw material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0" w:type="dxa"/>
            <w:vAlign w:val="bottom"/>
          </w:tcPr>
          <w:p>
            <w:pPr>
              <w:spacing w:after="0"/>
              <w:rPr>
                <w:sz w:val="15"/>
                <w:szCs w:val="15"/>
                <w:color w:val="auto"/>
              </w:rPr>
            </w:pPr>
          </w:p>
        </w:tc>
        <w:tc>
          <w:tcPr>
            <w:tcW w:w="2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r>
      <w:tr>
        <w:trPr>
          <w:trHeight w:val="142"/>
        </w:trPr>
        <w:tc>
          <w:tcPr>
            <w:tcW w:w="3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Borders>
              <w:top w:val="single" w:sz="8" w:color="auto"/>
              <w:bottom w:val="single" w:sz="8" w:color="auto"/>
            </w:tcBorders>
          </w:tcPr>
          <w:p>
            <w:pPr>
              <w:jc w:val="center"/>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Borders>
              <w:top w:val="single" w:sz="8" w:color="auto"/>
              <w:bottom w:val="single" w:sz="8" w:color="auto"/>
            </w:tcBorders>
          </w:tcPr>
          <w:p>
            <w:pPr>
              <w:jc w:val="center"/>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gridSpan w:val="4"/>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2"/>
                <w:szCs w:val="12"/>
                <w:color w:val="auto"/>
              </w:rPr>
            </w:pPr>
          </w:p>
        </w:tc>
        <w:tc>
          <w:tcPr>
            <w:tcW w:w="2580" w:type="dxa"/>
            <w:vAlign w:val="bottom"/>
            <w:gridSpan w:val="4"/>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$ 13,893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 $ 12,698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$ 42,285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 $ 41,950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7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7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Pr>
          <w:p>
            <w:pPr>
              <w:spacing w:after="0"/>
              <w:rPr>
                <w:sz w:val="20"/>
                <w:szCs w:val="20"/>
                <w:color w:val="auto"/>
              </w:rPr>
            </w:pPr>
          </w:p>
        </w:tc>
      </w:tr>
    </w:tbl>
    <w:p>
      <w:pPr>
        <w:spacing w:after="0" w:line="179" w:lineRule="exact"/>
        <w:rPr>
          <w:sz w:val="20"/>
          <w:szCs w:val="20"/>
          <w:color w:val="auto"/>
        </w:rPr>
      </w:pPr>
    </w:p>
    <w:p>
      <w:pPr>
        <w:jc w:val="both"/>
        <w:ind w:right="100" w:firstLine="405"/>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of $13.9 million for the three months ended July 31, 2018 include costs of marketing and advertising, sales expenses (including broker commissions) and other general and administrative</w:t>
      </w:r>
    </w:p>
    <w:p>
      <w:pPr>
        <w:ind w:right="260"/>
        <w:spacing w:after="0" w:line="253" w:lineRule="auto"/>
        <w:rPr>
          <w:sz w:val="20"/>
          <w:szCs w:val="20"/>
          <w:color w:val="auto"/>
        </w:rPr>
      </w:pPr>
      <w:r>
        <w:rPr>
          <w:rFonts w:ascii="Times New Roman" w:cs="Times New Roman" w:eastAsia="Times New Roman" w:hAnsi="Times New Roman"/>
          <w:sz w:val="18"/>
          <w:szCs w:val="18"/>
          <w:color w:val="auto"/>
        </w:rPr>
        <w:t>costs. Selling, general and administrative expenses increased $1.2 million, or 9.4%, for the three months ended July 31, 2018, when compared to the same period for fiscal 2017. This increase was primarily related to an increase in accrued management bonuses (approximately $1.2 million) and an increase in salaries (approximately $0.4 million). Partially offsetting this increase was a decrease of legal fees (approximately $0.6 million) for the three months ended July 31, 2018, when compared to the same period for fiscal 2017.</w:t>
      </w:r>
    </w:p>
    <w:p>
      <w:pPr>
        <w:spacing w:after="0" w:line="187"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17"/>
          <w:szCs w:val="17"/>
          <w:color w:val="auto"/>
        </w:rPr>
        <w:t>Selling, general and administrative expenses of $42.3 million for the nine months ended July 31, 2018 include costs of marketing and advertising, sales expenses (including broker commissions) and other general and administrative costs, as well as $0.9 million of management transition related expenses. Selling, general and administrative expenses increased $0.3 million, or 0.8%, for the nine months ended July 31, 2018, when compared to the same period for fiscal 2017. This increase was primarily related to an approximately $2.8 million increase in salaries and benefits ($1.6 million of costs related to the vesting of stock grants earned by certain members of the senior management team over the past three fiscal years, as well as $1.2 million due in part to higher headcount). Partially offsetting this increase was a decrease in bad debt (approximately $1.2 million), a decrease in accrued management bonuses (approximately $0.7 million) and a decrease in legal fees (approximately $0.5 million) for the nine months ended July 31, 2018, when compared to the same period for fiscal 2017.</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unconsolidated entities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40" w:type="dxa"/>
            <w:vAlign w:val="bottom"/>
          </w:tcPr>
          <w:p>
            <w:pPr>
              <w:spacing w:after="0"/>
              <w:rPr>
                <w:sz w:val="16"/>
                <w:szCs w:val="16"/>
                <w:color w:val="auto"/>
              </w:rPr>
            </w:pPr>
          </w:p>
        </w:tc>
        <w:tc>
          <w:tcPr>
            <w:tcW w:w="2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56"/>
        </w:trPr>
        <w:tc>
          <w:tcPr>
            <w:tcW w:w="35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bottom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60" w:type="dxa"/>
            <w:vAlign w:val="bottom"/>
            <w:tcBorders>
              <w:bottom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40" w:type="dxa"/>
            <w:vAlign w:val="bottom"/>
            <w:tcBorders>
              <w:bottom w:val="single" w:sz="8" w:color="auto"/>
            </w:tcBorders>
          </w:tcPr>
          <w:p>
            <w:pPr>
              <w:jc w:val="right"/>
              <w:ind w:right="462"/>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3"/>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Income (loss) from unconsolidated entities</w:t>
            </w:r>
          </w:p>
        </w:tc>
        <w:tc>
          <w:tcPr>
            <w:tcW w:w="1040" w:type="dxa"/>
            <w:vAlign w:val="bottom"/>
            <w:gridSpan w:val="2"/>
            <w:shd w:val="clear" w:color="auto" w:fill="CCEEFF"/>
          </w:tcPr>
          <w:p>
            <w:pPr>
              <w:jc w:val="right"/>
              <w:ind w:right="108"/>
              <w:spacing w:after="0" w:line="202" w:lineRule="exact"/>
              <w:rPr>
                <w:sz w:val="20"/>
                <w:szCs w:val="20"/>
                <w:color w:val="auto"/>
              </w:rPr>
            </w:pPr>
            <w:r>
              <w:rPr>
                <w:rFonts w:ascii="Times New Roman" w:cs="Times New Roman" w:eastAsia="Times New Roman" w:hAnsi="Times New Roman"/>
                <w:sz w:val="18"/>
                <w:szCs w:val="18"/>
                <w:color w:val="auto"/>
              </w:rPr>
              <w:t>$ (3,677)</w:t>
            </w:r>
          </w:p>
        </w:tc>
        <w:tc>
          <w:tcPr>
            <w:tcW w:w="106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(847.4)% $</w:t>
            </w: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492</w:t>
            </w:r>
          </w:p>
        </w:tc>
        <w:tc>
          <w:tcPr>
            <w:tcW w:w="9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(3,399)</w:t>
            </w:r>
          </w:p>
        </w:tc>
        <w:tc>
          <w:tcPr>
            <w:tcW w:w="1440" w:type="dxa"/>
            <w:vAlign w:val="bottom"/>
            <w:shd w:val="clear" w:color="auto" w:fill="CCEEFF"/>
          </w:tcPr>
          <w:p>
            <w:pPr>
              <w:jc w:val="right"/>
              <w:ind w:right="2"/>
              <w:spacing w:after="0" w:line="202" w:lineRule="exact"/>
              <w:rPr>
                <w:sz w:val="20"/>
                <w:szCs w:val="20"/>
                <w:color w:val="auto"/>
              </w:rPr>
            </w:pPr>
            <w:r>
              <w:rPr>
                <w:rFonts w:ascii="Times New Roman" w:cs="Times New Roman" w:eastAsia="Times New Roman" w:hAnsi="Times New Roman"/>
                <w:sz w:val="18"/>
                <w:szCs w:val="18"/>
                <w:color w:val="auto"/>
              </w:rPr>
              <w:t>(3,876.7)% $</w:t>
            </w:r>
          </w:p>
        </w:tc>
        <w:tc>
          <w:tcPr>
            <w:tcW w:w="4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ind w:right="780" w:firstLine="259"/>
        <w:spacing w:after="0" w:line="282" w:lineRule="auto"/>
        <w:rPr>
          <w:sz w:val="20"/>
          <w:szCs w:val="20"/>
          <w:color w:val="auto"/>
        </w:rPr>
      </w:pPr>
      <w:r>
        <w:rPr>
          <w:rFonts w:ascii="Times New Roman" w:cs="Times New Roman" w:eastAsia="Times New Roman" w:hAnsi="Times New Roman"/>
          <w:sz w:val="18"/>
          <w:szCs w:val="18"/>
          <w:color w:val="auto"/>
        </w:rPr>
        <w:t>Income (loss) from unconsolidated entities includes our allocation of earnings or losses from our investments in FreshRealm, LLC (FreshRealm) and Agricola Don Memo, S.A. de S.V. (Don Memo).</w:t>
      </w:r>
    </w:p>
    <w:p>
      <w:pPr>
        <w:spacing w:after="0" w:line="162" w:lineRule="exact"/>
        <w:rPr>
          <w:sz w:val="20"/>
          <w:szCs w:val="20"/>
          <w:color w:val="auto"/>
        </w:rPr>
      </w:pPr>
    </w:p>
    <w:p>
      <w:pPr>
        <w:jc w:val="both"/>
        <w:ind w:right="260" w:firstLine="259"/>
        <w:spacing w:after="0" w:line="266" w:lineRule="auto"/>
        <w:rPr>
          <w:sz w:val="20"/>
          <w:szCs w:val="20"/>
          <w:color w:val="auto"/>
        </w:rPr>
      </w:pPr>
      <w:r>
        <w:rPr>
          <w:rFonts w:ascii="Times New Roman" w:cs="Times New Roman" w:eastAsia="Times New Roman" w:hAnsi="Times New Roman"/>
          <w:sz w:val="18"/>
          <w:szCs w:val="18"/>
          <w:color w:val="auto"/>
        </w:rPr>
        <w:t>For the three months ended July 31, 2018 and 2017, we recognized $0.2 million of losses and $0.5 in income related to Don Memo. For the nine months ended July 31, 2018 and 2017, we recognized $0.1 million of losses and $0.1 in income related to Don Memo.</w:t>
      </w:r>
    </w:p>
    <w:p>
      <w:pPr>
        <w:spacing w:after="0" w:line="176" w:lineRule="exact"/>
        <w:rPr>
          <w:sz w:val="20"/>
          <w:szCs w:val="20"/>
          <w:color w:val="auto"/>
        </w:rPr>
      </w:pPr>
    </w:p>
    <w:p>
      <w:pPr>
        <w:jc w:val="both"/>
        <w:ind w:right="160" w:firstLine="259"/>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July 31, 2018, we recognized $3.5 million of losses related to FreshRealm. While we are unable to determine with certainty the future operating results of FreshRealm and future non-Calavo investments, if any, we anticipate recording additional non-cash losses from FreshRealm during our fourth quarter of fiscal 2018. See Note 4 and 13 in our consolidated financial statements for more information.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0" w:type="dxa"/>
            <w:vAlign w:val="bottom"/>
          </w:tcPr>
          <w:p>
            <w:pPr>
              <w:spacing w:after="0"/>
              <w:rPr>
                <w:sz w:val="15"/>
                <w:szCs w:val="15"/>
                <w:color w:val="auto"/>
              </w:rPr>
            </w:pPr>
          </w:p>
        </w:tc>
        <w:tc>
          <w:tcPr>
            <w:tcW w:w="258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$ 3,403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$ 3,719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$ 12,469</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$ 13,883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tax rate</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21.6 %</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29.7 %</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27.2 %</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34.0 %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259"/>
        <w:spacing w:after="0" w:line="253" w:lineRule="auto"/>
        <w:rPr>
          <w:sz w:val="20"/>
          <w:szCs w:val="20"/>
          <w:color w:val="auto"/>
        </w:rPr>
      </w:pPr>
      <w:r>
        <w:rPr>
          <w:rFonts w:ascii="Times New Roman" w:cs="Times New Roman" w:eastAsia="Times New Roman" w:hAnsi="Times New Roman"/>
          <w:sz w:val="18"/>
          <w:szCs w:val="18"/>
          <w:color w:val="auto"/>
        </w:rPr>
        <w:t xml:space="preserve">Our tax provision is determined using an estimated annual effective tax rate and adjusted for discrete taxable events that may occur during the quarter. In the first quarter of fiscal 2018, we recorded $1.7 million in one-time, non-cash charges related to the revaluation of our net deferred tax assets (approx. $1.4 million) and the transition tax on the deemed repatriation of foreign earnings (approx. $0.3 million). In addition, we recorded an income tax benefit of approximately $0.4 million and $0.3 million for the first quarters ended in fiscal 2018 and 2017, pursuant to ASU 2016-09, </w:t>
      </w:r>
      <w:r>
        <w:rPr>
          <w:rFonts w:ascii="Times New Roman" w:cs="Times New Roman" w:eastAsia="Times New Roman" w:hAnsi="Times New Roman"/>
          <w:sz w:val="18"/>
          <w:szCs w:val="18"/>
          <w:i w:val="1"/>
          <w:iCs w:val="1"/>
          <w:color w:val="auto"/>
        </w:rPr>
        <w:t>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 Share-based Payment Accounting</w:t>
      </w:r>
      <w:r>
        <w:rPr>
          <w:rFonts w:ascii="Times New Roman" w:cs="Times New Roman" w:eastAsia="Times New Roman" w:hAnsi="Times New Roman"/>
          <w:sz w:val="18"/>
          <w:szCs w:val="18"/>
          <w:color w:val="auto"/>
        </w:rPr>
        <w:t>. We recognize the effects of tax legislation in the period in which the law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enacted. Our deferred tax assets and liabilities are remeasured using enacted tax rates expected to apply to taxable income in the years we estimate the related temporary differences to reverse Based on the Tax Act and a change accelerating certain tax deductions on our 2017 federal tax return, we recorded $0.8 million of a tax benefit as a discrete item during our third fiscal quarter of 2018. Additionally, we also recorded approximately $0.2 million of tax expense related to return to provision differences upon the filing of the 2017 tax return during our third fiscal quarter of 2018.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was $40.0 million for the nine months ended July 31, 2018, compared to cash provided by operations of $41.2 million for the similar period in fiscal 2017. Operating cash flows for the nine months ended July 31, 2018 reflect our net income of $33.4 million, non-cash activities (depreciation and amortization, stock compensation expense, deferred taxes, (loss) income from unconsolidated entities and gain on the disposal of fixed assets) of $20.3 million and a net decrease in the non-cash components of our operating capital of approximately $13.7 million.</w:t>
      </w:r>
    </w:p>
    <w:p>
      <w:pPr>
        <w:spacing w:after="0" w:line="184" w:lineRule="exact"/>
        <w:rPr>
          <w:sz w:val="20"/>
          <w:szCs w:val="20"/>
          <w:color w:val="auto"/>
        </w:rPr>
      </w:pPr>
    </w:p>
    <w:p>
      <w:pPr>
        <w:ind w:right="240" w:firstLine="259"/>
        <w:spacing w:after="0" w:line="258" w:lineRule="auto"/>
        <w:rPr>
          <w:sz w:val="20"/>
          <w:szCs w:val="20"/>
          <w:color w:val="auto"/>
        </w:rPr>
      </w:pPr>
      <w:r>
        <w:rPr>
          <w:rFonts w:ascii="Times New Roman" w:cs="Times New Roman" w:eastAsia="Times New Roman" w:hAnsi="Times New Roman"/>
          <w:sz w:val="18"/>
          <w:szCs w:val="18"/>
          <w:color w:val="auto"/>
        </w:rPr>
        <w:t>The working capital decrease includes a net decrease in accounts payable and accrued expenses of $8.7 million, an increase in inventory of $5.0 million, an increase in accounts receivable of $3.6 million, an increase in other assets of $3.2 million, an increase in advances to suppliers of $0.8 million and an increase in prepaid expenses and other current assets of $0.2 million, partially offset by an increase in payable to growers of $5.5 million, a decrease in income taxes receivable of $1.4 million and an increase in income taxes payable of $0.9 million.</w:t>
      </w:r>
    </w:p>
    <w:p>
      <w:pPr>
        <w:spacing w:after="0" w:line="184" w:lineRule="exact"/>
        <w:rPr>
          <w:sz w:val="20"/>
          <w:szCs w:val="20"/>
          <w:color w:val="auto"/>
        </w:rPr>
      </w:pPr>
    </w:p>
    <w:p>
      <w:pPr>
        <w:ind w:right="80" w:firstLine="259"/>
        <w:spacing w:after="0" w:line="253" w:lineRule="auto"/>
        <w:rPr>
          <w:sz w:val="20"/>
          <w:szCs w:val="20"/>
          <w:color w:val="auto"/>
        </w:rPr>
      </w:pPr>
      <w:r>
        <w:rPr>
          <w:rFonts w:ascii="Times New Roman" w:cs="Times New Roman" w:eastAsia="Times New Roman" w:hAnsi="Times New Roman"/>
          <w:sz w:val="18"/>
          <w:szCs w:val="18"/>
          <w:color w:val="auto"/>
        </w:rPr>
        <w:t>The decrease in accounts payable and accrued expenses is primarily related to a decrease in our payables related to RFG . The increase in inventory is primarily related to an increase in the volume of avocados on hand at July 31, 2018 when compared to October 31, 2017. Inventory volumes also increased in both our Foods and RFG segments. The increase in our accounts receivable, as of July 31, 2018 when compared to October 31, 2017, primarily reflects higher sales recorded in the month of July 2018, as compared to October 2017. The increase in other assets is due to an increase in Mexican IVA tax receivable (see Note 11 to our consolidated condensed financial statements). The increase in advances to suppliers primarily reflects more pre-season advances outstanding to our tomato growers in July 2018, compared to October 2017. The increase in payable to growers primarily reflects an increase in our Mexican and Californian avocado grower liability due primarily to higher volumes. The decrease in income taxes receivable and the increase in income taxes payable is primarily related to the taxes on current year earnings and the change in the tax rate due to the passage of the Tax Cuts and Jobs Act legislation that passed December 22, 2017.</w:t>
      </w:r>
    </w:p>
    <w:p>
      <w:pPr>
        <w:spacing w:after="0" w:line="193"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was $14.7 million for the nine months ended July 31, 2018, which primarily related to property, plant and equipment purchases of $11.5 million and an investment of $3.5 million into FreshRealm, partially offset by proceeds received from the repayment of the San Rafael note of $0.3 million. For the nine months ended July 31, 2017, cash used for investing activities was $48.5 million, which primarily related to expansion projects for RFG segment (including more than $19 million for the purchase of the new Riverside plant) and for the Fresh segment, and</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investments in FreshRealm of $7.2 million and Don Memo of $0.5 million, partially offset by proceeds received from the repayment of the San Rafael note of $0.3 million</w:t>
      </w:r>
    </w:p>
    <w:p>
      <w:pPr>
        <w:spacing w:after="0" w:line="162"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Cash used by financing activities was $29.9 million for the nine months ended July 31, 2018, which related principally to the payment of our $16.7 million dividend, payments on our credit facilities totaling $12.0 million, and the payment of minimum withholding taxes on net share settlement of equity awards of $1.2 million. For the nine months ended July 31, 2017, cash from financing activities was $2.3 million, which related principally to receipts on our credit facilities totaling $19.0 million, partially offset by the payment of our $15.7 million dividend and for the purchase of the noncontrolling interest of Salsa Lisa of $1.0 million.</w:t>
      </w:r>
    </w:p>
    <w:p>
      <w:pPr>
        <w:spacing w:after="0" w:line="107"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existing cash balances, cash generated from operations and amounts available for borrowing under our existing Credit Facility. Cash and cash equivalents as of July 31, 2018 and October 31, 2017 totaled $2.0 million and $6.6 million. Our working capital at July 31, 2018 was $40.1 million, compared to $3.7 million at October 31, 2017.</w:t>
      </w:r>
    </w:p>
    <w:p>
      <w:pPr>
        <w:spacing w:after="0" w:line="99" w:lineRule="exact"/>
        <w:rPr>
          <w:sz w:val="20"/>
          <w:szCs w:val="20"/>
          <w:color w:val="auto"/>
        </w:rPr>
      </w:pPr>
    </w:p>
    <w:p>
      <w:pPr>
        <w:ind w:right="40" w:firstLine="259"/>
        <w:spacing w:after="0" w:line="253" w:lineRule="auto"/>
        <w:rPr>
          <w:sz w:val="20"/>
          <w:szCs w:val="20"/>
          <w:color w:val="auto"/>
        </w:rPr>
      </w:pPr>
      <w:r>
        <w:rPr>
          <w:rFonts w:ascii="Times New Roman" w:cs="Times New Roman" w:eastAsia="Times New Roman" w:hAnsi="Times New Roman"/>
          <w:sz w:val="18"/>
          <w:szCs w:val="18"/>
          <w:color w:val="auto"/>
        </w:rPr>
        <w:t>We believe that cash flows from operations and the available Credit Facility will be sufficient to satisfy our future capital expenditures, grower recruitment efforts, working capital and other financing requirements for at least the next twelve months. We will continue to evaluate grower recruitment opportunities and expand relationships with retail and/or foodservice customers to fuel growth in each of our business segments. We have a revolving credit facility with Bank of America as administrative agent and Merrill Lynch, Pierce, Fenner &amp; Smith Inc. as joint lead arranger and sole bookrunner, and Farm Credit West, as joint lead arranger. Under the terms of this agreement, we are advanced funds for both working capital and long-term productive asset purchases. Total credit available under this agreement is $80 million, and will expire in June 2021. Upon notice to Bank of America, we may from time to time, request an increase in the Credit Facility by an amount not exceeding $50 million. For our current credit agreement the weighted-average interest rate was 3.0% and 2.2% at July 31, 2018 and October 31, 2017. Under these credit facilities, we had $8.0 million and $20.0 million outstanding as July 31, 2018 and October 31, 2017.</w:t>
      </w:r>
    </w:p>
    <w:p>
      <w:pPr>
        <w:spacing w:after="0" w:line="193" w:lineRule="exact"/>
        <w:rPr>
          <w:sz w:val="20"/>
          <w:szCs w:val="20"/>
          <w:color w:val="auto"/>
        </w:rPr>
      </w:pPr>
    </w:p>
    <w:p>
      <w:pPr>
        <w:jc w:val="both"/>
        <w:ind w:firstLine="275"/>
        <w:spacing w:after="0" w:line="261" w:lineRule="auto"/>
        <w:rPr>
          <w:sz w:val="20"/>
          <w:szCs w:val="20"/>
          <w:color w:val="auto"/>
        </w:rPr>
      </w:pPr>
      <w:r>
        <w:rPr>
          <w:rFonts w:ascii="Times New Roman" w:cs="Times New Roman" w:eastAsia="Times New Roman" w:hAnsi="Times New Roman"/>
          <w:sz w:val="18"/>
          <w:szCs w:val="18"/>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were in compliance with all such covenants at July 31, 2018.</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ind w:right="360" w:firstLine="25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contractual commitments, from those previously disclosed in our Annual Report on Form 10-K for our fiscal year ended October 31, 2017. For a summary of the contractual commitments at October 31, 2017, see Part II, Item 7, in our 2017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1 to the consolidated condensed financial statements that are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July 31, 2018.</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(All amounts in thousands)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10"/>
          </w:tcPr>
          <w:p>
            <w:pPr>
              <w:ind w:left="260"/>
              <w:spacing w:after="0"/>
              <w:rPr>
                <w:sz w:val="20"/>
                <w:szCs w:val="20"/>
                <w:color w:val="auto"/>
              </w:rPr>
            </w:pPr>
            <w:r>
              <w:rPr>
                <w:rFonts w:ascii="Times New Roman" w:cs="Times New Roman" w:eastAsia="Times New Roman" w:hAnsi="Times New Roman"/>
                <w:sz w:val="14"/>
                <w:szCs w:val="14"/>
                <w:b w:val="1"/>
                <w:bCs w:val="1"/>
                <w:color w:val="auto"/>
              </w:rPr>
              <w:t>Expected maturity date July 31,</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Thereafter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Payable to growers (1)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Current borrowings pursuant to credit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facilities (1)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Fixed-rate long-term obligations (2)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14408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22" w:lineRule="exact"/>
        <w:rPr>
          <w:sz w:val="20"/>
          <w:szCs w:val="20"/>
          <w:color w:val="auto"/>
        </w:rPr>
      </w:pPr>
    </w:p>
    <w:p>
      <w:pPr>
        <w:ind w:left="320" w:right="200" w:hanging="317"/>
        <w:spacing w:after="0" w:line="233" w:lineRule="auto"/>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ind w:left="320" w:right="60" w:hanging="317"/>
        <w:spacing w:after="0" w:line="239" w:lineRule="auto"/>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Fixed-rate long-term obligations bear interest rates ranging from 4.0% to 4.3% with a weighted-average interest rate of 4.2%. We project the impact of an increase or decrease in interest rates of 100 basis points would result in a change of fair value of approximately $10,000.</w:t>
      </w:r>
    </w:p>
    <w:p>
      <w:pPr>
        <w:spacing w:after="0" w:line="100" w:lineRule="exact"/>
        <w:rPr>
          <w:sz w:val="20"/>
          <w:szCs w:val="20"/>
          <w:color w:val="auto"/>
        </w:rPr>
      </w:pPr>
    </w:p>
    <w:p>
      <w:pPr>
        <w:ind w:right="340"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95" w:lineRule="exact"/>
        <w:rPr>
          <w:sz w:val="20"/>
          <w:szCs w:val="20"/>
          <w:color w:val="auto"/>
        </w:rPr>
      </w:pPr>
    </w:p>
    <w:p>
      <w:pPr>
        <w:jc w:val="both"/>
        <w:ind w:right="40" w:firstLine="259"/>
        <w:spacing w:after="0" w:line="256" w:lineRule="auto"/>
        <w:rPr>
          <w:sz w:val="20"/>
          <w:szCs w:val="20"/>
          <w:color w:val="auto"/>
        </w:rPr>
      </w:pPr>
      <w:r>
        <w:rPr>
          <w:rFonts w:ascii="Times New Roman" w:cs="Times New Roman" w:eastAsia="Times New Roman" w:hAnsi="Times New Roman"/>
          <w:sz w:val="18"/>
          <w:szCs w:val="18"/>
          <w:color w:val="auto"/>
        </w:rPr>
        <w:t>Our Mexican affiliates transact business primarily in Mexican pesos. Funds are transferred by our corporate office to Mexico on a weekly basis to satisfy the domestic cash needs of our Mexican affiliates. We do not currently use derivative instruments to hedge fluctuations in the Mexican peso to U.S. dollar exchange rates. Management does, however, evaluate this opportunity from time to time. Total foreign currency transaction gains for the three months ended July 31, 2018 and 2017, net of losses, was $0.1 million and $0.4 million. Total foreign currency transaction losses for the nine months ended July 31, 2018 and 2017, net of gains, was $0.2 million and $0.1 million.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76"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July 31, 2018 that have materially affected, or are reasonably likely to materially affect, the Company’s internal control over financial reporting.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also involved in litigation arising in the ordinary course of our business that we do not believe will have a material adverse impact on our financial statements.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7 in our consolidated financial statements for further information regarding legal proceedings.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For a discussion of our risk factors, see Part 1, item 1A “Risk Factors” of our Annual Report on Form 10-K for the year ended October 31, 2017. There have been no material changes from the risk factors set forth in such Annual Report on Form 10-K. However, the risks and uncertainties that we face are not limited to those set forth in the 2017 Form 10-K. Additional risks and uncertainties not presently known to us or that we currently believe to be immaterial may also adversely affect our business and the trading price of our common stock.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8"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FreshRealm, LLC, Sixth Amended and Restated Limited Liability Company Agreement.</w:t>
      </w:r>
    </w:p>
    <w:p>
      <w:pPr>
        <w:spacing w:after="0" w:line="117" w:lineRule="exact"/>
        <w:rPr>
          <w:sz w:val="20"/>
          <w:szCs w:val="20"/>
          <w:color w:val="auto"/>
        </w:rPr>
      </w:pPr>
    </w:p>
    <w:p>
      <w:pPr>
        <w:ind w:left="1360" w:right="680" w:hanging="674"/>
        <w:spacing w:after="0" w:line="229" w:lineRule="auto"/>
        <w:tabs>
          <w:tab w:leader="none" w:pos="13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First Amendment to FreshRealm, LLC, Sixth Amended and Restated Limited Liability Company Agreement.</w:t>
      </w:r>
    </w:p>
    <w:p>
      <w:pPr>
        <w:spacing w:after="0" w:line="91" w:lineRule="exact"/>
        <w:rPr>
          <w:sz w:val="20"/>
          <w:szCs w:val="20"/>
          <w:color w:val="auto"/>
        </w:rPr>
      </w:pPr>
    </w:p>
    <w:p>
      <w:pPr>
        <w:ind w:left="1360" w:hanging="674"/>
        <w:spacing w:after="0" w:line="229" w:lineRule="auto"/>
        <w:tabs>
          <w:tab w:leader="none" w:pos="13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Chief Executive Officer Pursuant to 15 U.S.C. § 7241, as Adopted Pursuant to Section 302 of the Sarbanes-Oxley Act of 2002.</w:t>
      </w:r>
    </w:p>
    <w:p>
      <w:pPr>
        <w:spacing w:after="0" w:line="66" w:lineRule="exact"/>
        <w:rPr>
          <w:sz w:val="20"/>
          <w:szCs w:val="20"/>
          <w:color w:val="auto"/>
        </w:rPr>
      </w:pPr>
    </w:p>
    <w:p>
      <w:pPr>
        <w:ind w:left="680"/>
        <w:spacing w:after="0"/>
        <w:tabs>
          <w:tab w:leader="none" w:pos="13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Principal Financial Officer Pursuant to 15 U.S.C. § 7241, as Adopted Pursuant to Section</w:t>
      </w:r>
    </w:p>
    <w:p>
      <w:pPr>
        <w:ind w:left="1360"/>
        <w:spacing w:after="0"/>
        <w:rPr>
          <w:sz w:val="20"/>
          <w:szCs w:val="20"/>
          <w:color w:val="auto"/>
        </w:rPr>
      </w:pPr>
      <w:r>
        <w:rPr>
          <w:rFonts w:ascii="Times New Roman" w:cs="Times New Roman" w:eastAsia="Times New Roman" w:hAnsi="Times New Roman"/>
          <w:sz w:val="18"/>
          <w:szCs w:val="18"/>
          <w:color w:val="auto"/>
        </w:rPr>
        <w:t>302 of the Sarbanes-Oxley Act of 2002.</w:t>
      </w:r>
    </w:p>
    <w:p>
      <w:pPr>
        <w:spacing w:after="0" w:line="97" w:lineRule="exact"/>
        <w:rPr>
          <w:sz w:val="20"/>
          <w:szCs w:val="20"/>
          <w:color w:val="auto"/>
        </w:rPr>
      </w:pPr>
    </w:p>
    <w:p>
      <w:pPr>
        <w:ind w:left="1360" w:right="300" w:hanging="674"/>
        <w:spacing w:after="0" w:line="229" w:lineRule="auto"/>
        <w:tabs>
          <w:tab w:leader="none" w:pos="13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by Chief Executive Officer and Chief Financial Officer of Periodic Report Pursuant to 18 U.S.C. Section 1350.</w:t>
      </w:r>
    </w:p>
    <w:p>
      <w:pPr>
        <w:spacing w:after="0" w:line="91" w:lineRule="exact"/>
        <w:rPr>
          <w:sz w:val="20"/>
          <w:szCs w:val="20"/>
          <w:color w:val="auto"/>
        </w:rPr>
      </w:pPr>
    </w:p>
    <w:p>
      <w:pPr>
        <w:ind w:left="1360" w:right="40" w:hanging="682"/>
        <w:spacing w:after="0" w:line="211" w:lineRule="auto"/>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the Quarterly Report on Form 10-Q of Calavo Growers, Inc. for the quarter ended July 31, 2018, formatted in XBRL (eXtensible Business Reporting Language): (1) Consolidated Condensed Balance Sheets as of July 31, 2018 and October 31, 2017; (2) Consolidated Condensed Statements of Income for the three and nine months ended July 31, 2018 and 2017; (3) Consolidated Condensed Statements of Comprehensive Income for the three and nine months ended July 31, 2018 and 2017; (4) Consolidated Condensed Statements of Cash Flows for the three and nine months ended July 31, 2018 and 2017; and (5)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60" w:type="dxa"/>
            <w:vAlign w:val="bottom"/>
            <w:gridSpan w:val="8"/>
          </w:tcPr>
          <w:p>
            <w:pPr>
              <w:ind w:left="980"/>
              <w:spacing w:after="0"/>
              <w:rPr>
                <w:sz w:val="20"/>
                <w:szCs w:val="20"/>
                <w:color w:val="auto"/>
              </w:rPr>
            </w:pPr>
            <w:r>
              <w:rPr>
                <w:rFonts w:ascii="Times New Roman" w:cs="Times New Roman" w:eastAsia="Times New Roman" w:hAnsi="Times New Roman"/>
                <w:sz w:val="18"/>
                <w:szCs w:val="18"/>
                <w:color w:val="auto"/>
              </w:rPr>
              <w:t>INDEX TO EXHIBITS</w:t>
            </w:r>
          </w:p>
        </w:tc>
        <w:tc>
          <w:tcPr>
            <w:tcW w:w="0" w:type="dxa"/>
            <w:vAlign w:val="bottom"/>
          </w:tcPr>
          <w:p>
            <w:pPr>
              <w:spacing w:after="0"/>
              <w:rPr>
                <w:sz w:val="1"/>
                <w:szCs w:val="1"/>
                <w:color w:val="auto"/>
              </w:rPr>
            </w:pPr>
          </w:p>
        </w:tc>
      </w:tr>
      <w:tr>
        <w:trPr>
          <w:trHeight w:val="27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0" w:type="dxa"/>
            <w:vAlign w:val="bottom"/>
            <w:gridSpan w:val="6"/>
            <w:vMerge w:val="restart"/>
          </w:tcPr>
          <w:p>
            <w:pPr>
              <w:ind w:left="64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89"/>
        </w:trPr>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Number</w:t>
            </w: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7880" w:type="dxa"/>
            <w:vAlign w:val="bottom"/>
            <w:tcBorders>
              <w:top w:val="single" w:sz="8" w:color="auto"/>
            </w:tcBorders>
            <w:gridSpan w:val="10"/>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FreshRealm, LLC, Sixth Amended and Restated Limited Liability Company Agreement</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7880" w:type="dxa"/>
            <w:vAlign w:val="bottom"/>
            <w:gridSpan w:val="10"/>
          </w:tcPr>
          <w:p>
            <w:pPr>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First Amendment to FreshRealm, LLC, Sixth Amended and Restated Limited Liability Company</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0" w:type="dxa"/>
            <w:vAlign w:val="bottom"/>
            <w:tcBorders>
              <w:top w:val="single" w:sz="8" w:color="0000EE"/>
            </w:tcBorders>
            <w:gridSpan w:val="6"/>
          </w:tcPr>
          <w:p>
            <w:pPr>
              <w:spacing w:after="0" w:line="142" w:lineRule="exact"/>
              <w:rPr>
                <w:rFonts w:ascii="Times New Roman" w:cs="Times New Roman" w:eastAsia="Times New Roman" w:hAnsi="Times New Roman"/>
                <w:sz w:val="16"/>
                <w:szCs w:val="16"/>
                <w:color w:val="0000EE"/>
              </w:rPr>
            </w:pPr>
            <w:hyperlink w:anchor="page101">
              <w:r>
                <w:rPr>
                  <w:rFonts w:ascii="Times New Roman" w:cs="Times New Roman" w:eastAsia="Times New Roman" w:hAnsi="Times New Roman"/>
                  <w:sz w:val="16"/>
                  <w:szCs w:val="16"/>
                  <w:color w:val="0000EE"/>
                </w:rPr>
                <w:t>Agreement.</w:t>
              </w:r>
            </w:hyperlink>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7880" w:type="dxa"/>
            <w:vAlign w:val="bottom"/>
            <w:gridSpan w:val="10"/>
          </w:tcPr>
          <w:p>
            <w:pPr>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Certification of Chief Executive Officer Pursuant to 15 U.S.C. § 7241, as Adopted Pursuant to Section 302</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Borders>
              <w:top w:val="single" w:sz="8" w:color="0000EE"/>
              <w:bottom w:val="single" w:sz="8" w:color="0000EE"/>
            </w:tcBorders>
            <w:gridSpan w:val="3"/>
          </w:tcPr>
          <w:p>
            <w:pPr>
              <w:spacing w:after="0" w:line="142" w:lineRule="exact"/>
              <w:rPr>
                <w:rFonts w:ascii="Times New Roman" w:cs="Times New Roman" w:eastAsia="Times New Roman" w:hAnsi="Times New Roman"/>
                <w:sz w:val="16"/>
                <w:szCs w:val="16"/>
                <w:color w:val="0000EE"/>
              </w:rPr>
            </w:pPr>
            <w:hyperlink w:anchor="page104">
              <w:r>
                <w:rPr>
                  <w:rFonts w:ascii="Times New Roman" w:cs="Times New Roman" w:eastAsia="Times New Roman" w:hAnsi="Times New Roman"/>
                  <w:sz w:val="16"/>
                  <w:szCs w:val="16"/>
                  <w:color w:val="0000EE"/>
                </w:rPr>
                <w:t>of the Sarbanes-Oxley Act of 2002.</w:t>
              </w:r>
            </w:hyperlink>
          </w:p>
        </w:tc>
        <w:tc>
          <w:tcPr>
            <w:tcW w:w="5140" w:type="dxa"/>
            <w:vAlign w:val="bottom"/>
            <w:tcBorders>
              <w:top w:val="single" w:sz="8" w:color="0000EE"/>
            </w:tcBorders>
            <w:gridSpan w:val="6"/>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7880" w:type="dxa"/>
            <w:vAlign w:val="bottom"/>
            <w:gridSpan w:val="10"/>
          </w:tcPr>
          <w:p>
            <w:pPr>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Certification of Principal Financial Officer Pursuant to 15 U.S.C. § 7241, as Adopted Pursuant to Section</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80" w:type="dxa"/>
            <w:vAlign w:val="bottom"/>
            <w:tcBorders>
              <w:top w:val="single" w:sz="8" w:color="0000EE"/>
              <w:bottom w:val="single" w:sz="8" w:color="0000EE"/>
            </w:tcBorders>
            <w:gridSpan w:val="4"/>
          </w:tcPr>
          <w:p>
            <w:pPr>
              <w:spacing w:after="0" w:line="142" w:lineRule="exact"/>
              <w:rPr>
                <w:rFonts w:ascii="Times New Roman" w:cs="Times New Roman" w:eastAsia="Times New Roman" w:hAnsi="Times New Roman"/>
                <w:sz w:val="16"/>
                <w:szCs w:val="16"/>
                <w:color w:val="0000EE"/>
              </w:rPr>
            </w:pPr>
            <w:hyperlink w:anchor="page105">
              <w:r>
                <w:rPr>
                  <w:rFonts w:ascii="Times New Roman" w:cs="Times New Roman" w:eastAsia="Times New Roman" w:hAnsi="Times New Roman"/>
                  <w:sz w:val="16"/>
                  <w:szCs w:val="16"/>
                  <w:color w:val="0000EE"/>
                </w:rPr>
                <w:t>302 of the Sarbanes-Oxley Act of 2002.</w:t>
              </w:r>
            </w:hyperlink>
          </w:p>
        </w:tc>
        <w:tc>
          <w:tcPr>
            <w:tcW w:w="4700" w:type="dxa"/>
            <w:vAlign w:val="bottom"/>
            <w:tcBorders>
              <w:top w:val="single" w:sz="8" w:color="0000EE"/>
            </w:tcBorders>
            <w:gridSpan w:val="4"/>
          </w:tcPr>
          <w:p>
            <w:pPr>
              <w:spacing w:after="0"/>
              <w:rPr>
                <w:sz w:val="12"/>
                <w:szCs w:val="12"/>
                <w:color w:val="auto"/>
              </w:rPr>
            </w:pP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7880" w:type="dxa"/>
            <w:vAlign w:val="bottom"/>
            <w:gridSpan w:val="10"/>
          </w:tcPr>
          <w:p>
            <w:pPr>
              <w:spacing w:after="0"/>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Certification by Chief Executive Officer and Chief Financial Officer of Periodic Report Pursuant to 18</w:t>
              </w:r>
            </w:hyperlink>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Borders>
              <w:top w:val="single" w:sz="8" w:color="0000EE"/>
              <w:bottom w:val="single" w:sz="8" w:color="0000EE"/>
            </w:tcBorders>
            <w:gridSpan w:val="2"/>
          </w:tcPr>
          <w:p>
            <w:pPr>
              <w:spacing w:after="0" w:line="142" w:lineRule="exact"/>
              <w:rPr>
                <w:rFonts w:ascii="Times New Roman" w:cs="Times New Roman" w:eastAsia="Times New Roman" w:hAnsi="Times New Roman"/>
                <w:sz w:val="16"/>
                <w:szCs w:val="16"/>
                <w:color w:val="0000EE"/>
              </w:rPr>
            </w:pPr>
            <w:hyperlink w:anchor="page106">
              <w:r>
                <w:rPr>
                  <w:rFonts w:ascii="Times New Roman" w:cs="Times New Roman" w:eastAsia="Times New Roman" w:hAnsi="Times New Roman"/>
                  <w:sz w:val="16"/>
                  <w:szCs w:val="16"/>
                  <w:color w:val="0000EE"/>
                </w:rPr>
                <w:t>U.S.C. Section 1350.</w:t>
              </w:r>
            </w:hyperlink>
          </w:p>
        </w:tc>
        <w:tc>
          <w:tcPr>
            <w:tcW w:w="5860" w:type="dxa"/>
            <w:vAlign w:val="bottom"/>
            <w:tcBorders>
              <w:top w:val="single" w:sz="8" w:color="0000EE"/>
            </w:tcBorders>
            <w:gridSpan w:val="5"/>
          </w:tcPr>
          <w:p>
            <w:pPr>
              <w:spacing w:after="0"/>
              <w:rPr>
                <w:sz w:val="12"/>
                <w:szCs w:val="12"/>
                <w:color w:val="auto"/>
              </w:rPr>
            </w:pPr>
          </w:p>
        </w:tc>
        <w:tc>
          <w:tcPr>
            <w:tcW w:w="5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180" w:right="40" w:hanging="1177"/>
        <w:spacing w:after="0" w:line="199"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Quarterly Report on Form 10-Q of Calavo Growers, Inc. for the quarter ended July 31, 2018, formatted in XBRL (eXtensible Business Reporting Language): (1) Consolidated Condensed Balance Sheets as of July 31, 2018 and October 31, 2017; (2) Consolidated Condensed Statements of Income for the three and nine months ended July 31, 2018 and 2017; (3) Consolidated Condensed Statements of Comprehensive Income for the three and nine months ended July 31, 2018 and 2017; (4) Consolidated Condensed Statements of Cash Flows for the three and nine months ended July 31, 2018 and 2017; and (5) Notes to Unaudited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3">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34"/>
        </w:trPr>
        <w:tc>
          <w:tcPr>
            <w:tcW w:w="906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(Registrant)</w:t>
            </w:r>
          </w:p>
        </w:tc>
      </w:tr>
      <w:tr>
        <w:trPr>
          <w:trHeight w:val="6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4, 2018</w:t>
            </w:r>
          </w:p>
        </w:tc>
        <w:tc>
          <w:tcPr>
            <w:tcW w:w="4180" w:type="dxa"/>
            <w:vAlign w:val="bottom"/>
          </w:tcPr>
          <w:p>
            <w:pPr>
              <w:spacing w:after="0"/>
              <w:rPr>
                <w:sz w:val="24"/>
                <w:szCs w:val="24"/>
                <w:color w:val="auto"/>
              </w:rPr>
            </w:pPr>
          </w:p>
        </w:tc>
      </w:tr>
      <w:tr>
        <w:trPr>
          <w:trHeight w:val="234"/>
        </w:trPr>
        <w:tc>
          <w:tcPr>
            <w:tcW w:w="488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Lecil E. Cole</w:t>
            </w:r>
          </w:p>
        </w:tc>
      </w:tr>
      <w:tr>
        <w:trPr>
          <w:trHeight w:val="191"/>
        </w:trPr>
        <w:tc>
          <w:tcPr>
            <w:tcW w:w="4880" w:type="dxa"/>
            <w:vAlign w:val="bottom"/>
          </w:tcPr>
          <w:p>
            <w:pPr>
              <w:spacing w:after="0"/>
              <w:rPr>
                <w:sz w:val="16"/>
                <w:szCs w:val="16"/>
                <w:color w:val="auto"/>
              </w:rPr>
            </w:pPr>
          </w:p>
        </w:tc>
        <w:tc>
          <w:tcPr>
            <w:tcW w:w="4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Lecil E. Cole</w:t>
            </w:r>
          </w:p>
        </w:tc>
      </w:tr>
      <w:tr>
        <w:trPr>
          <w:trHeight w:val="216"/>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President, and</w:t>
            </w:r>
          </w:p>
        </w:tc>
      </w:tr>
      <w:tr>
        <w:trPr>
          <w:trHeight w:val="216"/>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8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4, 2018</w:t>
            </w:r>
          </w:p>
        </w:tc>
        <w:tc>
          <w:tcPr>
            <w:tcW w:w="4180" w:type="dxa"/>
            <w:vAlign w:val="bottom"/>
          </w:tcPr>
          <w:p>
            <w:pPr>
              <w:spacing w:after="0"/>
              <w:rPr>
                <w:sz w:val="24"/>
                <w:szCs w:val="24"/>
                <w:color w:val="auto"/>
              </w:rPr>
            </w:pPr>
          </w:p>
        </w:tc>
      </w:tr>
      <w:tr>
        <w:trPr>
          <w:trHeight w:val="234"/>
        </w:trPr>
        <w:tc>
          <w:tcPr>
            <w:tcW w:w="488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 John Lindeman</w:t>
            </w:r>
          </w:p>
        </w:tc>
      </w:tr>
      <w:tr>
        <w:trPr>
          <w:trHeight w:val="191"/>
        </w:trPr>
        <w:tc>
          <w:tcPr>
            <w:tcW w:w="4880" w:type="dxa"/>
            <w:vAlign w:val="bottom"/>
          </w:tcPr>
          <w:p>
            <w:pPr>
              <w:spacing w:after="0"/>
              <w:rPr>
                <w:sz w:val="16"/>
                <w:szCs w:val="16"/>
                <w:color w:val="auto"/>
              </w:rPr>
            </w:pPr>
          </w:p>
        </w:tc>
        <w:tc>
          <w:tcPr>
            <w:tcW w:w="4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 John Lindeman</w:t>
            </w:r>
          </w:p>
        </w:tc>
      </w:tr>
      <w:tr>
        <w:trPr>
          <w:trHeight w:val="216"/>
        </w:trPr>
        <w:tc>
          <w:tcPr>
            <w:tcW w:w="48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r>
        <w:trPr>
          <w:trHeight w:val="234"/>
        </w:trPr>
        <w:tc>
          <w:tcPr>
            <w:tcW w:w="48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63887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262890</wp:posOffset>
            </wp:positionV>
            <wp:extent cx="63887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648335</wp:posOffset>
            </wp:positionV>
            <wp:extent cx="16033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FRESHREALM,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95250</wp:posOffset>
            </wp:positionV>
            <wp:extent cx="16033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SIXTH AMENDED AND RESTATED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LIMITED LIABILITY COMPANY AGREEMENT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as of April 18, 2017</w:t>
      </w:r>
    </w:p>
    <w:p>
      <w:pPr>
        <w:spacing w:after="0" w:line="237"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THE MEMBERSHIP INTERESTS OF FRESHREALM, LLC, AND THE UNITS THEREOF REPRESENTED BY THIS LIMITED LIABILITY COMPANY AGREEMENT, HAVE NOT BEEN REGISTERED UNDER THE UNITED STATES SECURITIES ACT OF 1933, AS AMENDED, OR UNDER ANY OTHER APPLICABLE SECURITIES LAWS. SUCH MEMBERSHIP INTERESTS AND/OR UNITS MAY NOT BE SOLD, ASSIGNED, PLEDGED OR OTHERWISE DISPOSED OF AT ANY TIME WITHOUT EFFECTIVE REGISTRATION UNDER SUCH ACT AND LAWS OR EXEMPTION THEREFROM, AND COMPLIANCE WITH THE OTHER RESTRICTIONS ON TRANSFERABILITY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305435</wp:posOffset>
            </wp:positionV>
            <wp:extent cx="63887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400050</wp:posOffset>
            </wp:positionV>
            <wp:extent cx="63887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837565</wp:posOffset>
            </wp:positionV>
            <wp:extent cx="63887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580" w:type="dxa"/>
            <w:vAlign w:val="bottom"/>
          </w:tcPr>
          <w:p>
            <w:pPr>
              <w:spacing w:after="0"/>
              <w:rPr>
                <w:sz w:val="22"/>
                <w:szCs w:val="22"/>
                <w:color w:val="auto"/>
              </w:rPr>
            </w:pPr>
          </w:p>
        </w:tc>
      </w:tr>
      <w:tr>
        <w:trPr>
          <w:trHeight w:val="520"/>
        </w:trPr>
        <w:tc>
          <w:tcPr>
            <w:tcW w:w="1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97"/>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796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DEFINITIONS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9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ARTICLE II</w:t>
            </w:r>
          </w:p>
        </w:tc>
        <w:tc>
          <w:tcPr>
            <w:tcW w:w="796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ORGANIZATIONAL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2.1</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Formation of Company</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2.2</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Limited Liability Company Agreement</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2.3</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2.4</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Purpose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2.5</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Principal Office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2.6</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Registered Office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2.7</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Term</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2.8</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 State-Law Partnership</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9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w w:val="96"/>
              </w:rPr>
              <w:t>ARTICLE III</w:t>
            </w:r>
          </w:p>
        </w:tc>
        <w:tc>
          <w:tcPr>
            <w:tcW w:w="7960" w:type="dxa"/>
            <w:vAlign w:val="bottom"/>
            <w:gridSpan w:val="3"/>
          </w:tcPr>
          <w:p>
            <w:pPr>
              <w:ind w:left="360"/>
              <w:spacing w:after="0"/>
              <w:rPr>
                <w:sz w:val="20"/>
                <w:szCs w:val="20"/>
                <w:color w:val="auto"/>
              </w:rPr>
            </w:pPr>
            <w:r>
              <w:rPr>
                <w:rFonts w:ascii="Times New Roman" w:cs="Times New Roman" w:eastAsia="Times New Roman" w:hAnsi="Times New Roman"/>
                <w:sz w:val="22"/>
                <w:szCs w:val="22"/>
                <w:color w:val="auto"/>
              </w:rPr>
              <w:t>UNITS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3.1</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Units Generally</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3.2</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Authorization and Issuance of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3.3</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Units Issued to Initial Service Providers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3.4</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Authorization to Issue Profits Interest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3.5</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Issuance of Additional Units and Interests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3.6</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Purchase of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92"/>
        </w:trPr>
        <w:tc>
          <w:tcPr>
            <w:tcW w:w="91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IV    MEMBERS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4.1</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Substituted Members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4.2</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Additional Members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4.3</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Representations and Warranties of Members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4.4</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Limitation of Liability</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92"/>
        </w:trPr>
        <w:tc>
          <w:tcPr>
            <w:tcW w:w="11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4.5</w:t>
            </w:r>
          </w:p>
        </w:tc>
        <w:tc>
          <w:tcPr>
            <w:tcW w:w="7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Lack of Authority</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80010</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20"/>
          </w:cols>
          <w:pgMar w:left="1260" w:top="89" w:right="9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8000" w:type="dxa"/>
            <w:vAlign w:val="bottom"/>
            <w:gridSpan w:val="3"/>
          </w:tcPr>
          <w:p>
            <w:pPr>
              <w:ind w:left="2080"/>
              <w:spacing w:after="0"/>
              <w:rPr>
                <w:sz w:val="20"/>
                <w:szCs w:val="20"/>
                <w:color w:val="auto"/>
              </w:rPr>
            </w:pPr>
            <w:r>
              <w:rPr>
                <w:rFonts w:ascii="Times New Roman" w:cs="Times New Roman" w:eastAsia="Times New Roman" w:hAnsi="Times New Roman"/>
                <w:sz w:val="22"/>
                <w:szCs w:val="22"/>
                <w:b w:val="1"/>
                <w:bCs w:val="1"/>
                <w:color w:val="auto"/>
              </w:rPr>
              <w:t>TABLE OF CONTENTS (cont.)</w:t>
            </w:r>
          </w:p>
        </w:tc>
        <w:tc>
          <w:tcPr>
            <w:tcW w:w="580" w:type="dxa"/>
            <w:vAlign w:val="bottom"/>
          </w:tcPr>
          <w:p>
            <w:pPr>
              <w:spacing w:after="0"/>
              <w:rPr>
                <w:sz w:val="22"/>
                <w:szCs w:val="22"/>
                <w:color w:val="auto"/>
              </w:rPr>
            </w:pPr>
          </w:p>
        </w:tc>
      </w:tr>
      <w:tr>
        <w:trPr>
          <w:trHeight w:val="520"/>
        </w:trPr>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97"/>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4.6</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Members’ Right to Act</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4.7</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No Right of Partition</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Indemnification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w w:val="97"/>
              </w:rPr>
              <w:t>ARTICLE V</w:t>
            </w:r>
          </w:p>
        </w:tc>
        <w:tc>
          <w:tcPr>
            <w:tcW w:w="800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CAPITAL CONTRIBUTIONS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5.1</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Initial Cash Capital Contributions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5.2</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Additional Capital Contributions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5.3</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Capital Accounts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5.4</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Negative Capital Accounts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5.5</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No Withdrawal</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5.6</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Loans from Members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5.7</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Distributions In-Kind</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5.8</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Transfer of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92"/>
        </w:trPr>
        <w:tc>
          <w:tcPr>
            <w:tcW w:w="91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VI    DISTRIBUTIONS AND ALLOCATIONS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6.1</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Distributions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6.2</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Tax Withholding</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6.3</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Allocations of Net Income and Net Loss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6.4</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Special Allocations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6.5</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Tax Allocations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6.6</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Offsetting Allocations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6.7</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Transfer of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6.8</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Indemnification and Reimbursement for Payments on Behalf of a Member</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92"/>
        </w:trPr>
        <w:tc>
          <w:tcPr>
            <w:tcW w:w="11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6.9</w:t>
            </w:r>
          </w:p>
        </w:tc>
        <w:tc>
          <w:tcPr>
            <w:tcW w:w="80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Allocations for Partial Fiscal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80010</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20"/>
          </w:cols>
          <w:pgMar w:left="1260" w:top="89" w:right="9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80" w:type="dxa"/>
            <w:vAlign w:val="bottom"/>
            <w:gridSpan w:val="3"/>
          </w:tcPr>
          <w:p>
            <w:pPr>
              <w:ind w:left="1760"/>
              <w:spacing w:after="0"/>
              <w:rPr>
                <w:sz w:val="20"/>
                <w:szCs w:val="20"/>
                <w:color w:val="auto"/>
              </w:rPr>
            </w:pPr>
            <w:r>
              <w:rPr>
                <w:rFonts w:ascii="Times New Roman" w:cs="Times New Roman" w:eastAsia="Times New Roman" w:hAnsi="Times New Roman"/>
                <w:sz w:val="22"/>
                <w:szCs w:val="22"/>
                <w:b w:val="1"/>
                <w:bCs w:val="1"/>
                <w:color w:val="auto"/>
              </w:rPr>
              <w:t>TABLE OF CONTENTS (cont.)</w:t>
            </w:r>
          </w:p>
        </w:tc>
        <w:tc>
          <w:tcPr>
            <w:tcW w:w="580" w:type="dxa"/>
            <w:vAlign w:val="bottom"/>
          </w:tcPr>
          <w:p>
            <w:pPr>
              <w:spacing w:after="0"/>
              <w:rPr>
                <w:sz w:val="22"/>
                <w:szCs w:val="22"/>
                <w:color w:val="auto"/>
              </w:rPr>
            </w:pPr>
          </w:p>
        </w:tc>
      </w:tr>
      <w:tr>
        <w:trPr>
          <w:trHeight w:val="520"/>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97"/>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w:t>
            </w:r>
          </w:p>
        </w:tc>
        <w:tc>
          <w:tcPr>
            <w:tcW w:w="768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MANAGEMENT</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7.1</w:t>
            </w:r>
          </w:p>
        </w:tc>
        <w:tc>
          <w:tcPr>
            <w:tcW w:w="7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Board of Directors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7.2</w:t>
            </w:r>
          </w:p>
        </w:tc>
        <w:tc>
          <w:tcPr>
            <w:tcW w:w="7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Delegation of Authority</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7.3</w:t>
            </w:r>
          </w:p>
        </w:tc>
        <w:tc>
          <w:tcPr>
            <w:tcW w:w="7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Chief Executive Officer</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7.4</w:t>
            </w:r>
          </w:p>
        </w:tc>
        <w:tc>
          <w:tcPr>
            <w:tcW w:w="7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Other Officers, Employees and Consultants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7.5</w:t>
            </w:r>
          </w:p>
        </w:tc>
        <w:tc>
          <w:tcPr>
            <w:tcW w:w="7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Limitation of Liability</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392"/>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w:t>
            </w:r>
          </w:p>
        </w:tc>
        <w:tc>
          <w:tcPr>
            <w:tcW w:w="76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BOOKS, RECORDS, ACCOUNTING AND REPORTS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8.1</w:t>
            </w:r>
          </w:p>
        </w:tc>
        <w:tc>
          <w:tcPr>
            <w:tcW w:w="7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Records and Accounting</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8.2</w:t>
            </w:r>
          </w:p>
        </w:tc>
        <w:tc>
          <w:tcPr>
            <w:tcW w:w="7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Fiscal Year</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8.3</w:t>
            </w:r>
          </w:p>
        </w:tc>
        <w:tc>
          <w:tcPr>
            <w:tcW w:w="7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Reports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9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w w:val="95"/>
              </w:rPr>
              <w:t>ARTICLE IX</w:t>
            </w:r>
          </w:p>
        </w:tc>
        <w:tc>
          <w:tcPr>
            <w:tcW w:w="280" w:type="dxa"/>
            <w:vAlign w:val="bottom"/>
          </w:tcPr>
          <w:p>
            <w:pPr>
              <w:spacing w:after="0"/>
              <w:rPr>
                <w:sz w:val="24"/>
                <w:szCs w:val="24"/>
                <w:color w:val="auto"/>
              </w:rPr>
            </w:pPr>
          </w:p>
        </w:tc>
        <w:tc>
          <w:tcPr>
            <w:tcW w:w="76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COVENANTS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9.1</w:t>
            </w:r>
          </w:p>
        </w:tc>
        <w:tc>
          <w:tcPr>
            <w:tcW w:w="7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Confidentiality</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9.2</w:t>
            </w:r>
          </w:p>
        </w:tc>
        <w:tc>
          <w:tcPr>
            <w:tcW w:w="7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Non-compete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9.3</w:t>
            </w:r>
          </w:p>
        </w:tc>
        <w:tc>
          <w:tcPr>
            <w:tcW w:w="7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Inventions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9.4</w:t>
            </w:r>
          </w:p>
        </w:tc>
        <w:tc>
          <w:tcPr>
            <w:tcW w:w="7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Other Business Activities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9.5</w:t>
            </w:r>
          </w:p>
        </w:tc>
        <w:tc>
          <w:tcPr>
            <w:tcW w:w="79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Violations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9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ARTICLE X</w:t>
            </w:r>
          </w:p>
        </w:tc>
        <w:tc>
          <w:tcPr>
            <w:tcW w:w="280" w:type="dxa"/>
            <w:vAlign w:val="bottom"/>
          </w:tcPr>
          <w:p>
            <w:pPr>
              <w:spacing w:after="0"/>
              <w:rPr>
                <w:sz w:val="24"/>
                <w:szCs w:val="24"/>
                <w:color w:val="auto"/>
              </w:rPr>
            </w:pPr>
          </w:p>
        </w:tc>
        <w:tc>
          <w:tcPr>
            <w:tcW w:w="768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TAX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92"/>
        </w:trPr>
        <w:tc>
          <w:tcPr>
            <w:tcW w:w="9140" w:type="dxa"/>
            <w:vAlign w:val="bottom"/>
            <w:gridSpan w:val="5"/>
          </w:tcPr>
          <w:p>
            <w:pPr>
              <w:ind w:left="640"/>
              <w:spacing w:after="0"/>
              <w:rPr>
                <w:sz w:val="20"/>
                <w:szCs w:val="20"/>
                <w:color w:val="auto"/>
              </w:rPr>
            </w:pPr>
            <w:r>
              <w:rPr>
                <w:rFonts w:ascii="Times New Roman" w:cs="Times New Roman" w:eastAsia="Times New Roman" w:hAnsi="Times New Roman"/>
                <w:sz w:val="22"/>
                <w:szCs w:val="22"/>
                <w:color w:val="auto"/>
              </w:rPr>
              <w:t>10.1   Preparation of Tax Returns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10.2</w:t>
            </w:r>
          </w:p>
        </w:tc>
        <w:tc>
          <w:tcPr>
            <w:tcW w:w="79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Tax Elections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92"/>
        </w:trPr>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10.3</w:t>
            </w:r>
          </w:p>
        </w:tc>
        <w:tc>
          <w:tcPr>
            <w:tcW w:w="79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Tax Controversies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80010</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20"/>
          </w:cols>
          <w:pgMar w:left="1260" w:top="89" w:right="9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40" w:type="dxa"/>
            <w:vAlign w:val="bottom"/>
            <w:gridSpan w:val="3"/>
          </w:tcPr>
          <w:p>
            <w:pPr>
              <w:ind w:left="1720"/>
              <w:spacing w:after="0"/>
              <w:rPr>
                <w:sz w:val="20"/>
                <w:szCs w:val="20"/>
                <w:color w:val="auto"/>
              </w:rPr>
            </w:pPr>
            <w:r>
              <w:rPr>
                <w:rFonts w:ascii="Times New Roman" w:cs="Times New Roman" w:eastAsia="Times New Roman" w:hAnsi="Times New Roman"/>
                <w:sz w:val="22"/>
                <w:szCs w:val="22"/>
                <w:b w:val="1"/>
                <w:bCs w:val="1"/>
                <w:color w:val="auto"/>
              </w:rPr>
              <w:t>TABLE OF CONTENTS (cont.)</w:t>
            </w:r>
          </w:p>
        </w:tc>
        <w:tc>
          <w:tcPr>
            <w:tcW w:w="580" w:type="dxa"/>
            <w:vAlign w:val="bottom"/>
          </w:tcPr>
          <w:p>
            <w:pPr>
              <w:spacing w:after="0"/>
              <w:rPr>
                <w:sz w:val="22"/>
                <w:szCs w:val="22"/>
                <w:color w:val="auto"/>
              </w:rPr>
            </w:pPr>
          </w:p>
        </w:tc>
      </w:tr>
      <w:tr>
        <w:trPr>
          <w:trHeight w:val="520"/>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97"/>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XI</w:t>
            </w:r>
          </w:p>
        </w:tc>
        <w:tc>
          <w:tcPr>
            <w:tcW w:w="240" w:type="dxa"/>
            <w:vAlign w:val="bottom"/>
          </w:tcPr>
          <w:p>
            <w:pPr>
              <w:spacing w:after="0"/>
              <w:rPr>
                <w:sz w:val="24"/>
                <w:szCs w:val="24"/>
                <w:color w:val="auto"/>
              </w:rPr>
            </w:pPr>
          </w:p>
        </w:tc>
        <w:tc>
          <w:tcPr>
            <w:tcW w:w="76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TRANSFER OF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9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11.1</w:t>
            </w:r>
          </w:p>
        </w:tc>
        <w:tc>
          <w:tcPr>
            <w:tcW w:w="120" w:type="dxa"/>
            <w:vAlign w:val="bottom"/>
          </w:tcPr>
          <w:p>
            <w:pPr>
              <w:spacing w:after="0"/>
              <w:rPr>
                <w:sz w:val="24"/>
                <w:szCs w:val="24"/>
                <w:color w:val="auto"/>
              </w:rPr>
            </w:pPr>
          </w:p>
        </w:tc>
        <w:tc>
          <w:tcPr>
            <w:tcW w:w="788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Transfers by Members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9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11.2</w:t>
            </w:r>
          </w:p>
        </w:tc>
        <w:tc>
          <w:tcPr>
            <w:tcW w:w="800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Right of First Refusal</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9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11.3</w:t>
            </w:r>
          </w:p>
        </w:tc>
        <w:tc>
          <w:tcPr>
            <w:tcW w:w="120" w:type="dxa"/>
            <w:vAlign w:val="bottom"/>
          </w:tcPr>
          <w:p>
            <w:pPr>
              <w:spacing w:after="0"/>
              <w:rPr>
                <w:sz w:val="24"/>
                <w:szCs w:val="24"/>
                <w:color w:val="auto"/>
              </w:rPr>
            </w:pPr>
          </w:p>
        </w:tc>
        <w:tc>
          <w:tcPr>
            <w:tcW w:w="788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Approved Sale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9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11.4</w:t>
            </w:r>
          </w:p>
        </w:tc>
        <w:tc>
          <w:tcPr>
            <w:tcW w:w="120" w:type="dxa"/>
            <w:vAlign w:val="bottom"/>
          </w:tcPr>
          <w:p>
            <w:pPr>
              <w:spacing w:after="0"/>
              <w:rPr>
                <w:sz w:val="24"/>
                <w:szCs w:val="24"/>
                <w:color w:val="auto"/>
              </w:rPr>
            </w:pPr>
          </w:p>
        </w:tc>
        <w:tc>
          <w:tcPr>
            <w:tcW w:w="788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Void Transfers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9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11.5</w:t>
            </w:r>
          </w:p>
        </w:tc>
        <w:tc>
          <w:tcPr>
            <w:tcW w:w="800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Additional Restrictions on Transfer</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9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11.6</w:t>
            </w:r>
          </w:p>
        </w:tc>
        <w:tc>
          <w:tcPr>
            <w:tcW w:w="120" w:type="dxa"/>
            <w:vAlign w:val="bottom"/>
          </w:tcPr>
          <w:p>
            <w:pPr>
              <w:spacing w:after="0"/>
              <w:rPr>
                <w:sz w:val="24"/>
                <w:szCs w:val="24"/>
                <w:color w:val="auto"/>
              </w:rPr>
            </w:pPr>
          </w:p>
        </w:tc>
        <w:tc>
          <w:tcPr>
            <w:tcW w:w="788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Legend</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92"/>
        </w:trPr>
        <w:tc>
          <w:tcPr>
            <w:tcW w:w="114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11.7</w:t>
            </w:r>
          </w:p>
        </w:tc>
        <w:tc>
          <w:tcPr>
            <w:tcW w:w="800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rPr>
              <w:t>Transfer Fees and Expenses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ARTICLE XII</w:t>
            </w:r>
          </w:p>
        </w:tc>
        <w:tc>
          <w:tcPr>
            <w:tcW w:w="240" w:type="dxa"/>
            <w:vAlign w:val="bottom"/>
          </w:tcPr>
          <w:p>
            <w:pPr>
              <w:spacing w:after="0"/>
              <w:rPr>
                <w:sz w:val="24"/>
                <w:szCs w:val="24"/>
                <w:color w:val="auto"/>
              </w:rPr>
            </w:pPr>
          </w:p>
        </w:tc>
        <w:tc>
          <w:tcPr>
            <w:tcW w:w="76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WITHDRAWAL AND RESIGNATION OF MEMBERS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92"/>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12.1</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Withdrawal and Resignation of Member</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92"/>
        </w:trPr>
        <w:tc>
          <w:tcPr>
            <w:tcW w:w="1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XIII</w:t>
            </w:r>
          </w:p>
        </w:tc>
        <w:tc>
          <w:tcPr>
            <w:tcW w:w="76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DISSOLUTION AND LIQUIDATION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92"/>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13.1</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Dissolution</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92"/>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13.2</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Liquidation and Termination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92"/>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13.3</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Cancellation of Certificate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92"/>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13.4</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Reasonable Time for Winding Up</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92"/>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13.5</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Return of Capital</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92"/>
        </w:trPr>
        <w:tc>
          <w:tcPr>
            <w:tcW w:w="1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XIV</w:t>
            </w:r>
          </w:p>
        </w:tc>
        <w:tc>
          <w:tcPr>
            <w:tcW w:w="76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GENERAL PROVISIONS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92"/>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14.1</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Power of Attorney</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92"/>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14.2</w:t>
            </w:r>
          </w:p>
        </w:tc>
        <w:tc>
          <w:tcPr>
            <w:tcW w:w="788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Amendments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92"/>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14.3</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Title to Company Assets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92"/>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14.4</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Remedies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92"/>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14.5</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Successors and Assigns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92"/>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14.6</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Severability</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92"/>
        </w:trPr>
        <w:tc>
          <w:tcPr>
            <w:tcW w:w="12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14.7</w:t>
            </w:r>
          </w:p>
        </w:tc>
        <w:tc>
          <w:tcPr>
            <w:tcW w:w="78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Execution</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80010</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20"/>
          </w:cols>
          <w:pgMar w:left="1260" w:top="89" w:right="919" w:bottom="1440" w:gutter="0" w:footer="0" w:header="0"/>
        </w:sectPr>
      </w:pPr>
    </w:p>
    <w:bookmarkStart w:id="38" w:name="page39"/>
    <w:bookmarkEnd w:id="38"/>
    <w:tbl>
      <w:tblPr>
        <w:tblLayout w:type="fixed"/>
        <w:tblInd w:w="460" w:type="dxa"/>
        <w:tblCellMar>
          <w:top w:w="0" w:type="dxa"/>
          <w:left w:w="0" w:type="dxa"/>
          <w:bottom w:w="0" w:type="dxa"/>
          <w:right w:w="0" w:type="dxa"/>
        </w:tblCellMar>
      </w:tblPr>
      <w:tr>
        <w:trPr>
          <w:trHeight w:val="253"/>
        </w:trPr>
        <w:tc>
          <w:tcPr>
            <w:tcW w:w="580" w:type="dxa"/>
            <w:vAlign w:val="bottom"/>
          </w:tcPr>
          <w:p>
            <w:pPr>
              <w:spacing w:after="0"/>
              <w:rPr>
                <w:sz w:val="22"/>
                <w:szCs w:val="22"/>
                <w:color w:val="auto"/>
              </w:rPr>
            </w:pPr>
          </w:p>
        </w:tc>
        <w:tc>
          <w:tcPr>
            <w:tcW w:w="7920" w:type="dxa"/>
            <w:vAlign w:val="bottom"/>
            <w:gridSpan w:val="3"/>
          </w:tcPr>
          <w:p>
            <w:pPr>
              <w:ind w:left="2000"/>
              <w:spacing w:after="0"/>
              <w:rPr>
                <w:sz w:val="20"/>
                <w:szCs w:val="20"/>
                <w:color w:val="auto"/>
              </w:rPr>
            </w:pPr>
            <w:r>
              <w:rPr>
                <w:rFonts w:ascii="Times New Roman" w:cs="Times New Roman" w:eastAsia="Times New Roman" w:hAnsi="Times New Roman"/>
                <w:sz w:val="22"/>
                <w:szCs w:val="22"/>
                <w:b w:val="1"/>
                <w:bCs w:val="1"/>
                <w:color w:val="auto"/>
              </w:rPr>
              <w:t>TABLE OF CONTENTS (cont.)</w:t>
            </w:r>
          </w:p>
        </w:tc>
        <w:tc>
          <w:tcPr>
            <w:tcW w:w="580" w:type="dxa"/>
            <w:vAlign w:val="bottom"/>
          </w:tcPr>
          <w:p>
            <w:pPr>
              <w:spacing w:after="0"/>
              <w:rPr>
                <w:sz w:val="22"/>
                <w:szCs w:val="22"/>
                <w:color w:val="auto"/>
              </w:rPr>
            </w:pPr>
          </w:p>
        </w:tc>
      </w:tr>
      <w:tr>
        <w:trPr>
          <w:trHeight w:val="520"/>
        </w:trPr>
        <w:tc>
          <w:tcPr>
            <w:tcW w:w="5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97"/>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14.8</w:t>
            </w:r>
          </w:p>
        </w:tc>
        <w:tc>
          <w:tcPr>
            <w:tcW w:w="7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Descriptive Headings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14.9</w:t>
            </w:r>
          </w:p>
        </w:tc>
        <w:tc>
          <w:tcPr>
            <w:tcW w:w="7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Applicable Law</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14.10</w:t>
            </w:r>
          </w:p>
        </w:tc>
        <w:tc>
          <w:tcPr>
            <w:tcW w:w="7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Addresses and Notices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14.11</w:t>
            </w:r>
          </w:p>
        </w:tc>
        <w:tc>
          <w:tcPr>
            <w:tcW w:w="7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Creditors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14.12</w:t>
            </w:r>
          </w:p>
        </w:tc>
        <w:tc>
          <w:tcPr>
            <w:tcW w:w="7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Waiver</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14.13</w:t>
            </w:r>
          </w:p>
        </w:tc>
        <w:tc>
          <w:tcPr>
            <w:tcW w:w="7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Further Action</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14.14</w:t>
            </w:r>
          </w:p>
        </w:tc>
        <w:tc>
          <w:tcPr>
            <w:tcW w:w="7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Offset</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14.15</w:t>
            </w:r>
          </w:p>
        </w:tc>
        <w:tc>
          <w:tcPr>
            <w:tcW w:w="7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Entire Agreement</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14.16</w:t>
            </w:r>
          </w:p>
        </w:tc>
        <w:tc>
          <w:tcPr>
            <w:tcW w:w="7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Delivery by Facsimile or E-Mail</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14.17</w:t>
            </w:r>
          </w:p>
        </w:tc>
        <w:tc>
          <w:tcPr>
            <w:tcW w:w="7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Dispute Resolution</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14.18</w:t>
            </w:r>
          </w:p>
        </w:tc>
        <w:tc>
          <w:tcPr>
            <w:tcW w:w="7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Survival</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14.19</w:t>
            </w:r>
          </w:p>
        </w:tc>
        <w:tc>
          <w:tcPr>
            <w:tcW w:w="7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Expenses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14.20</w:t>
            </w:r>
          </w:p>
        </w:tc>
        <w:tc>
          <w:tcPr>
            <w:tcW w:w="79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Effective Date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9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14.21</w:t>
            </w:r>
          </w:p>
        </w:tc>
        <w:tc>
          <w:tcPr>
            <w:tcW w:w="79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Acknowledgements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80010</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2" w:right="9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5"/>
          <w:szCs w:val="25"/>
          <w:b w:val="1"/>
          <w:bCs w:val="1"/>
          <w:color w:val="auto"/>
        </w:rPr>
        <w:t>FRESHREALM, LLC</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SIXTH AMENDED AND RESTATED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LIMITED LIABILITY COMPANY AGREEMENT</w:t>
      </w:r>
    </w:p>
    <w:p>
      <w:pPr>
        <w:spacing w:after="0" w:line="182"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This Sixth Amended and Restated Limited Liability Company Agreement (as it may subsequently be amended from time to time in accordance with the terms hereof,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unless as to any provision it is otherwise specified) is entered into effective as of April 18, 2017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by and among FreshRealm, LLC, a Delaware limited liability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 Members (as defined herein) signatory hereto from time to time. This Agreement governs the internal affairs of the Company and the authority of its Members. All of the matters set forth in this Agreement are to be considered the “internal affairs” of the Company. The Members, to the fullest extent possible, waive the application of the laws of any jurisdiction other than Delaware.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1"/>
          <w:szCs w:val="21"/>
          <w:color w:val="auto"/>
        </w:rPr>
        <w:t>WHEREAS, the Company and the Members entered into that certain Amended and Restated Limited Liability Company Agreement of the Company, having an effective date as of July 31, 2013, as amended by Amendment No. 1, dated as of October 30, 2013, and Amendment No. 2, dated as of March 1, 2014, as further amended by the Second Amended and Restated Limited Liability Company Agreement dated as of April 30, 2014, and as further amended by the Third Amended and Restated Limited Liability Company Agreement dated as of July 31, 2014, as further amended by the Fourth Amended and Restated Limited Liability Company Agreement, effective as of November 1, 2014, and as further amended by the Fifth Amended and Restated Limited Liability Company Agreement, effective as of August 1, 2016 (collectively, the “</w:t>
      </w:r>
      <w:r>
        <w:rPr>
          <w:rFonts w:ascii="Times New Roman" w:cs="Times New Roman" w:eastAsia="Times New Roman" w:hAnsi="Times New Roman"/>
          <w:sz w:val="21"/>
          <w:szCs w:val="21"/>
          <w:u w:val="single" w:color="auto"/>
          <w:color w:val="auto"/>
        </w:rPr>
        <w:t>Original Agreement</w:t>
      </w:r>
      <w:r>
        <w:rPr>
          <w:rFonts w:ascii="Times New Roman" w:cs="Times New Roman" w:eastAsia="Times New Roman" w:hAnsi="Times New Roman"/>
          <w:sz w:val="21"/>
          <w:szCs w:val="21"/>
          <w:color w:val="auto"/>
        </w:rPr>
        <w:t>”); and</w:t>
      </w:r>
    </w:p>
    <w:p>
      <w:pPr>
        <w:spacing w:after="0" w:line="200"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WHEREAS, in 2016 the Company completed an offering of 199,087 Units at a price of approximately $35.16 per Units, for total gross proceeds of $7,000,000 (the “</w:t>
      </w:r>
      <w:r>
        <w:rPr>
          <w:rFonts w:ascii="Times New Roman" w:cs="Times New Roman" w:eastAsia="Times New Roman" w:hAnsi="Times New Roman"/>
          <w:sz w:val="22"/>
          <w:szCs w:val="22"/>
          <w:u w:val="single" w:color="auto"/>
          <w:color w:val="auto"/>
        </w:rPr>
        <w:t>2016 Offering</w:t>
      </w:r>
      <w:r>
        <w:rPr>
          <w:rFonts w:ascii="Times New Roman" w:cs="Times New Roman" w:eastAsia="Times New Roman" w:hAnsi="Times New Roman"/>
          <w:sz w:val="22"/>
          <w:szCs w:val="22"/>
          <w:color w:val="auto"/>
        </w:rPr>
        <w:t>”); and</w:t>
      </w:r>
    </w:p>
    <w:p>
      <w:pPr>
        <w:spacing w:after="0" w:line="181"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22"/>
          <w:szCs w:val="22"/>
          <w:color w:val="auto"/>
        </w:rPr>
        <w:t xml:space="preserve">WHEREAS, the Company is conducting an offering of up to </w:t>
      </w:r>
      <w:r>
        <w:rPr>
          <w:rFonts w:ascii="Times New Roman" w:cs="Times New Roman" w:eastAsia="Times New Roman" w:hAnsi="Times New Roman"/>
          <w:sz w:val="22"/>
          <w:szCs w:val="22"/>
          <w:b w:val="1"/>
          <w:bCs w:val="1"/>
          <w:color w:val="auto"/>
        </w:rPr>
        <w:t>491,400</w:t>
      </w:r>
      <w:r>
        <w:rPr>
          <w:rFonts w:ascii="Times New Roman" w:cs="Times New Roman" w:eastAsia="Times New Roman" w:hAnsi="Times New Roman"/>
          <w:sz w:val="22"/>
          <w:szCs w:val="22"/>
          <w:color w:val="auto"/>
        </w:rPr>
        <w:t xml:space="preserve"> Units (representing 18.368% of the total issued and outstanding Units immediately after giving effect to such offering) at a price of $36.63 per Unit that is expected to close on a rolling basis, with the first closing on April 18, 2017 and the last closing no later than June 30, 2017, to obtain additional funding of up to $18,000,000 (the “</w:t>
      </w:r>
      <w:r>
        <w:rPr>
          <w:rFonts w:ascii="Times New Roman" w:cs="Times New Roman" w:eastAsia="Times New Roman" w:hAnsi="Times New Roman"/>
          <w:sz w:val="22"/>
          <w:szCs w:val="22"/>
          <w:u w:val="single" w:color="auto"/>
          <w:color w:val="auto"/>
        </w:rPr>
        <w:t>2017 Offering</w:t>
      </w:r>
      <w:r>
        <w:rPr>
          <w:rFonts w:ascii="Times New Roman" w:cs="Times New Roman" w:eastAsia="Times New Roman" w:hAnsi="Times New Roman"/>
          <w:sz w:val="22"/>
          <w:szCs w:val="22"/>
          <w:color w:val="auto"/>
        </w:rPr>
        <w:t>”); and</w:t>
      </w:r>
    </w:p>
    <w:p>
      <w:pPr>
        <w:spacing w:after="0" w:line="20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21"/>
          <w:szCs w:val="21"/>
          <w:color w:val="auto"/>
        </w:rPr>
        <w:t>WHEREAS, the net proceeds to the Company of the 2017 Offering will be used to repay existing bridge loans in the aggregate principal amount of $2.0 million and the balance for general working capital; and</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21"/>
          <w:szCs w:val="21"/>
          <w:color w:val="auto"/>
        </w:rPr>
        <w:t>WHEREAS, the Company and its Members in connection with the initial closing of the 2017 Offering wish to amend in certain respects and restate in its entirety the Original Agreement as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737870</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40" w:name="page41"/>
    <w:bookmarkEnd w:id="40"/>
    <w:p>
      <w:pPr>
        <w:ind w:left="640"/>
        <w:spacing w:after="0"/>
        <w:rPr>
          <w:sz w:val="20"/>
          <w:szCs w:val="20"/>
          <w:color w:val="auto"/>
        </w:rPr>
      </w:pPr>
      <w:r>
        <w:rPr>
          <w:rFonts w:ascii="Times New Roman" w:cs="Times New Roman" w:eastAsia="Times New Roman" w:hAnsi="Times New Roman"/>
          <w:sz w:val="22"/>
          <w:szCs w:val="22"/>
          <w:color w:val="auto"/>
        </w:rPr>
        <w:t>NOW, THEREFORE, in reliance on the foregoing recitals and for good and valuable consideration,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Members hereby amend and restate the Original Agreement in its entirety as follows: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0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following meanings as well as any other meanings for capitalized terms that are set forth elsewhere in this Agreement: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2016 Increase</w:t>
      </w:r>
      <w:r>
        <w:rPr>
          <w:rFonts w:ascii="Times New Roman" w:cs="Times New Roman" w:eastAsia="Times New Roman" w:hAnsi="Times New Roman"/>
          <w:sz w:val="22"/>
          <w:szCs w:val="22"/>
          <w:color w:val="auto"/>
        </w:rPr>
        <w:t>” shall have the meaning set forth in Section 6.3(a) herein.</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2016 Investment</w:t>
      </w:r>
      <w:r>
        <w:rPr>
          <w:rFonts w:ascii="Times New Roman" w:cs="Times New Roman" w:eastAsia="Times New Roman" w:hAnsi="Times New Roman"/>
          <w:sz w:val="22"/>
          <w:szCs w:val="22"/>
          <w:color w:val="auto"/>
        </w:rPr>
        <w:t>” means the amount paid for Units purchased in the 2016 Offering.</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2016 Offering</w:t>
      </w:r>
      <w:r>
        <w:rPr>
          <w:rFonts w:ascii="Times New Roman" w:cs="Times New Roman" w:eastAsia="Times New Roman" w:hAnsi="Times New Roman"/>
          <w:sz w:val="22"/>
          <w:szCs w:val="22"/>
          <w:color w:val="auto"/>
        </w:rPr>
        <w:t>” has the meaning set forth in the above Recitals.</w:t>
      </w:r>
    </w:p>
    <w:p>
      <w:pPr>
        <w:spacing w:after="0" w:line="23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2016 Option Investor</w:t>
      </w:r>
      <w:r>
        <w:rPr>
          <w:rFonts w:ascii="Times New Roman" w:cs="Times New Roman" w:eastAsia="Times New Roman" w:hAnsi="Times New Roman"/>
          <w:sz w:val="22"/>
          <w:szCs w:val="22"/>
          <w:color w:val="auto"/>
        </w:rPr>
        <w:t>” means a purchaser of Units in the 2016 Offering who made the election to have Net Loss allocated in accordance with the last sentence of Section 6.3(a).</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2017 Increase</w:t>
      </w:r>
      <w:r>
        <w:rPr>
          <w:rFonts w:ascii="Times New Roman" w:cs="Times New Roman" w:eastAsia="Times New Roman" w:hAnsi="Times New Roman"/>
          <w:sz w:val="22"/>
          <w:szCs w:val="22"/>
          <w:color w:val="auto"/>
        </w:rPr>
        <w:t>” shall have the meaning set forth in Section 6.3(b) herein.</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2017 Investment</w:t>
      </w:r>
      <w:r>
        <w:rPr>
          <w:rFonts w:ascii="Times New Roman" w:cs="Times New Roman" w:eastAsia="Times New Roman" w:hAnsi="Times New Roman"/>
          <w:sz w:val="22"/>
          <w:szCs w:val="22"/>
          <w:color w:val="auto"/>
        </w:rPr>
        <w:t>” means the amount paid for Units purchased in the 2017 Offering.</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2017 Offering</w:t>
      </w:r>
      <w:r>
        <w:rPr>
          <w:rFonts w:ascii="Times New Roman" w:cs="Times New Roman" w:eastAsia="Times New Roman" w:hAnsi="Times New Roman"/>
          <w:sz w:val="22"/>
          <w:szCs w:val="22"/>
          <w:color w:val="auto"/>
        </w:rPr>
        <w:t>” has the meaning set forth in the above Recitals.</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2017 Option Investor</w:t>
      </w:r>
      <w:r>
        <w:rPr>
          <w:rFonts w:ascii="Times New Roman" w:cs="Times New Roman" w:eastAsia="Times New Roman" w:hAnsi="Times New Roman"/>
          <w:sz w:val="22"/>
          <w:szCs w:val="22"/>
          <w:color w:val="auto"/>
        </w:rPr>
        <w:t>” means a purchaser of Units in the 2017 Offering who makes the election in writing to the Company prior to or concurrent with the closing of its subscription for such purchaser to have Net Loss allocated in accordance with the last sentence of Section 6.3(b).</w:t>
      </w:r>
    </w:p>
    <w:p>
      <w:pPr>
        <w:spacing w:after="0" w:line="20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Action</w:t>
      </w:r>
      <w:r>
        <w:rPr>
          <w:rFonts w:ascii="Times New Roman" w:cs="Times New Roman" w:eastAsia="Times New Roman" w:hAnsi="Times New Roman"/>
          <w:sz w:val="21"/>
          <w:szCs w:val="21"/>
          <w:color w:val="auto"/>
        </w:rPr>
        <w:t>” means any action, claim, complaint, petition, investigation, suit or other proceeding, whether administrative, civil or criminal, in law or in equity, or before any arbitrator or Governmental Entity.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Member</w:t>
      </w:r>
      <w:r>
        <w:rPr>
          <w:rFonts w:ascii="Times New Roman" w:cs="Times New Roman" w:eastAsia="Times New Roman" w:hAnsi="Times New Roman"/>
          <w:sz w:val="22"/>
          <w:szCs w:val="22"/>
          <w:color w:val="auto"/>
        </w:rPr>
        <w:t xml:space="preserve">” means a Person admitted to the Company as a Member pursuant to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Capital Account Deficit</w:t>
      </w:r>
      <w:r>
        <w:rPr>
          <w:rFonts w:ascii="Times New Roman" w:cs="Times New Roman" w:eastAsia="Times New Roman" w:hAnsi="Times New Roman"/>
          <w:sz w:val="22"/>
          <w:szCs w:val="22"/>
          <w:color w:val="auto"/>
        </w:rPr>
        <w:t>” means, with respect to any Capital Account as of the end of any Taxable Year, the amount by which the balance in such Capital Account is less than zero. For this purpose, such Person’s Capital Account balance shall be:</w:t>
      </w:r>
    </w:p>
    <w:p>
      <w:pPr>
        <w:spacing w:after="0" w:line="201" w:lineRule="exact"/>
        <w:rPr>
          <w:sz w:val="20"/>
          <w:szCs w:val="20"/>
          <w:color w:val="auto"/>
        </w:rPr>
      </w:pPr>
    </w:p>
    <w:p>
      <w:pPr>
        <w:ind w:left="1660" w:hanging="1012"/>
        <w:spacing w:after="0"/>
        <w:tabs>
          <w:tab w:leader="none" w:pos="16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reduced for any items described in Treasury Regulation Section 1.704- 1(b)(2)(ii)(d)(4), (5), and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 and</w:t>
      </w:r>
    </w:p>
    <w:p>
      <w:pPr>
        <w:spacing w:after="0" w:line="209" w:lineRule="exact"/>
        <w:rPr>
          <w:rFonts w:ascii="Times New Roman" w:cs="Times New Roman" w:eastAsia="Times New Roman" w:hAnsi="Times New Roman"/>
          <w:sz w:val="21"/>
          <w:szCs w:val="21"/>
          <w:color w:val="auto"/>
        </w:rPr>
      </w:pPr>
    </w:p>
    <w:p>
      <w:pPr>
        <w:ind w:right="80" w:firstLine="648"/>
        <w:spacing w:after="0" w:line="244" w:lineRule="auto"/>
        <w:tabs>
          <w:tab w:leader="none" w:pos="166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increased for any amount such Person is obligated to contribute to the Company or is treated as being obligated to contribute to the Company pursuant to Treasury Regulation Section 1.704-1(b)(2)(ii)(c) (relating to partner liabilities to a partnership) or 1.704-2(g)(1) and 1.704-2(i) (relating to minimum gain).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41" w:name="page42"/>
    <w:bookmarkEnd w:id="41"/>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particular Person means any other Person controlling, controlled by or under common control with such particular Person.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above Recitals.</w:t>
      </w:r>
    </w:p>
    <w:p>
      <w:pPr>
        <w:spacing w:after="0" w:line="233"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ROFR Rightholders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Approved Sale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11.3(a)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6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5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 Value</w:t>
      </w:r>
      <w:r>
        <w:rPr>
          <w:rFonts w:ascii="Times New Roman" w:cs="Times New Roman" w:eastAsia="Times New Roman" w:hAnsi="Times New Roman"/>
          <w:sz w:val="22"/>
          <w:szCs w:val="22"/>
          <w:color w:val="auto"/>
        </w:rPr>
        <w:t>” means, with respect to any Company property, the Company’s adjusted basis for federal income tax purposes, adjusted from time to time to reflect the adjustments required or permitted by Treasury Regulation Section 1.704-1(b)(2)(iv)(d)-(g).</w:t>
      </w:r>
    </w:p>
    <w:p>
      <w:pPr>
        <w:spacing w:after="0" w:line="20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Opportunity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Calavo</w:t>
      </w:r>
      <w:r>
        <w:rPr>
          <w:rFonts w:ascii="Times New Roman" w:cs="Times New Roman" w:eastAsia="Times New Roman" w:hAnsi="Times New Roman"/>
          <w:sz w:val="22"/>
          <w:szCs w:val="22"/>
          <w:color w:val="auto"/>
        </w:rPr>
        <w:t>” means Calavo Growers, Inc., a California corporation. “</w:t>
      </w:r>
      <w:r>
        <w:rPr>
          <w:rFonts w:ascii="Times New Roman" w:cs="Times New Roman" w:eastAsia="Times New Roman" w:hAnsi="Times New Roman"/>
          <w:sz w:val="22"/>
          <w:szCs w:val="22"/>
          <w:u w:val="single" w:color="auto"/>
          <w:color w:val="auto"/>
        </w:rPr>
        <w:t>Calavo Director</w:t>
      </w:r>
      <w:r>
        <w:rPr>
          <w:rFonts w:ascii="Times New Roman" w:cs="Times New Roman" w:eastAsia="Times New Roman" w:hAnsi="Times New Roman"/>
          <w:sz w:val="22"/>
          <w:szCs w:val="22"/>
          <w:color w:val="auto"/>
        </w:rPr>
        <w:t>” has the meaning set forth in Section 7.1(b).</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Account</w:t>
      </w:r>
      <w:r>
        <w:rPr>
          <w:rFonts w:ascii="Times New Roman" w:cs="Times New Roman" w:eastAsia="Times New Roman" w:hAnsi="Times New Roman"/>
          <w:sz w:val="22"/>
          <w:szCs w:val="22"/>
          <w:color w:val="auto"/>
        </w:rPr>
        <w:t xml:space="preserve">” means the capital account maintained for a Member pursuant to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Contributions</w:t>
      </w:r>
      <w:r>
        <w:rPr>
          <w:rFonts w:ascii="Times New Roman" w:cs="Times New Roman" w:eastAsia="Times New Roman" w:hAnsi="Times New Roman"/>
          <w:sz w:val="22"/>
          <w:szCs w:val="22"/>
          <w:color w:val="auto"/>
        </w:rPr>
        <w:t xml:space="preserve">” means any cash, cash equivalents, promissory obligations or the Fair Market Value of other property which a Member contributes or is deemed to have contributed to the Company with respect to any Unit pursuant to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in the context of a basis for termination of a Service Provider’s employment with, or service as a non-employee to, the Company, “Cause” as defined in any employment agreement or consulting agreement between the Service Provider and the Company or, if there is no such agreement, the following:</w:t>
      </w:r>
    </w:p>
    <w:p>
      <w:pPr>
        <w:spacing w:after="0" w:line="201" w:lineRule="exact"/>
        <w:rPr>
          <w:sz w:val="20"/>
          <w:szCs w:val="20"/>
          <w:color w:val="auto"/>
        </w:rPr>
      </w:pPr>
    </w:p>
    <w:p>
      <w:pPr>
        <w:ind w:right="100" w:firstLine="648"/>
        <w:spacing w:after="0" w:line="244" w:lineRule="auto"/>
        <w:tabs>
          <w:tab w:leader="none" w:pos="165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Provider breaches any obligation, duty or agreement in any material respect under any employment-related or consulting-related agreement with the Company, which breach is not cured or corrected within ten days after written notice thereof from the Company; or</w:t>
      </w:r>
    </w:p>
    <w:p>
      <w:pPr>
        <w:spacing w:after="0" w:line="200" w:lineRule="exact"/>
        <w:rPr>
          <w:rFonts w:ascii="Times New Roman" w:cs="Times New Roman" w:eastAsia="Times New Roman" w:hAnsi="Times New Roman"/>
          <w:sz w:val="22"/>
          <w:szCs w:val="22"/>
          <w:color w:val="auto"/>
        </w:rPr>
      </w:pPr>
    </w:p>
    <w:p>
      <w:pPr>
        <w:ind w:left="1660" w:hanging="1012"/>
        <w:spacing w:after="0"/>
        <w:tabs>
          <w:tab w:leader="none" w:pos="1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Provider violates any provision of this Agreement; or</w:t>
      </w:r>
    </w:p>
    <w:p>
      <w:pPr>
        <w:spacing w:after="0" w:line="233" w:lineRule="exact"/>
        <w:rPr>
          <w:rFonts w:ascii="Times New Roman" w:cs="Times New Roman" w:eastAsia="Times New Roman" w:hAnsi="Times New Roman"/>
          <w:sz w:val="22"/>
          <w:szCs w:val="22"/>
          <w:color w:val="auto"/>
        </w:rPr>
      </w:pPr>
    </w:p>
    <w:p>
      <w:pPr>
        <w:ind w:right="280" w:firstLine="648"/>
        <w:spacing w:after="0" w:line="258" w:lineRule="auto"/>
        <w:tabs>
          <w:tab w:leader="none" w:pos="167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Provider commits any act of personal dishonesty, undisclosed conflict of interest, fraud, or breach of trust involving the Company or any of its customers or suppliers; or</w:t>
      </w:r>
    </w:p>
    <w:p>
      <w:pPr>
        <w:spacing w:after="0" w:line="185" w:lineRule="exact"/>
        <w:rPr>
          <w:rFonts w:ascii="Times New Roman" w:cs="Times New Roman" w:eastAsia="Times New Roman" w:hAnsi="Times New Roman"/>
          <w:sz w:val="22"/>
          <w:szCs w:val="22"/>
          <w:color w:val="auto"/>
        </w:rPr>
      </w:pPr>
    </w:p>
    <w:p>
      <w:pPr>
        <w:ind w:right="20" w:firstLine="648"/>
        <w:spacing w:after="0" w:line="244" w:lineRule="auto"/>
        <w:tabs>
          <w:tab w:leader="none" w:pos="165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Provider is convicted of, or pleads guilty or nolo contendere with respect to, a felony under federal or applicable state law, other than a traffic offense that does not involve serious bodily injury to a third person; or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42" w:name="page43"/>
    <w:bookmarkEnd w:id="42"/>
    <w:p>
      <w:pPr>
        <w:ind w:right="460" w:firstLine="648"/>
        <w:spacing w:after="0" w:line="258" w:lineRule="auto"/>
        <w:tabs>
          <w:tab w:leader="none" w:pos="165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Provider is grossly negligent in the performance of services to the Company, or otherwise engages in any act of willful misconduct; or</w:t>
      </w:r>
    </w:p>
    <w:p>
      <w:pPr>
        <w:spacing w:after="0" w:line="185" w:lineRule="exact"/>
        <w:rPr>
          <w:rFonts w:ascii="Times New Roman" w:cs="Times New Roman" w:eastAsia="Times New Roman" w:hAnsi="Times New Roman"/>
          <w:sz w:val="22"/>
          <w:szCs w:val="22"/>
          <w:color w:val="auto"/>
        </w:rPr>
      </w:pPr>
    </w:p>
    <w:p>
      <w:pPr>
        <w:ind w:firstLine="648"/>
        <w:spacing w:after="0" w:line="235" w:lineRule="auto"/>
        <w:tabs>
          <w:tab w:leader="none" w:pos="165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 Provider commits continued and repeated substantive violations of specific written directions of the Board and/or the Person to whom the Service Provider reports, which directions are consistent with the Service Provider’s position and title, or continued and repeated substantive failure to perform duties assigned by the Board and/or the Person to whom the Service Provider reports; provided that no discharge shall be deemed for Cause under this subsection unless the Service Provider first receives written notice from the Company advising him of the specific acts or omissions alleged to constitute violations of written directions or a material failure to perform his duties, and such violations or material failure continue after he shall have had a reasonable opportunity to correct the acts or omissions so complained of; or</w:t>
      </w:r>
    </w:p>
    <w:p>
      <w:pPr>
        <w:spacing w:after="0" w:line="206" w:lineRule="exact"/>
        <w:rPr>
          <w:rFonts w:ascii="Times New Roman" w:cs="Times New Roman" w:eastAsia="Times New Roman" w:hAnsi="Times New Roman"/>
          <w:sz w:val="22"/>
          <w:szCs w:val="22"/>
          <w:color w:val="auto"/>
        </w:rPr>
      </w:pPr>
    </w:p>
    <w:p>
      <w:pPr>
        <w:ind w:right="180" w:firstLine="648"/>
        <w:spacing w:after="0" w:line="255" w:lineRule="auto"/>
        <w:tabs>
          <w:tab w:leader="none" w:pos="166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 Provider (A) obstructs or impedes, (B) endeavors to influence, obstruct or impede, or (C) fails to materially cooperate with, any investigation authorized by the Board or any governmental or self-regulatory entity, provided that the failure to waive attorney- client privilege relating to communications with the Service Provider’s own attorney in connection with an investigation shall not constitute “Cause.”</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Certificated Units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United States Internal Revenue Code of 1986, as amended from time to time.</w:t>
      </w:r>
    </w:p>
    <w:p>
      <w:pPr>
        <w:spacing w:after="0" w:line="23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introductory paragraph of this Agreement. “</w:t>
      </w:r>
      <w:r>
        <w:rPr>
          <w:rFonts w:ascii="Times New Roman" w:cs="Times New Roman" w:eastAsia="Times New Roman" w:hAnsi="Times New Roman"/>
          <w:sz w:val="22"/>
          <w:szCs w:val="22"/>
          <w:u w:val="single" w:color="auto"/>
          <w:color w:val="auto"/>
        </w:rPr>
        <w:t>Company 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6.2(c)</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Option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Company ROFR Exercise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11.2(d)</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54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Competitor</w:t>
      </w:r>
      <w:r>
        <w:rPr>
          <w:rFonts w:ascii="Times New Roman" w:cs="Times New Roman" w:eastAsia="Times New Roman" w:hAnsi="Times New Roman"/>
          <w:sz w:val="22"/>
          <w:szCs w:val="22"/>
          <w:color w:val="auto"/>
        </w:rPr>
        <w:t>” means, with respect to the Company, any Person engaged or proposing to engage in any business related to the business of selling food shipped at between 33 and 44 degrees Fahrenheit directly to consumers using overnight or expedited delivery services such as FedEx, UPS, USPS, Uber, Instacart, Google Shopping Express, Task Rabbit and similar delivery service providers.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without limitation, the possession, directly or indirectly, of the power to direct the management and policies of a Person whether through the ownership of voting securities, by contract or otherwise, and each of the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has a correlative meaning.</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Co-Packers</w:t>
      </w:r>
      <w:r>
        <w:rPr>
          <w:rFonts w:ascii="Times New Roman" w:cs="Times New Roman" w:eastAsia="Times New Roman" w:hAnsi="Times New Roman"/>
          <w:sz w:val="22"/>
          <w:szCs w:val="22"/>
          <w:color w:val="auto"/>
        </w:rPr>
        <w:t>” means Caito Foods Service, Inc., F&amp;S Produce Company, Inc. and Cut Fruit, LLC.</w:t>
      </w:r>
    </w:p>
    <w:p>
      <w:pPr>
        <w:spacing w:after="0" w:line="229"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Delaware Act</w:t>
      </w:r>
      <w:r>
        <w:rPr>
          <w:rFonts w:ascii="Times New Roman" w:cs="Times New Roman" w:eastAsia="Times New Roman" w:hAnsi="Times New Roman"/>
          <w:sz w:val="22"/>
          <w:szCs w:val="22"/>
          <w:color w:val="auto"/>
        </w:rPr>
        <w:t xml:space="preserve">” means the Delaware Limited Liability Company Act, 6 Del.L. § 18-101,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as it may be amended from time to time, and any successor to the Delaware Act.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an individual designated as a member of the Board.</w:t>
      </w:r>
    </w:p>
    <w:p>
      <w:pPr>
        <w:spacing w:after="0" w:line="23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any sickness, physical or mental disability or other condition which permanently and materially impairs a Service Provider’s ability to perform his duties as a Service Provider to the Company.</w:t>
      </w:r>
    </w:p>
    <w:p>
      <w:pPr>
        <w:spacing w:after="0" w:line="162"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xml:space="preserve">” means each distribution with respect to Units made by the Company to a Member, whether in cash, property or Equity Securities of the Company and whether by liquidating distribution, redemption, repurchase or otherwise; provided that none of the following shall be a Distribution: (i) any redemption by the Company of any Equity Securities of the Company in connection with the termination of employment or service of an employee or consultant of the Company, (ii) any recapitalization or exchange of Equity Securities of the Company, and any subdivision (by split or otherwise) or any combination (by reverse split or otherwise) of any outstanding Equity Securities, or (iii) any reasonable fees, other remuneration or expense reimbursement paid to any Member in such Member’s capacity as an employee, officer, consultant or other provider of services to the Company (including payments pursuant to </w:t>
      </w:r>
      <w:r>
        <w:rPr>
          <w:rFonts w:ascii="Times New Roman" w:cs="Times New Roman" w:eastAsia="Times New Roman" w:hAnsi="Times New Roman"/>
          <w:sz w:val="22"/>
          <w:szCs w:val="22"/>
          <w:u w:val="single" w:color="auto"/>
          <w:color w:val="auto"/>
        </w:rPr>
        <w:t>Section 14.19</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has the meaning set forth in the introductory paragraph of this Agreement.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of any asset as of any date means the purchase price that a willing buyer having all relevant knowledge would pay a willing seller for such asset in an arm’s length transaction, as determined in good faith by the Board based on such factors as the Board, in the exercise of its reasonable business judgment, considers relevant.</w:t>
      </w:r>
    </w:p>
    <w:p>
      <w:pPr>
        <w:spacing w:after="0" w:line="20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Period</w:t>
      </w:r>
      <w:r>
        <w:rPr>
          <w:rFonts w:ascii="Times New Roman" w:cs="Times New Roman" w:eastAsia="Times New Roman" w:hAnsi="Times New Roman"/>
          <w:sz w:val="22"/>
          <w:szCs w:val="22"/>
          <w:color w:val="auto"/>
        </w:rPr>
        <w:t>” means any interim accounting period within a Taxable Year established by the Board and which is permitted or required by Code Section 706.</w:t>
      </w:r>
    </w:p>
    <w:p>
      <w:pPr>
        <w:spacing w:after="0" w:line="18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Quarter</w:t>
      </w:r>
      <w:r>
        <w:rPr>
          <w:rFonts w:ascii="Times New Roman" w:cs="Times New Roman" w:eastAsia="Times New Roman" w:hAnsi="Times New Roman"/>
          <w:sz w:val="22"/>
          <w:szCs w:val="22"/>
          <w:color w:val="auto"/>
        </w:rPr>
        <w:t>” means each calendar quarter ending January 31, April 30, July 31 and October 31, or such other quarterly accounting period that may be established by the Board.</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Forfeiture Allocations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6.4(f)</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Fresh Benefit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U.S.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355" w:right="959" w:bottom="1440" w:gutter="0" w:footer="0" w:header="0"/>
        </w:sectPr>
      </w:pPr>
    </w:p>
    <w:bookmarkStart w:id="44" w:name="page45"/>
    <w:bookmarkEnd w:id="44"/>
    <w:p>
      <w:pPr>
        <w:ind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means: (i) a material reduction in the scope of a Service Provider’s duties or responsibilities, which reduction has (a) not been approved for proper business purposes by the Board, and (b) is not remedied by the Company within twenty days after notification to the Company containing a reasonably detailed description of such reduction; (ii) the Company’s reduction of the Service Provider’s annual base salary by more than thirty percent other than in conjunction with a termination of his employment or service for Cause; or (iii) the Company’s breach of any material obligation owed to the Service Provider under any employment or consultant agreement with the Company, which breach is not cured within twenty days after written notification to the Company.</w:t>
      </w:r>
    </w:p>
    <w:p>
      <w:pPr>
        <w:spacing w:after="0" w:line="19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the United States of America or any other nation, any state or other political subdivision thereof, or any entity exercising executive, legislative, judicial, regulatory or administrative functions of government.</w:t>
      </w:r>
    </w:p>
    <w:p>
      <w:pPr>
        <w:spacing w:after="0" w:line="20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Impermanence</w:t>
      </w:r>
      <w:r>
        <w:rPr>
          <w:rFonts w:ascii="Times New Roman" w:cs="Times New Roman" w:eastAsia="Times New Roman" w:hAnsi="Times New Roman"/>
          <w:sz w:val="22"/>
          <w:szCs w:val="22"/>
          <w:color w:val="auto"/>
        </w:rPr>
        <w:t>” means Impermanence, LLC, a Delaware limited liability company formed by Peter Hajas, Michael R. Lippold, and other investors and members of the Company’s management.</w:t>
      </w:r>
    </w:p>
    <w:p>
      <w:pPr>
        <w:spacing w:after="0" w:line="18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Impermanence Interests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Incentive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at a particular time, without duplication, (i) any indebtedness for borrowed money or issued in substitution for or exchange of indebtedness for borrowed money,</w:t>
      </w:r>
    </w:p>
    <w:p>
      <w:pPr>
        <w:spacing w:after="0" w:line="185" w:lineRule="exact"/>
        <w:rPr>
          <w:sz w:val="20"/>
          <w:szCs w:val="20"/>
          <w:color w:val="auto"/>
        </w:rPr>
      </w:pPr>
    </w:p>
    <w:p>
      <w:pPr>
        <w:ind w:right="60" w:firstLine="648"/>
        <w:spacing w:after="0" w:line="234" w:lineRule="auto"/>
        <w:tabs>
          <w:tab w:leader="none" w:pos="134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evidenced by any note, bond, debenture or other debt security, or with respect to which the assets or properties of the Company are secured, (iii) any indebtedness for the deferred purchase price of property or services with respect to which a Person is liable, contingently or otherwise, as obligor or otherwise (other than trade payables and other current liabilities incurred in the ordinary course of business), (iv) any leases capitalized or required to be capitalized in accordance with generally accepted accounting principles, (v) all indebtedness under guaranties, endorsements, assumptions, or other contractual obligations, including any letters of credit, or the obligations in respect of, or to purchase or otherwise acquire, indebtedness of others, or by which a Person assures a creditor against loss (including contingent reimbursement obligations with respect to letters of credit), and (vi) interest, penalties, fees, charges or other obligations with respect to any of the foregoing.</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4.9(a)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Member</w:t>
      </w:r>
      <w:r>
        <w:rPr>
          <w:rFonts w:ascii="Times New Roman" w:cs="Times New Roman" w:eastAsia="Times New Roman" w:hAnsi="Times New Roman"/>
          <w:sz w:val="22"/>
          <w:szCs w:val="22"/>
          <w:color w:val="auto"/>
        </w:rPr>
        <w:t>” means each Person whose name is listed on the signature pages of the Original Agreement and who previously executed and delivered the Original Agreement or a counterpart thereof.</w:t>
      </w:r>
    </w:p>
    <w:p>
      <w:pPr>
        <w:spacing w:after="0" w:line="185"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Service Providers</w:t>
      </w:r>
      <w:r>
        <w:rPr>
          <w:rFonts w:ascii="Times New Roman" w:cs="Times New Roman" w:eastAsia="Times New Roman" w:hAnsi="Times New Roman"/>
          <w:sz w:val="22"/>
          <w:szCs w:val="22"/>
          <w:color w:val="auto"/>
        </w:rPr>
        <w:t>” means the following Members: Michael R. Lippold, Sheldon Scott Hoyt, William Farrell III, Ian C. McManus, Robert Philipps, John Styn, David Ominsky, Ondrej Nebesky, Leif Cederblom, John M. Grogg and Lenny Mann.</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Units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ind w:right="7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Line of Credit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Majority Member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11.4(f</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Member</w:t>
      </w:r>
      <w:r>
        <w:rPr>
          <w:rFonts w:ascii="Times New Roman" w:cs="Times New Roman" w:eastAsia="Times New Roman" w:hAnsi="Times New Roman"/>
          <w:sz w:val="22"/>
          <w:szCs w:val="22"/>
          <w:color w:val="auto"/>
        </w:rPr>
        <w:t>” means (i) each Initial Member, (ii) Impermanence, (iii) each Co-Packer whose name is listed on the signature pages of this Agreement as of the Effective Date, but only if such Co-Packer has executed and delivered this Agreement or a counterpart thereof, and (iv) any Person admitted to the Company as a Substituted Member or Additional Member; but only for so long as any such Person described in this sentence is shown on the Company’s books and records as the owner of one or more Units.</w:t>
      </w:r>
    </w:p>
    <w:p>
      <w:pPr>
        <w:spacing w:after="0" w:line="20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Member ROFR Exercise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Minimum Gain</w:t>
      </w:r>
      <w:r>
        <w:rPr>
          <w:rFonts w:ascii="Times New Roman" w:cs="Times New Roman" w:eastAsia="Times New Roman" w:hAnsi="Times New Roman"/>
          <w:sz w:val="22"/>
          <w:szCs w:val="22"/>
          <w:color w:val="auto"/>
        </w:rPr>
        <w:t>” means the partnership minimum gain determined pursuant to Treasury Regulation Section 1.704-2(d).</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Minority Member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11.4(f</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Income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Net Loss</w:t>
      </w:r>
      <w:r>
        <w:rPr>
          <w:rFonts w:ascii="Times New Roman" w:cs="Times New Roman" w:eastAsia="Times New Roman" w:hAnsi="Times New Roman"/>
          <w:sz w:val="22"/>
          <w:szCs w:val="22"/>
          <w:color w:val="auto"/>
        </w:rPr>
        <w:t>” mean, for each Fiscal Year or other period specified in this Agreement, an amount equal to the Company’s taxable income or taxable loss, or particular items thereof, determined in accordance with Code Section 703(a) (where, for this purpose, all items of income, gain, loss or deduction required to be stated separately pursuant to Code Section 703(a)(1) shall be included in taxable income or taxable loss), but with the following adjustments:</w:t>
      </w:r>
    </w:p>
    <w:p>
      <w:pPr>
        <w:spacing w:after="0" w:line="204" w:lineRule="exact"/>
        <w:rPr>
          <w:sz w:val="20"/>
          <w:szCs w:val="20"/>
          <w:color w:val="auto"/>
        </w:rPr>
      </w:pPr>
    </w:p>
    <w:p>
      <w:pPr>
        <w:jc w:val="both"/>
        <w:ind w:firstLine="648"/>
        <w:spacing w:after="0" w:line="244" w:lineRule="auto"/>
        <w:tabs>
          <w:tab w:leader="none" w:pos="175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income realized by the Company that is exempt from federal income taxation, as described in Code Section 705(a)(1)(B), shall be added to such taxable income or taxable loss, notwithstanding that such income is not includable in gross income;</w:t>
      </w:r>
    </w:p>
    <w:p>
      <w:pPr>
        <w:spacing w:after="0" w:line="200" w:lineRule="exact"/>
        <w:rPr>
          <w:rFonts w:ascii="Times New Roman" w:cs="Times New Roman" w:eastAsia="Times New Roman" w:hAnsi="Times New Roman"/>
          <w:sz w:val="22"/>
          <w:szCs w:val="22"/>
          <w:color w:val="auto"/>
        </w:rPr>
      </w:pPr>
    </w:p>
    <w:p>
      <w:pPr>
        <w:ind w:right="180" w:firstLine="648"/>
        <w:spacing w:after="0" w:line="239" w:lineRule="auto"/>
        <w:tabs>
          <w:tab w:leader="none" w:pos="166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expenditures of the Company described in Code Section 705(a)(2)(B), including any items treated under Treasury Regulation Section 1.704-1(b)(2)(iv)(i) as items described in Code Section 705(a)(2)(B), shall be subtracted from such taxable income or taxable loss, notwithstanding that such expenditures are not deductible for federal income tax purposes;</w:t>
      </w:r>
    </w:p>
    <w:p>
      <w:pPr>
        <w:spacing w:after="0" w:line="207" w:lineRule="exact"/>
        <w:rPr>
          <w:rFonts w:ascii="Times New Roman" w:cs="Times New Roman" w:eastAsia="Times New Roman" w:hAnsi="Times New Roman"/>
          <w:sz w:val="22"/>
          <w:szCs w:val="22"/>
          <w:color w:val="auto"/>
        </w:rPr>
      </w:pPr>
    </w:p>
    <w:p>
      <w:pPr>
        <w:ind w:right="80" w:firstLine="648"/>
        <w:spacing w:after="0" w:line="244" w:lineRule="auto"/>
        <w:tabs>
          <w:tab w:leader="none" w:pos="167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Book Value of any Company property is adjusted pursuant to Treasury Regulation Section 1.704-1(b)(2)(iv)(e) or (f), the amount of such adjustment shall be taken into account as gain or loss from the disposition of such property;</w:t>
      </w:r>
    </w:p>
    <w:p>
      <w:pPr>
        <w:spacing w:after="0" w:line="200" w:lineRule="exact"/>
        <w:rPr>
          <w:rFonts w:ascii="Times New Roman" w:cs="Times New Roman" w:eastAsia="Times New Roman" w:hAnsi="Times New Roman"/>
          <w:sz w:val="22"/>
          <w:szCs w:val="22"/>
          <w:color w:val="auto"/>
        </w:rPr>
      </w:pPr>
    </w:p>
    <w:p>
      <w:pPr>
        <w:ind w:firstLine="648"/>
        <w:spacing w:after="0" w:line="244" w:lineRule="auto"/>
        <w:tabs>
          <w:tab w:leader="none" w:pos="166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of income, gain, loss or deduction attributable to the disposition of Company property having a Book Value that differs from its adjusted basis for tax purposes shall be computed by reference to the Book Value of such property;</w:t>
      </w:r>
    </w:p>
    <w:p>
      <w:pPr>
        <w:spacing w:after="0" w:line="200" w:lineRule="exact"/>
        <w:rPr>
          <w:rFonts w:ascii="Times New Roman" w:cs="Times New Roman" w:eastAsia="Times New Roman" w:hAnsi="Times New Roman"/>
          <w:sz w:val="22"/>
          <w:szCs w:val="22"/>
          <w:color w:val="auto"/>
        </w:rPr>
      </w:pPr>
    </w:p>
    <w:p>
      <w:pPr>
        <w:jc w:val="both"/>
        <w:ind w:right="60" w:firstLine="648"/>
        <w:spacing w:after="0" w:line="262" w:lineRule="auto"/>
        <w:tabs>
          <w:tab w:leader="none" w:pos="1657"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items of depreciation, amortization and other cost recovery deductions with respect to Company property having a Book Value that differs from its adjusted basis for tax purposes shall be computed by reference to the property’s Book Value in accordance with Treasury Regulation Section 1.704-1(b)(2)(iv)(g); and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46" w:name="page47"/>
    <w:bookmarkEnd w:id="46"/>
    <w:p>
      <w:pPr>
        <w:ind w:firstLine="648"/>
        <w:spacing w:after="0" w:line="238" w:lineRule="auto"/>
        <w:tabs>
          <w:tab w:leader="none" w:pos="166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 adjustment to the adjusted tax basis of any Company asset pursuant to Code Sections 732(d), 734(b) or 743(b)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Non-Calavo Director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Member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Member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Offered Units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Agreement</w:t>
      </w:r>
      <w:r>
        <w:rPr>
          <w:rFonts w:ascii="Times New Roman" w:cs="Times New Roman" w:eastAsia="Times New Roman" w:hAnsi="Times New Roman"/>
          <w:sz w:val="22"/>
          <w:szCs w:val="22"/>
          <w:color w:val="auto"/>
        </w:rPr>
        <w:t>” has the meaning set forth in the above Recitals.</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Business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0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Percentage Interest</w:t>
      </w:r>
      <w:r>
        <w:rPr>
          <w:rFonts w:ascii="Times New Roman" w:cs="Times New Roman" w:eastAsia="Times New Roman" w:hAnsi="Times New Roman"/>
          <w:sz w:val="22"/>
          <w:szCs w:val="22"/>
          <w:color w:val="auto"/>
        </w:rPr>
        <w:t xml:space="preserve">” means, with respect to any Member as of any date, the ratio (expressed as a percentage) of the number of Units held by such Member on such date to the aggregate Units held by all Members on such date. Units may or may not include Profits Interests Units depending on the terms and conditions of their Award Agreement. The Percentage Interest of each Member immediately after the Effective Date (assuming the execution and delivery of this Agreement by each Person listed on the signature pages of this Agreement) is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 except that the initial Percentage Interest of each Initial Service Provider is as set forth in the Unit notice delivered to each Initial Service Provider, as described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as reduced on a pro rata basis to accommodate the dilutive effect of the issuance of Units to Impermanence and to any Co-Packers or other investor(s) in substitution for Co-Packers.</w:t>
      </w:r>
    </w:p>
    <w:p>
      <w:pPr>
        <w:spacing w:after="0" w:line="211"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Transferee</w:t>
      </w:r>
      <w:r>
        <w:rPr>
          <w:rFonts w:ascii="Times New Roman" w:cs="Times New Roman" w:eastAsia="Times New Roman" w:hAnsi="Times New Roman"/>
          <w:sz w:val="21"/>
          <w:szCs w:val="21"/>
          <w:color w:val="auto"/>
        </w:rPr>
        <w:t>” means (i) with respect to any Member who is a natural person, such Member’s spouse and descendants (whether natural or adopted) and any trust that is and at all times remains solely for the benefit of the Member and/or the Member’s spouse and/or descendants, (ii) with respect to any Member which is an entity, any entity controlled by such Member, (iii) any Person who is already a Member of the Company on the date of Transfer, (iv) in connection with Calavo, the officers and directors of Calavo as of the Effective Date, and (v) in connection with Impermanence, the holders of membership interests in Impermanence as of the Effective Date.</w:t>
      </w:r>
    </w:p>
    <w:p>
      <w:pPr>
        <w:spacing w:after="0" w:line="198" w:lineRule="exact"/>
        <w:rPr>
          <w:sz w:val="20"/>
          <w:szCs w:val="20"/>
          <w:color w:val="auto"/>
        </w:rPr>
      </w:pPr>
    </w:p>
    <w:p>
      <w:pPr>
        <w:ind w:right="3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partnership, a corporation, a limited liability company, an association, a joint stock company, a trust, a joint venture, an unincorporated organization, association or other entity or a Governmental Entity.</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Profits Interest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Promissory Note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12" w:right="939" w:bottom="1440" w:gutter="0" w:footer="0" w:header="0"/>
        </w:sectPr>
      </w:pPr>
    </w:p>
    <w:bookmarkStart w:id="47" w:name="page48"/>
    <w:bookmarkEnd w:id="47"/>
    <w:p>
      <w:pPr>
        <w:ind w:right="14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Offering</w:t>
      </w:r>
      <w:r>
        <w:rPr>
          <w:rFonts w:ascii="Times New Roman" w:cs="Times New Roman" w:eastAsia="Times New Roman" w:hAnsi="Times New Roman"/>
          <w:sz w:val="22"/>
          <w:szCs w:val="22"/>
          <w:color w:val="auto"/>
        </w:rPr>
        <w:t>” means any sale, in an underwritten public offering registered under the Securities Act, of any class or series of the Company’s (or any successor’s) Equity Securities.</w:t>
      </w:r>
    </w:p>
    <w:p>
      <w:pPr>
        <w:spacing w:after="0" w:line="184"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Purchasing Rightholders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Regulatory Allocations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6.4(e)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9.2(a)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ROFR Rightholder Option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11.2(d)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Sale of the Company</w:t>
      </w:r>
      <w:r>
        <w:rPr>
          <w:rFonts w:ascii="Times New Roman" w:cs="Times New Roman" w:eastAsia="Times New Roman" w:hAnsi="Times New Roman"/>
          <w:sz w:val="21"/>
          <w:szCs w:val="21"/>
          <w:color w:val="auto"/>
        </w:rPr>
        <w:t>” means a sale of the outstanding Units or of the assets of the Company by the holder(s) thereof to any Person (other than to the Company) pursuant to which such Person or Persons acquires (i) at least two thirds of the outstanding Units of the Company (whether by merger, consolidation, sale or Transfer of Units or otherwise) or (ii) all or substantially all of the Company’s assets determined on a consolidated basis.</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of Members</w:t>
      </w:r>
      <w:r>
        <w:rPr>
          <w:rFonts w:ascii="Times New Roman" w:cs="Times New Roman" w:eastAsia="Times New Roman" w:hAnsi="Times New Roman"/>
          <w:sz w:val="22"/>
          <w:szCs w:val="22"/>
          <w:color w:val="auto"/>
        </w:rPr>
        <w:t xml:space="preserve">” means the Schedule of Members, which, except as provided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shall identify the Percentage Interests, the number of Units held by the Members and the Capital Contributions made by such Members for such Units, which Schedule of Members the Board shall update upon the issuance of any Units to any new Member, upon the Transfer of any Units to any new or existing Member, upon the forfeiture of any Units, or in the manner described in </w:t>
      </w:r>
      <w:r>
        <w:rPr>
          <w:rFonts w:ascii="Times New Roman" w:cs="Times New Roman" w:eastAsia="Times New Roman" w:hAnsi="Times New Roman"/>
          <w:sz w:val="22"/>
          <w:szCs w:val="22"/>
          <w:u w:val="single" w:color="auto"/>
          <w:color w:val="auto"/>
        </w:rPr>
        <w:t>Section 14.20</w:t>
      </w:r>
      <w:r>
        <w:rPr>
          <w:rFonts w:ascii="Times New Roman" w:cs="Times New Roman" w:eastAsia="Times New Roman" w:hAnsi="Times New Roman"/>
          <w:sz w:val="22"/>
          <w:szCs w:val="22"/>
          <w:color w:val="auto"/>
        </w:rPr>
        <w:t xml:space="preserve"> if any proposed Member does not execute and deliver this Agreement. A copy of the Schedule of Members as of the Effective Date of this Agreement is attached hereto as Schedule A, assuming that each Person listed on the signature pages of this Agreement executes and delivers this Agreement by the deadline specified in </w:t>
      </w:r>
      <w:r>
        <w:rPr>
          <w:rFonts w:ascii="Times New Roman" w:cs="Times New Roman" w:eastAsia="Times New Roman" w:hAnsi="Times New Roman"/>
          <w:sz w:val="22"/>
          <w:szCs w:val="22"/>
          <w:u w:val="single" w:color="auto"/>
          <w:color w:val="auto"/>
        </w:rPr>
        <w:t>Section 14.20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201"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Exchange Act</w:t>
      </w:r>
      <w:r>
        <w:rPr>
          <w:rFonts w:ascii="Times New Roman" w:cs="Times New Roman" w:eastAsia="Times New Roman" w:hAnsi="Times New Roman"/>
          <w:sz w:val="22"/>
          <w:szCs w:val="22"/>
          <w:color w:val="auto"/>
        </w:rPr>
        <w:t>” means the Securities Exchange Act of 1934, as amended, and applicable rules and regulations thereunder, and any successor to such statute, rules or regulations. Any reference herein to a specific section, rule or regulation of the Securities Exchange Act shall be deemed to include any corresponding provisions of future law.</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Provider</w:t>
      </w:r>
      <w:r>
        <w:rPr>
          <w:rFonts w:ascii="Times New Roman" w:cs="Times New Roman" w:eastAsia="Times New Roman" w:hAnsi="Times New Roman"/>
          <w:sz w:val="22"/>
          <w:szCs w:val="22"/>
          <w:color w:val="auto"/>
        </w:rPr>
        <w:t>” means officers, employees, consultants or other service providers of the Company.</w:t>
      </w:r>
    </w:p>
    <w:p>
      <w:pPr>
        <w:spacing w:after="0" w:line="233" w:lineRule="exact"/>
        <w:rPr>
          <w:sz w:val="20"/>
          <w:szCs w:val="20"/>
          <w:color w:val="auto"/>
        </w:rPr>
      </w:pPr>
    </w:p>
    <w:p>
      <w:pPr>
        <w:ind w:right="12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 limited liability company, partnership, association or business entity of which (i) if a corporation, a majority of the total voting power of stock entitled (without regard to the occurrence of any contingency) to vote in the election of directors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the partnership, membership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48" w:name="page49"/>
    <w:bookmarkEnd w:id="48"/>
    <w:p>
      <w:pPr>
        <w:spacing w:after="0" w:line="236" w:lineRule="auto"/>
        <w:rPr>
          <w:sz w:val="20"/>
          <w:szCs w:val="20"/>
          <w:color w:val="auto"/>
        </w:rPr>
      </w:pPr>
      <w:r>
        <w:rPr>
          <w:rFonts w:ascii="Times New Roman" w:cs="Times New Roman" w:eastAsia="Times New Roman" w:hAnsi="Times New Roman"/>
          <w:sz w:val="22"/>
          <w:szCs w:val="22"/>
          <w:color w:val="auto"/>
        </w:rPr>
        <w:t>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any Person shall be given effect only at such times that such Person has one or more Subsidiaries, and, unless otherwise indicated, the term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refers to a Subsidiary of the Company.</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Substituted Member</w:t>
      </w:r>
      <w:r>
        <w:rPr>
          <w:rFonts w:ascii="Times New Roman" w:cs="Times New Roman" w:eastAsia="Times New Roman" w:hAnsi="Times New Roman"/>
          <w:sz w:val="22"/>
          <w:szCs w:val="22"/>
          <w:color w:val="auto"/>
        </w:rPr>
        <w:t xml:space="preserve">” means a Person that is admitted as a Member to the Company pursuant to </w:t>
      </w:r>
      <w:r>
        <w:rPr>
          <w:rFonts w:ascii="Times New Roman" w:cs="Times New Roman" w:eastAsia="Times New Roman" w:hAnsi="Times New Roman"/>
          <w:sz w:val="22"/>
          <w:szCs w:val="22"/>
          <w:u w:val="single" w:color="auto"/>
          <w:color w:val="auto"/>
        </w:rPr>
        <w:t>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4.1</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Super-Majority Vote</w:t>
      </w:r>
      <w:r>
        <w:rPr>
          <w:rFonts w:ascii="Times New Roman" w:cs="Times New Roman" w:eastAsia="Times New Roman" w:hAnsi="Times New Roman"/>
          <w:sz w:val="22"/>
          <w:szCs w:val="22"/>
          <w:color w:val="auto"/>
        </w:rPr>
        <w:t>” means, with respect to a determination by the Members, the affirmative vote at a meeting or by written consent of the holders of at least seventy percent (70%) of the outstanding Units that are held by the Members as of the record date for the meeting or the date of the consent. All Units shall have voting rights from and after the Effective Date.</w:t>
      </w:r>
    </w:p>
    <w:p>
      <w:pPr>
        <w:spacing w:after="0" w:line="208"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federal, state, local or foreign income, gross receipts, franchise, estimated, alternative minimum, add-on minimum, sales, use, transfer, registration, value added, excise, natural resources, severance, stamp, occupation, premium, windfall profit, environmental, utility, customs, duties, real property, personal property, capital stock, social security, unemployment, disability, payroll, license, employee or other withholding, or other tax, of any kind whatsoever, including any interest, penalties or additions to tax or additional amounts in respect of the foregoing, in all cases whether or not disputed.</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Advance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Matters Partner</w:t>
      </w:r>
      <w:r>
        <w:rPr>
          <w:rFonts w:ascii="Times New Roman" w:cs="Times New Roman" w:eastAsia="Times New Roman" w:hAnsi="Times New Roman"/>
          <w:sz w:val="22"/>
          <w:szCs w:val="22"/>
          <w:color w:val="auto"/>
        </w:rPr>
        <w:t>” has the meaning set forth in Section 6231 of the Code. Calavo is currently the Tax Matters Partner, but the Board retains the sole discretion to select another Tax Matters Partner.</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Representative</w:t>
      </w:r>
      <w:r>
        <w:rPr>
          <w:rFonts w:ascii="Times New Roman" w:cs="Times New Roman" w:eastAsia="Times New Roman" w:hAnsi="Times New Roman"/>
          <w:sz w:val="22"/>
          <w:szCs w:val="22"/>
          <w:color w:val="auto"/>
        </w:rPr>
        <w:t>” has the meaning set forth in Section 10.4(b).</w:t>
      </w:r>
    </w:p>
    <w:p>
      <w:pPr>
        <w:spacing w:after="0" w:line="233" w:lineRule="exact"/>
        <w:rPr>
          <w:sz w:val="20"/>
          <w:szCs w:val="20"/>
          <w:color w:val="auto"/>
        </w:rPr>
      </w:pPr>
    </w:p>
    <w:p>
      <w:pPr>
        <w:ind w:right="7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Taxable Year</w:t>
      </w:r>
      <w:r>
        <w:rPr>
          <w:rFonts w:ascii="Times New Roman" w:cs="Times New Roman" w:eastAsia="Times New Roman" w:hAnsi="Times New Roman"/>
          <w:sz w:val="22"/>
          <w:szCs w:val="22"/>
          <w:color w:val="auto"/>
        </w:rPr>
        <w:t xml:space="preserve">” means the Company’s accounting period for federal income tax purposes determined pursuant to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50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means any sale, transfer, assignment, pledge, mortgage, exchange, hypothecation, grant of a security interest or other direct or indirect disposition or encumbrance of an interest whether with or without consideration, whether voluntarily or involuntarily or by operation of law) or the acts thereof. The terms “</w:t>
      </w:r>
      <w:r>
        <w:rPr>
          <w:rFonts w:ascii="Times New Roman" w:cs="Times New Roman" w:eastAsia="Times New Roman" w:hAnsi="Times New Roman"/>
          <w:sz w:val="22"/>
          <w:szCs w:val="22"/>
          <w:u w:val="single" w:color="auto"/>
          <w:color w:val="auto"/>
        </w:rPr>
        <w:t>Transferee,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Transferred,</w:t>
      </w:r>
      <w:r>
        <w:rPr>
          <w:rFonts w:ascii="Times New Roman" w:cs="Times New Roman" w:eastAsia="Times New Roman" w:hAnsi="Times New Roman"/>
          <w:sz w:val="22"/>
          <w:szCs w:val="22"/>
          <w:color w:val="auto"/>
        </w:rPr>
        <w:t>” and other forms of the word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shall have correlative meanings.</w:t>
      </w:r>
    </w:p>
    <w:p>
      <w:pPr>
        <w:spacing w:after="0" w:line="2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income tax regulations promulgated under the Code as in effect from time to time.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49" w:name="page50"/>
    <w:bookmarkEnd w:id="49"/>
    <w:p>
      <w:pPr>
        <w:jc w:val="both"/>
        <w:ind w:right="1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w:t>
      </w:r>
      <w:r>
        <w:rPr>
          <w:rFonts w:ascii="Times New Roman" w:cs="Times New Roman" w:eastAsia="Times New Roman" w:hAnsi="Times New Roman"/>
          <w:sz w:val="22"/>
          <w:szCs w:val="22"/>
          <w:color w:val="auto"/>
        </w:rPr>
        <w:t>” means a unit held by a Member and representing a fractional part of the interests in Net Income, Net Loss and Distributions of the Company held by all Members, provided that any class or group of Units issued shall have the relative rights, powers and duties set forth in this Agreement.</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Advances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980" w:type="dxa"/>
            <w:vAlign w:val="bottom"/>
            <w:gridSpan w:val="3"/>
          </w:tcPr>
          <w:p>
            <w:pPr>
              <w:jc w:val="center"/>
              <w:ind w:right="3300"/>
              <w:spacing w:after="0"/>
              <w:rPr>
                <w:sz w:val="20"/>
                <w:szCs w:val="20"/>
                <w:color w:val="auto"/>
              </w:rPr>
            </w:pPr>
            <w:r>
              <w:rPr>
                <w:rFonts w:ascii="Times New Roman" w:cs="Times New Roman" w:eastAsia="Times New Roman" w:hAnsi="Times New Roman"/>
                <w:sz w:val="22"/>
                <w:szCs w:val="22"/>
                <w:b w:val="1"/>
                <w:bCs w:val="1"/>
                <w:color w:val="auto"/>
                <w:w w:val="97"/>
              </w:rPr>
              <w:t>ARTICLE II</w:t>
            </w:r>
          </w:p>
        </w:tc>
      </w:tr>
      <w:tr>
        <w:trPr>
          <w:trHeight w:val="234"/>
        </w:trPr>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140" w:type="dxa"/>
            <w:vAlign w:val="bottom"/>
            <w:tcBorders>
              <w:bottom w:val="single" w:sz="8" w:color="auto"/>
            </w:tcBorders>
            <w:gridSpan w:val="3"/>
          </w:tcPr>
          <w:p>
            <w:pPr>
              <w:jc w:val="center"/>
              <w:spacing w:after="0" w:line="235" w:lineRule="exact"/>
              <w:rPr>
                <w:sz w:val="20"/>
                <w:szCs w:val="20"/>
                <w:color w:val="auto"/>
              </w:rPr>
            </w:pPr>
            <w:r>
              <w:rPr>
                <w:rFonts w:ascii="Times New Roman" w:cs="Times New Roman" w:eastAsia="Times New Roman" w:hAnsi="Times New Roman"/>
                <w:sz w:val="22"/>
                <w:szCs w:val="22"/>
                <w:b w:val="1"/>
                <w:bCs w:val="1"/>
                <w:color w:val="auto"/>
                <w:w w:val="97"/>
              </w:rPr>
              <w:t>ORGANIZATIONAL MATTERS</w:t>
            </w:r>
          </w:p>
        </w:tc>
        <w:tc>
          <w:tcPr>
            <w:tcW w:w="3080" w:type="dxa"/>
            <w:vAlign w:val="bottom"/>
          </w:tcPr>
          <w:p>
            <w:pPr>
              <w:spacing w:after="0"/>
              <w:rPr>
                <w:sz w:val="20"/>
                <w:szCs w:val="20"/>
                <w:color w:val="auto"/>
              </w:rPr>
            </w:pPr>
          </w:p>
        </w:tc>
      </w:tr>
      <w:tr>
        <w:trPr>
          <w:trHeight w:val="466"/>
        </w:trPr>
        <w:tc>
          <w:tcPr>
            <w:tcW w:w="168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2.1</w:t>
            </w:r>
          </w:p>
        </w:tc>
        <w:tc>
          <w:tcPr>
            <w:tcW w:w="80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Formation of Company. The Company was formed on January 14, 2013, pursuant to the</w:t>
            </w:r>
          </w:p>
        </w:tc>
      </w:tr>
      <w:tr>
        <w:trPr>
          <w:trHeight w:val="276"/>
        </w:trPr>
        <w:tc>
          <w:tcPr>
            <w:tcW w:w="16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7"/>
              </w:rPr>
              <w:t>provisions of the</w:t>
            </w:r>
          </w:p>
        </w:tc>
        <w:tc>
          <w:tcPr>
            <w:tcW w:w="2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Delaware Act.</w:t>
            </w:r>
          </w:p>
        </w:tc>
        <w:tc>
          <w:tcPr>
            <w:tcW w:w="1360" w:type="dxa"/>
            <w:vAlign w:val="bottom"/>
          </w:tcPr>
          <w:p>
            <w:pPr>
              <w:spacing w:after="0"/>
              <w:rPr>
                <w:sz w:val="24"/>
                <w:szCs w:val="24"/>
                <w:color w:val="auto"/>
              </w:rPr>
            </w:pPr>
          </w:p>
        </w:tc>
        <w:tc>
          <w:tcPr>
            <w:tcW w:w="4620" w:type="dxa"/>
            <w:vAlign w:val="bottom"/>
            <w:gridSpan w:val="2"/>
          </w:tcPr>
          <w:p>
            <w:pPr>
              <w:spacing w:after="0"/>
              <w:rPr>
                <w:sz w:val="24"/>
                <w:szCs w:val="24"/>
                <w:color w:val="auto"/>
              </w:rPr>
            </w:pPr>
          </w:p>
        </w:tc>
      </w:tr>
      <w:tr>
        <w:trPr>
          <w:trHeight w:val="433"/>
        </w:trPr>
        <w:tc>
          <w:tcPr>
            <w:tcW w:w="168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2.2</w:t>
            </w:r>
          </w:p>
        </w:tc>
        <w:tc>
          <w:tcPr>
            <w:tcW w:w="800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7"/>
              </w:rPr>
              <w:t>Limited Liability Company Agreement. The Company and the Members hereby execute this</w:t>
            </w:r>
          </w:p>
        </w:tc>
      </w:tr>
      <w:tr>
        <w:trPr>
          <w:trHeight w:val="20"/>
        </w:trPr>
        <w:tc>
          <w:tcPr>
            <w:tcW w:w="16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ind w:right="80"/>
        <w:spacing w:after="0" w:line="236" w:lineRule="auto"/>
        <w:rPr>
          <w:sz w:val="20"/>
          <w:szCs w:val="20"/>
          <w:color w:val="auto"/>
        </w:rPr>
      </w:pPr>
      <w:r>
        <w:rPr>
          <w:rFonts w:ascii="Times New Roman" w:cs="Times New Roman" w:eastAsia="Times New Roman" w:hAnsi="Times New Roman"/>
          <w:sz w:val="22"/>
          <w:szCs w:val="22"/>
          <w:color w:val="auto"/>
        </w:rPr>
        <w:t>Agreement for the purpose of establishing the affairs of the Company and the conduct of its business in accordance with the provisions of the Delaware Act. The rights, powers, duties, obligations and liabilities of the Members shall be determined pursuant to the Delaware Act and this Agreement. To the extent that the rights, powers, duties, obligations and liabilities of any Member are different by reason of any provision of this Agreement than they would be under the Delaware Act in the absence of such provision, this Agreement shall, unless expressly prohibited by the Delaware Act, control.</w:t>
      </w:r>
    </w:p>
    <w:p>
      <w:pPr>
        <w:spacing w:after="0" w:line="209" w:lineRule="exact"/>
        <w:rPr>
          <w:sz w:val="20"/>
          <w:szCs w:val="20"/>
          <w:color w:val="auto"/>
        </w:rPr>
      </w:pPr>
    </w:p>
    <w:p>
      <w:pPr>
        <w:jc w:val="both"/>
        <w:ind w:right="1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Name</w:t>
      </w:r>
      <w:r>
        <w:rPr>
          <w:rFonts w:ascii="Times New Roman" w:cs="Times New Roman" w:eastAsia="Times New Roman" w:hAnsi="Times New Roman"/>
          <w:sz w:val="22"/>
          <w:szCs w:val="22"/>
          <w:color w:val="auto"/>
        </w:rPr>
        <w:t>. The name of the Company shall be “FreshRealm, LLC.” The Board in its sole discretion may change the name of the Company at any time and from time to time. Notification of any such change shall be given to all Members. The Company’s business may be conducted under its name and/or any other name or names deemed advisable by the Board.</w:t>
      </w:r>
    </w:p>
    <w:p>
      <w:pPr>
        <w:spacing w:after="0" w:line="208"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Company is to engage in any lawful act or activity for which limited liability companies may be formed under the Delaware Act and to engage in any and all activities necessary or incidental thereto, including, without limitation, activities relating to the marketing of food products directly to consumers or other entities.</w:t>
      </w:r>
    </w:p>
    <w:p>
      <w:pPr>
        <w:spacing w:after="0" w:line="20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Principal Office</w:t>
      </w:r>
      <w:r>
        <w:rPr>
          <w:rFonts w:ascii="Times New Roman" w:cs="Times New Roman" w:eastAsia="Times New Roman" w:hAnsi="Times New Roman"/>
          <w:sz w:val="22"/>
          <w:szCs w:val="22"/>
          <w:color w:val="auto"/>
        </w:rPr>
        <w:t>. The principal office of the Company shall be located at 476 East Main Street, Ventura, California 93001, or at such other place as the Board may from time to time designate, and all business and activities of the Company shall be deemed to have occurred at its principal office. The Company may maintain offices at such other place or places as the Board deems advisable. Notification of any such change shall be given to all Members.</w:t>
      </w:r>
    </w:p>
    <w:p>
      <w:pPr>
        <w:spacing w:after="0" w:line="204"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Registered Office; Registered Agent</w:t>
      </w:r>
      <w:r>
        <w:rPr>
          <w:rFonts w:ascii="Times New Roman" w:cs="Times New Roman" w:eastAsia="Times New Roman" w:hAnsi="Times New Roman"/>
          <w:sz w:val="22"/>
          <w:szCs w:val="22"/>
          <w:color w:val="auto"/>
        </w:rPr>
        <w:t>. The registered office of the Company shall be the office of the initial registered agent named in the Certificate of Formation filed with the Secretary of State of Delaware on January 14, 2013 (the “Certificate”) or such other office (which need not be a place of business of the Company) as the Board may designate from time to time in the manner provided by the Delaware Act and applicable law. The registered agent for service of process on the Company in the State of Delaware shall be the initial registered agent named in the Certificate or such other Person or Persons as the Board may designate from time to time in the manner provided by the Delaware Act and applicable law.</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50" w:name="page51"/>
    <w:bookmarkEnd w:id="50"/>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the Company commenced upon the filing of the Certificate with the Secretary</w:t>
      </w:r>
    </w:p>
    <w:p>
      <w:pPr>
        <w:spacing w:after="0" w:line="15"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22"/>
          <w:szCs w:val="22"/>
          <w:color w:val="auto"/>
        </w:rPr>
        <w:t>of State of Delaware in accordance with the Delaware Act, and shall continue in existence until termination and dissolution thereof in accordance with the provisions of Article XIII.</w:t>
      </w:r>
    </w:p>
    <w:p>
      <w:pPr>
        <w:spacing w:after="0" w:line="206"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No State-Law Partnership</w:t>
      </w:r>
      <w:r>
        <w:rPr>
          <w:rFonts w:ascii="Times New Roman" w:cs="Times New Roman" w:eastAsia="Times New Roman" w:hAnsi="Times New Roman"/>
          <w:sz w:val="22"/>
          <w:szCs w:val="22"/>
          <w:color w:val="auto"/>
        </w:rPr>
        <w:t>. The Members intend that the Company not be a partnership (including a limited partnership) or joint venture, and that no Member be a partner or joint venturer of any other Member by virtue of this Agreement, for any purposes other than as set forth in the last sentence of this Section 2.8, and neither this Agreement nor any other document entered into by the Company or any Member relating to the subject matter hereof shall be construed to suggest otherwise. The Members intend that the Company shall be treated as a partnership for federal and, if applicable, state or local income tax purposes, and that each Member and the Company shall file all tax returns and shall otherwise take all tax and financial reporting positions in a manner consistent with such treatment.</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8260" w:type="dxa"/>
            <w:vAlign w:val="bottom"/>
          </w:tcPr>
          <w:p>
            <w:pPr>
              <w:jc w:val="center"/>
              <w:ind w:right="672"/>
              <w:spacing w:after="0"/>
              <w:rPr>
                <w:sz w:val="20"/>
                <w:szCs w:val="20"/>
                <w:color w:val="auto"/>
              </w:rPr>
            </w:pPr>
            <w:r>
              <w:rPr>
                <w:rFonts w:ascii="Times New Roman" w:cs="Times New Roman" w:eastAsia="Times New Roman" w:hAnsi="Times New Roman"/>
                <w:sz w:val="22"/>
                <w:szCs w:val="22"/>
                <w:b w:val="1"/>
                <w:bCs w:val="1"/>
                <w:color w:val="auto"/>
                <w:w w:val="97"/>
              </w:rPr>
              <w:t>ARTICLE III</w:t>
            </w:r>
          </w:p>
        </w:tc>
      </w:tr>
      <w:tr>
        <w:trPr>
          <w:trHeight w:val="287"/>
        </w:trPr>
        <w:tc>
          <w:tcPr>
            <w:tcW w:w="660" w:type="dxa"/>
            <w:vAlign w:val="bottom"/>
          </w:tcPr>
          <w:p>
            <w:pPr>
              <w:spacing w:after="0"/>
              <w:rPr>
                <w:sz w:val="24"/>
                <w:szCs w:val="24"/>
                <w:color w:val="auto"/>
              </w:rPr>
            </w:pPr>
          </w:p>
        </w:tc>
        <w:tc>
          <w:tcPr>
            <w:tcW w:w="8260" w:type="dxa"/>
            <w:vAlign w:val="bottom"/>
          </w:tcPr>
          <w:p>
            <w:pPr>
              <w:jc w:val="center"/>
              <w:ind w:right="692"/>
              <w:spacing w:after="0"/>
              <w:rPr>
                <w:sz w:val="20"/>
                <w:szCs w:val="20"/>
                <w:color w:val="auto"/>
              </w:rPr>
            </w:pPr>
            <w:r>
              <w:rPr>
                <w:rFonts w:ascii="Times New Roman" w:cs="Times New Roman" w:eastAsia="Times New Roman" w:hAnsi="Times New Roman"/>
                <w:sz w:val="22"/>
                <w:szCs w:val="22"/>
                <w:b w:val="1"/>
                <w:bCs w:val="1"/>
                <w:u w:val="single" w:color="auto"/>
                <w:color w:val="auto"/>
                <w:w w:val="98"/>
              </w:rPr>
              <w:t>UNITS</w:t>
            </w:r>
          </w:p>
        </w:tc>
      </w:tr>
      <w:tr>
        <w:trPr>
          <w:trHeight w:val="471"/>
        </w:trPr>
        <w:tc>
          <w:tcPr>
            <w:tcW w:w="6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4"/>
              </w:rPr>
              <w:t>3.1</w:t>
            </w:r>
          </w:p>
        </w:tc>
        <w:tc>
          <w:tcPr>
            <w:tcW w:w="8260" w:type="dxa"/>
            <w:vAlign w:val="bottom"/>
          </w:tcPr>
          <w:p>
            <w:pPr>
              <w:ind w:left="380"/>
              <w:spacing w:after="0"/>
              <w:rPr>
                <w:sz w:val="20"/>
                <w:szCs w:val="20"/>
                <w:color w:val="auto"/>
              </w:rPr>
            </w:pPr>
            <w:r>
              <w:rPr>
                <w:rFonts w:ascii="Times New Roman" w:cs="Times New Roman" w:eastAsia="Times New Roman" w:hAnsi="Times New Roman"/>
                <w:sz w:val="22"/>
                <w:szCs w:val="22"/>
                <w:u w:val="single" w:color="auto"/>
                <w:color w:val="auto"/>
                <w:w w:val="97"/>
              </w:rPr>
              <w:t>Units Generally</w:t>
            </w:r>
            <w:r>
              <w:rPr>
                <w:rFonts w:ascii="Times New Roman" w:cs="Times New Roman" w:eastAsia="Times New Roman" w:hAnsi="Times New Roman"/>
                <w:sz w:val="22"/>
                <w:szCs w:val="22"/>
                <w:color w:val="auto"/>
                <w:w w:val="97"/>
              </w:rPr>
              <w:t>. The Members’ ownership interest in the Company shall be represented by</w:t>
            </w:r>
          </w:p>
        </w:tc>
      </w:tr>
    </w:tbl>
    <w:p>
      <w:pPr>
        <w:spacing w:after="0" w:line="242" w:lineRule="auto"/>
        <w:rPr>
          <w:sz w:val="20"/>
          <w:szCs w:val="20"/>
          <w:color w:val="auto"/>
        </w:rPr>
      </w:pPr>
      <w:r>
        <w:rPr>
          <w:rFonts w:ascii="Times New Roman" w:cs="Times New Roman" w:eastAsia="Times New Roman" w:hAnsi="Times New Roman"/>
          <w:sz w:val="21"/>
          <w:szCs w:val="21"/>
          <w:color w:val="auto"/>
        </w:rPr>
        <w:t>issued and outstanding Units, which may be divided into one or more types, classes or series. Each type, class or series of Units shall have the privileges, preferences, duties, liabilities, obligations and rights, including voting rights, if any, set forth in this Agreement with respect to such type, class or series. Unless otherwise determined by the Board, the Units issued hereunder will not be Certificated Units. The Board shall maintain a Schedule of Members and a record of each Member’s ownership interest in the Company (which record, except for the Schedule of Members that is attached to this Agreement as of the Effective Date of this Agreement, shall not be made available to a Member who owns less than a 5.0% Percentage Interest as to any other Member’s ownership interest in the Company, provided further that if a new Member is admitted which is a food service, food supplier, food maker or food packer, then such record of ownership interest shall be made available to the Co-Packers), and shall update the Schedule of Members and such record, as applicable, upon the issuance of any Units to any new Member, upon the Transfer of any Units to any new or existing Member, and upon the forfeiture of any Units. A copy of the Schedule of Members as of the Effective Date of this Agreement is attached hereto as Schedule A. As of the date hereof, the Board and the Members have determined that Article 8 of the Uniform Commercial Code of the State of Delaware (and the Uniform Commercial Code of any other applicable jurisdiction) will not govern any Equity Securities. The Board shall have the sole authority to elect in writing to have any class or series of Equity Securities be subject to Article 8 of the Uniform Commercial Code of the State of Delaware (and the Uniform Commercial Code of any other applicable jurisdiction); provided that any such election to have Article 8 of the Uniform Commercial Code of the State of Delaware (and the Uniform Commercial Code of any other applicable jurisdiction) shall not be effective until at least two days’ prior written notice of the same is provided to the Members, and shall not be revocable once made, and the class or series of Equity Securities subject to such election, if Units (i.e., not derivative securities), shall thereafter be Certificated Units. The ownership by a Member of any class or series of Units shall entitle such Member to allocations of Net Income and Net Loss and other items and Distributions of cash and other property with respect to such Units as set forth in Article VI hereof.</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51" w:name="page52"/>
    <w:bookmarkEnd w:id="51"/>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Authorization and Issuance of Units</w:t>
      </w:r>
      <w:r>
        <w:rPr>
          <w:rFonts w:ascii="Times New Roman" w:cs="Times New Roman" w:eastAsia="Times New Roman" w:hAnsi="Times New Roman"/>
          <w:sz w:val="21"/>
          <w:szCs w:val="21"/>
          <w:color w:val="auto"/>
        </w:rPr>
        <w:t>. The Company is hereby authorized to issue Units. There</w:t>
      </w:r>
    </w:p>
    <w:p>
      <w:pPr>
        <w:spacing w:after="0" w:line="15"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are 2,183,801 Units (the “Initial Units”) issued and outstanding to the Members in the amounts set forth on the Schedule of Members opposite the names of the Members or, in the case of the Initial Service Providers, in the Unit notice delivered by the Company to each Initial Service Provider. In any matters presented to the Members for approval or consent pursuant to this Agreement or applicable law, each Member shall be deemed to have one vote for each Unit held by such Member. The Company and the Members agree that, if any Units are intended to be issued to other investors from time-to-time as provided in Section 3.5, then the Company is authorized to sell and issue such unissued Units to such new investors selected by the Board with such Capital Contributions as determined by the Board, as provided in Section 3.5.</w:t>
      </w:r>
    </w:p>
    <w:p>
      <w:pPr>
        <w:spacing w:after="0" w:line="180"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Units Issued to Initial Service Providers.</w:t>
      </w:r>
    </w:p>
    <w:p>
      <w:pPr>
        <w:spacing w:after="0" w:line="206" w:lineRule="exact"/>
        <w:rPr>
          <w:sz w:val="20"/>
          <w:szCs w:val="20"/>
          <w:color w:val="auto"/>
        </w:rPr>
      </w:pPr>
    </w:p>
    <w:p>
      <w:pPr>
        <w:ind w:right="160" w:firstLine="1620"/>
        <w:spacing w:after="0" w:line="249" w:lineRule="auto"/>
        <w:tabs>
          <w:tab w:leader="none" w:pos="2293"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Loans from Calavo to Initial Service Providers</w:t>
      </w:r>
      <w:r>
        <w:rPr>
          <w:rFonts w:ascii="Times New Roman" w:cs="Times New Roman" w:eastAsia="Times New Roman" w:hAnsi="Times New Roman"/>
          <w:sz w:val="21"/>
          <w:szCs w:val="21"/>
          <w:color w:val="auto"/>
        </w:rPr>
        <w:t>. Calavo has loaned funds to each Initial Service Provider equal to the full Capital Contribution that each Initial Service Provider has made to the Company as payment for the Initial Units that each has received with respect to each such Member’s Capital Contribution.</w:t>
      </w:r>
    </w:p>
    <w:p>
      <w:pPr>
        <w:spacing w:after="0" w:line="1" w:lineRule="exact"/>
        <w:rPr>
          <w:rFonts w:ascii="Times New Roman" w:cs="Times New Roman" w:eastAsia="Times New Roman" w:hAnsi="Times New Roman"/>
          <w:sz w:val="21"/>
          <w:szCs w:val="21"/>
          <w:color w:val="auto"/>
        </w:rPr>
      </w:pPr>
    </w:p>
    <w:p>
      <w:pPr>
        <w:ind w:right="8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Calavo’s loan to each Initial Service Provider is evidenced by a secured promissory note payable to Calavo (each, a “Promissory Note”) and is secured by a Units Pledge and Security Agreement. Each Initial Service Provider agrees that his obligations under his Promissory Note and Units Pledge and Security Agreement shall in no manner be reduced by the execution and delivery of this Agreement.</w:t>
      </w:r>
    </w:p>
    <w:p>
      <w:pPr>
        <w:spacing w:after="0" w:line="177" w:lineRule="exact"/>
        <w:rPr>
          <w:rFonts w:ascii="Times New Roman" w:cs="Times New Roman" w:eastAsia="Times New Roman" w:hAnsi="Times New Roman"/>
          <w:sz w:val="21"/>
          <w:szCs w:val="21"/>
          <w:color w:val="auto"/>
        </w:rPr>
      </w:pPr>
    </w:p>
    <w:p>
      <w:pPr>
        <w:ind w:firstLine="1620"/>
        <w:spacing w:after="0" w:line="243" w:lineRule="auto"/>
        <w:tabs>
          <w:tab w:leader="none" w:pos="230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of Units Upon Termination of Service.</w:t>
      </w:r>
      <w:r>
        <w:rPr>
          <w:rFonts w:ascii="Times New Roman" w:cs="Times New Roman" w:eastAsia="Times New Roman" w:hAnsi="Times New Roman"/>
          <w:sz w:val="21"/>
          <w:szCs w:val="21"/>
          <w:color w:val="auto"/>
        </w:rPr>
        <w:t xml:space="preserve"> The Company and the Members acknowledge and agree that if, prior to May 1, 2018, (i) the Company terminates an Initial Service Provider’s employment with, or other service to, the Company for Cause, or (ii) the Initial Service Provider terminates his employment with, or other service to, the Company other than (A) for Good Reason or (B) as a result of the Initial Service Provider’s death or Disability, notwithstanding whether prior to such date the Initial Service Provider has repaid his Promissory Note in full, then all of such terminated Initial Service Provider’s Initial Units shall be offered to the other Members, excluding Calavo. If, within ten days after the date of the termination of the Initial Service Provider’s employment or other service, one or more of such Members other than Calavo provides written notice to Calavo and the Company that it wishes to acquire all or any portion of the terminated Initial Service Provider’s Initial Units, then upon payment by such Member(s) to Calavo within twenty days after the termination date of the Initial Service Provider’s employment or service of all outstanding principal and accrued interest owed under the Initial Service Provider’s Promissory Note, such Initial Units shall be transferred to such Member(s). If more than one Member other than Calavo desires to purchase the terminated Initial Service Provider’s Initial Units, such Initial Units shall be allocated to such Members on a pro rata basis in accordance with the number of Units held by all such Members who desire to purchase the Initial Units, provided, however, that full payment of all outstanding principal and accrued interest owed under the Initial Service Provider’s Promissory Note must be paid to Calavo within the twenty-day period described above in order for the purchase of the Initial Units by such Members other than Calavo to be effective. If no Members other than Calavo provide the required purchase notice and purchase payment within the time periods described above, then the terminated Initial Service Provider’s Initial Units shall be automatically transferred to Calavo for no consideration, other than the application of the value of such Initial Units to the repayment of the Initial Service Provider’s Promissory Note. In the event such</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52" w:name="page53"/>
    <w:bookmarkEnd w:id="52"/>
    <w:p>
      <w:pPr>
        <w:ind w:right="120"/>
        <w:spacing w:after="0" w:line="244" w:lineRule="auto"/>
        <w:rPr>
          <w:sz w:val="20"/>
          <w:szCs w:val="20"/>
          <w:color w:val="auto"/>
        </w:rPr>
      </w:pPr>
      <w:r>
        <w:rPr>
          <w:rFonts w:ascii="Times New Roman" w:cs="Times New Roman" w:eastAsia="Times New Roman" w:hAnsi="Times New Roman"/>
          <w:sz w:val="22"/>
          <w:szCs w:val="22"/>
          <w:color w:val="auto"/>
        </w:rPr>
        <w:t xml:space="preserve">Initial Units are transferred to Calavo pursuant to this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 xml:space="preserve"> after the Initial Service Provider’s Promissory Note is repaid, Calavo shall return the paid principal and interest under the Promissory Note to the Initial Service Provider.</w:t>
      </w:r>
    </w:p>
    <w:p>
      <w:pPr>
        <w:spacing w:after="0" w:line="174" w:lineRule="exact"/>
        <w:rPr>
          <w:sz w:val="20"/>
          <w:szCs w:val="20"/>
          <w:color w:val="auto"/>
        </w:rPr>
      </w:pPr>
    </w:p>
    <w:p>
      <w:pPr>
        <w:ind w:right="20" w:firstLine="1620"/>
        <w:spacing w:after="0" w:line="234" w:lineRule="auto"/>
        <w:tabs>
          <w:tab w:leader="none" w:pos="229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Units Upon Failure to Repay</w:t>
      </w:r>
      <w:r>
        <w:rPr>
          <w:rFonts w:ascii="Times New Roman" w:cs="Times New Roman" w:eastAsia="Times New Roman" w:hAnsi="Times New Roman"/>
          <w:sz w:val="22"/>
          <w:szCs w:val="22"/>
          <w:color w:val="auto"/>
        </w:rPr>
        <w:t>. The Company and the Members further acknowledge and agree that, pursuant to the Promissory Notes, in the event an Initial Service Provider fails to repay his Promissory Note by May 1, 2018, all of such Initial Service Provider’s Initial Units shall be offered to the other Members (excluding Calavo) as provided in Section 3.3(b). If no such Members provide the required purchase notice and purchase payment within the time periods described in Section 3.3(b), then such Initial Units may be transferred to Calavo, in Calavo’s sole discretion, for no consideration, other than the application of the value of such Initial Units to the repayment of the Service Provider’s Promissory Note. Each Promissory Note and Units Pledge and Security Agreement shall be deemed to have been amended solely to the extent necessary to give effect to the terms of Section 3.3(b) and this Section 3.3(c), but shall otherwise remain in full force and effect and enforceable against each Initial Service Provider.</w:t>
      </w:r>
    </w:p>
    <w:p>
      <w:pPr>
        <w:spacing w:after="0" w:line="180"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Authorization to Issue Profits Interest Units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620"/>
        <w:spacing w:after="0" w:line="233" w:lineRule="auto"/>
        <w:tabs>
          <w:tab w:leader="none" w:pos="22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Rule 701 Plan</w:t>
      </w:r>
      <w:r>
        <w:rPr>
          <w:rFonts w:ascii="Times New Roman" w:cs="Times New Roman" w:eastAsia="Times New Roman" w:hAnsi="Times New Roman"/>
          <w:sz w:val="22"/>
          <w:szCs w:val="22"/>
          <w:color w:val="auto"/>
        </w:rPr>
        <w:t>. This Agreement is a Rule 701 plan pursuant to which all Initial Units held by Initial Service Providers and all Units that constitute a “profits interest” in the Company within the meaning of IRS Revenue Procedure 93-27 (a “Profits Interest”) shall be issued and granted in compliance with the securities registration exemption provided by Rule 701 of the Securities Act or another applicable exemption (such plan as in effect from time to time, the “Incentive Plan”). In addition to the Initial Units authorized to be issued under Section 3.2, the Board is hereby authorized to issue 45,555 Profits Interest Units (the “Initial PIU Pool”) to Service Providers, either directly or through Impermanence. In connection with any future issuance of Profits Interest Units, the Board is hereby authorized to negotiate and enter into award agreements with each Service Provider to whom it grants Units that constitute a Profits Interest (such agreements, “Award Agreements”). Each Award Agreement shall include such terms, conditions, rights and obligations as may be determined by the Board, in its sole discretion. Solely relative to the issuance of the Initial PIU Pool, the Board hereby authorizes Mr. Lippold, in his capacity as CEO of the Company, to issue such Profits Interest Units to such Service Providers and in such amounts that he determines to be in the best interest of the Company (provided that such Units are not issued to Mr. Lippold, his family members or affiliates), in each case, subject to the form of Award Agreement titled “Profits Interest Grant Agreement,” attached as Exhibit A hereto.</w:t>
      </w:r>
    </w:p>
    <w:p>
      <w:pPr>
        <w:spacing w:after="0" w:line="178" w:lineRule="exact"/>
        <w:rPr>
          <w:rFonts w:ascii="Times New Roman" w:cs="Times New Roman" w:eastAsia="Times New Roman" w:hAnsi="Times New Roman"/>
          <w:sz w:val="22"/>
          <w:szCs w:val="22"/>
          <w:color w:val="auto"/>
        </w:rPr>
      </w:pPr>
    </w:p>
    <w:p>
      <w:pPr>
        <w:ind w:right="80" w:firstLine="1620"/>
        <w:spacing w:after="0" w:line="236" w:lineRule="auto"/>
        <w:tabs>
          <w:tab w:leader="none" w:pos="230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Profits Interest Units as Profits Interests</w:t>
      </w:r>
      <w:r>
        <w:rPr>
          <w:rFonts w:ascii="Times New Roman" w:cs="Times New Roman" w:eastAsia="Times New Roman" w:hAnsi="Times New Roman"/>
          <w:sz w:val="22"/>
          <w:szCs w:val="22"/>
          <w:color w:val="auto"/>
        </w:rPr>
        <w:t>. The Company and each Service Provider who receives Profits Interest Units hereby agree to comply with the provisions of IRS Revenue Procedure 2001-43, and neither the Company nor any Service Provider who receives Profits Interest Units shall perform any act or take any position inconsistent with the application of IRS Revenue Procedure 2001-43 or any future Internal Revenue Service guidance or other Governmental Authority that supplements or supersedes the foregoing IRS Revenue Procedures.</w:t>
      </w:r>
    </w:p>
    <w:p>
      <w:pPr>
        <w:spacing w:after="0" w:line="182" w:lineRule="exact"/>
        <w:rPr>
          <w:rFonts w:ascii="Times New Roman" w:cs="Times New Roman" w:eastAsia="Times New Roman" w:hAnsi="Times New Roman"/>
          <w:sz w:val="22"/>
          <w:szCs w:val="22"/>
          <w:color w:val="auto"/>
        </w:rPr>
      </w:pPr>
    </w:p>
    <w:p>
      <w:pPr>
        <w:ind w:right="700" w:firstLine="1620"/>
        <w:spacing w:after="0" w:line="258" w:lineRule="auto"/>
        <w:tabs>
          <w:tab w:leader="none" w:pos="22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Safe Harbor for Profits Interest Units</w:t>
      </w:r>
      <w:r>
        <w:rPr>
          <w:rFonts w:ascii="Times New Roman" w:cs="Times New Roman" w:eastAsia="Times New Roman" w:hAnsi="Times New Roman"/>
          <w:sz w:val="22"/>
          <w:szCs w:val="22"/>
          <w:color w:val="auto"/>
        </w:rPr>
        <w:t>. In accordance with the finally promulgated successor rules to Proposed Regulations Section 1.83-3(1) and IRS Notice 2005-43,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55" w:right="939" w:bottom="1440" w:gutter="0" w:footer="0" w:header="0"/>
        </w:sectPr>
      </w:pPr>
    </w:p>
    <w:bookmarkStart w:id="53" w:name="page54"/>
    <w:bookmarkEnd w:id="53"/>
    <w:p>
      <w:pPr>
        <w:spacing w:after="0" w:line="235" w:lineRule="auto"/>
        <w:rPr>
          <w:sz w:val="20"/>
          <w:szCs w:val="20"/>
          <w:color w:val="auto"/>
        </w:rPr>
      </w:pPr>
      <w:r>
        <w:rPr>
          <w:rFonts w:ascii="Times New Roman" w:cs="Times New Roman" w:eastAsia="Times New Roman" w:hAnsi="Times New Roman"/>
          <w:sz w:val="22"/>
          <w:szCs w:val="22"/>
          <w:color w:val="auto"/>
        </w:rPr>
        <w:t xml:space="preserve">each Member, by executing this Agreement, authorizes and directs the Company to elect a safe harbor under which the fair market value of any Profits Interest Units issued after the effective date of such Proposed Regulations (or other guidance) will be treated as equal to the liquidation value (within the meaning of the Proposed Regulations or successor rules) of the Profits Interest Units as of the date of issuance of such Profits Interest Units. In the event that the Company makes a safe harbor election as described in the preceding sentence, each Member hereby agrees to comply with all safe harbor requirements with respect to Transfers of Units while the safe harbor election remains effective. For the avoidance of doubt, all Profits Interest Units shall be subject to the rights of the holders of Units to drag along the holders of Profits Interest Units pursuant to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648"/>
        <w:spacing w:after="0" w:line="232"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Issuance of Additional Units and Interests</w:t>
      </w:r>
      <w:r>
        <w:rPr>
          <w:rFonts w:ascii="Times New Roman" w:cs="Times New Roman" w:eastAsia="Times New Roman" w:hAnsi="Times New Roman"/>
          <w:sz w:val="22"/>
          <w:szCs w:val="22"/>
          <w:color w:val="auto"/>
        </w:rPr>
        <w:t>. The Board has the right and power to cause the Company to authorize and issue (a) additional Units or other interests in the Company (including to create and issue other classes or series having different rights), (b) obligations, evidences of Indebtedness or other securities or interests convertible or exchangeable into Units or other interests in the Company, and (c) warrants, options or other rights to purchase or otherwise acquire Units or other interests in the Company (collectively, “Equity Securities,” which include the Units issued as of the date hereof); provided, however, that (i) Members shall have no preemptive rights, and (ii) at any time following the date hereof, the Company shall not issue Units to any Person unless such Person shall have executed and delivered a counterpart or joinder to this Agreement. In such event, (A) the rights of Members in respect of Units or interests of any class or series shall be diluted on a pro rata basis based on holdings of such Units or other interests of such class or series, including adjustments in Percentage Interests to accommodate the dilutive effect, and (B) the Board shall have the right and power to amend the Schedule of Members solely to reflect such additional issuances and dilution and to make any such other amendments as it deems necessary or desirable to reflect such additional issuances consistent with the foregoing (including the right and power to amend this Agreement to increase the authorized number of Units of any class or create a new class of Units and to add the terms of such new class including economic and governance rights which may be different from the Initial Units or any other outstanding Equity Securities). Notwithstanding any provision in this Agreement to the contrary (including, without limitation, this Section 3.5, Section 3.4, and Section 5.2), the Percentage Interest of Calavo shall at no time and under no circumstances be reduced without the prior written consent of the Chief Executive Officer of Calavo.</w:t>
      </w:r>
    </w:p>
    <w:p>
      <w:pPr>
        <w:spacing w:after="0" w:line="216"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Purchase of Units</w:t>
      </w:r>
      <w:r>
        <w:rPr>
          <w:rFonts w:ascii="Times New Roman" w:cs="Times New Roman" w:eastAsia="Times New Roman" w:hAnsi="Times New Roman"/>
          <w:sz w:val="22"/>
          <w:szCs w:val="22"/>
          <w:color w:val="auto"/>
        </w:rPr>
        <w:t>. Subject to the terms of this Agreement, the Board may cause the Company to purchase or otherwise acquire Units; provided that this provision shall not in and of itself obligate any Member to sell any Units to the Company. So long as any such Units are owned by or on behalf of the Company, such Units will not be considered outstanding for any purpose.</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8720" w:type="dxa"/>
            <w:vAlign w:val="bottom"/>
          </w:tcPr>
          <w:p>
            <w:pPr>
              <w:jc w:val="center"/>
              <w:ind w:right="1152"/>
              <w:spacing w:after="0"/>
              <w:rPr>
                <w:sz w:val="20"/>
                <w:szCs w:val="20"/>
                <w:color w:val="auto"/>
              </w:rPr>
            </w:pPr>
            <w:r>
              <w:rPr>
                <w:rFonts w:ascii="Times New Roman" w:cs="Times New Roman" w:eastAsia="Times New Roman" w:hAnsi="Times New Roman"/>
                <w:sz w:val="22"/>
                <w:szCs w:val="22"/>
                <w:b w:val="1"/>
                <w:bCs w:val="1"/>
                <w:color w:val="auto"/>
                <w:w w:val="96"/>
              </w:rPr>
              <w:t>ARTICLE IV</w:t>
            </w:r>
          </w:p>
        </w:tc>
      </w:tr>
      <w:tr>
        <w:trPr>
          <w:trHeight w:val="287"/>
        </w:trPr>
        <w:tc>
          <w:tcPr>
            <w:tcW w:w="660" w:type="dxa"/>
            <w:vAlign w:val="bottom"/>
          </w:tcPr>
          <w:p>
            <w:pPr>
              <w:spacing w:after="0"/>
              <w:rPr>
                <w:sz w:val="24"/>
                <w:szCs w:val="24"/>
                <w:color w:val="auto"/>
              </w:rPr>
            </w:pPr>
          </w:p>
        </w:tc>
        <w:tc>
          <w:tcPr>
            <w:tcW w:w="8720" w:type="dxa"/>
            <w:vAlign w:val="bottom"/>
          </w:tcPr>
          <w:p>
            <w:pPr>
              <w:jc w:val="center"/>
              <w:ind w:right="1152"/>
              <w:spacing w:after="0"/>
              <w:rPr>
                <w:sz w:val="20"/>
                <w:szCs w:val="20"/>
                <w:color w:val="auto"/>
              </w:rPr>
            </w:pPr>
            <w:r>
              <w:rPr>
                <w:rFonts w:ascii="Times New Roman" w:cs="Times New Roman" w:eastAsia="Times New Roman" w:hAnsi="Times New Roman"/>
                <w:sz w:val="22"/>
                <w:szCs w:val="22"/>
                <w:b w:val="1"/>
                <w:bCs w:val="1"/>
                <w:u w:val="single" w:color="auto"/>
                <w:color w:val="auto"/>
                <w:w w:val="97"/>
              </w:rPr>
              <w:t>MEMBERS; RIGHTS AND OBLIGATIONS OF MEMBERS</w:t>
            </w:r>
          </w:p>
        </w:tc>
      </w:tr>
      <w:tr>
        <w:trPr>
          <w:trHeight w:val="471"/>
        </w:trPr>
        <w:tc>
          <w:tcPr>
            <w:tcW w:w="6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4"/>
              </w:rPr>
              <w:t>4.1</w:t>
            </w:r>
          </w:p>
        </w:tc>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u w:val="single" w:color="auto"/>
                <w:color w:val="auto"/>
                <w:w w:val="97"/>
              </w:rPr>
              <w:t>Substituted Members</w:t>
            </w:r>
            <w:r>
              <w:rPr>
                <w:rFonts w:ascii="Times New Roman" w:cs="Times New Roman" w:eastAsia="Times New Roman" w:hAnsi="Times New Roman"/>
                <w:sz w:val="22"/>
                <w:szCs w:val="22"/>
                <w:color w:val="auto"/>
                <w:w w:val="97"/>
              </w:rPr>
              <w:t>. In connection with the Transfer of Units of a Member permitted under the</w:t>
            </w:r>
          </w:p>
        </w:tc>
      </w:tr>
    </w:tbl>
    <w:p>
      <w:pPr>
        <w:ind w:right="140"/>
        <w:spacing w:after="0" w:line="237" w:lineRule="auto"/>
        <w:rPr>
          <w:sz w:val="20"/>
          <w:szCs w:val="20"/>
          <w:color w:val="auto"/>
        </w:rPr>
      </w:pPr>
      <w:r>
        <w:rPr>
          <w:rFonts w:ascii="Times New Roman" w:cs="Times New Roman" w:eastAsia="Times New Roman" w:hAnsi="Times New Roman"/>
          <w:sz w:val="22"/>
          <w:szCs w:val="22"/>
          <w:color w:val="auto"/>
        </w:rPr>
        <w:t>terms of this Agreement, the Transferee shall become a Substituted Member on the later of (a) the effective date of such Transfer, and (b) the date on which the Board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54" w:name="page55"/>
    <w:bookmarkEnd w:id="54"/>
    <w:p>
      <w:pPr>
        <w:ind w:right="60"/>
        <w:spacing w:after="0" w:line="258" w:lineRule="auto"/>
        <w:rPr>
          <w:sz w:val="20"/>
          <w:szCs w:val="20"/>
          <w:color w:val="auto"/>
        </w:rPr>
      </w:pPr>
      <w:r>
        <w:rPr>
          <w:rFonts w:ascii="Times New Roman" w:cs="Times New Roman" w:eastAsia="Times New Roman" w:hAnsi="Times New Roman"/>
          <w:sz w:val="22"/>
          <w:szCs w:val="22"/>
          <w:color w:val="auto"/>
        </w:rPr>
        <w:t>approves such Transferee as a Substituted Member, and such admission shall be shown on the books and records of the Company.</w:t>
      </w:r>
    </w:p>
    <w:p>
      <w:pPr>
        <w:spacing w:after="0" w:line="18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Additional Members</w:t>
      </w:r>
      <w:r>
        <w:rPr>
          <w:rFonts w:ascii="Times New Roman" w:cs="Times New Roman" w:eastAsia="Times New Roman" w:hAnsi="Times New Roman"/>
          <w:sz w:val="22"/>
          <w:szCs w:val="22"/>
          <w:color w:val="auto"/>
        </w:rPr>
        <w:t xml:space="preserve">. A Person may be admitted to the Company as an Additional Member only as contemplated under Article III and only upon furnishing to the Board (a) a letter of acceptance, in form satisfactory to the Board, of all the terms and conditions of this Agreement, including the power of attorney granted in </w:t>
      </w:r>
      <w:r>
        <w:rPr>
          <w:rFonts w:ascii="Times New Roman" w:cs="Times New Roman" w:eastAsia="Times New Roman" w:hAnsi="Times New Roman"/>
          <w:sz w:val="22"/>
          <w:szCs w:val="22"/>
          <w:u w:val="single" w:color="auto"/>
          <w:color w:val="auto"/>
        </w:rPr>
        <w:t>Section 14.1</w:t>
      </w:r>
      <w:r>
        <w:rPr>
          <w:rFonts w:ascii="Times New Roman" w:cs="Times New Roman" w:eastAsia="Times New Roman" w:hAnsi="Times New Roman"/>
          <w:sz w:val="22"/>
          <w:szCs w:val="22"/>
          <w:color w:val="auto"/>
        </w:rPr>
        <w:t>, and (b) such other documents or instruments as may be necessary or appropriate to effect such Person’s admission as a Member. Such admission shall become effective on the date on which the Board determines in its sole discretion that such conditions have been satisfied and when any such admission is shown on the books and records of the Company.</w:t>
      </w:r>
    </w:p>
    <w:p>
      <w:pPr>
        <w:spacing w:after="0" w:line="211"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Representations and Warranties of Members</w:t>
      </w:r>
      <w:r>
        <w:rPr>
          <w:rFonts w:ascii="Times New Roman" w:cs="Times New Roman" w:eastAsia="Times New Roman" w:hAnsi="Times New Roman"/>
          <w:sz w:val="22"/>
          <w:szCs w:val="22"/>
          <w:color w:val="auto"/>
        </w:rPr>
        <w:t xml:space="preserve">. By execution and delivery of this Agreement or a joinder to this Agreement, as applicable, except as otherwise provided in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each of the Members, whether admitted as of the date hereof or otherwise, represents and warrants to the Company and the other Members and acknowledges that:</w:t>
      </w:r>
    </w:p>
    <w:p>
      <w:pPr>
        <w:spacing w:after="0" w:line="208" w:lineRule="exact"/>
        <w:rPr>
          <w:sz w:val="20"/>
          <w:szCs w:val="20"/>
          <w:color w:val="auto"/>
        </w:rPr>
      </w:pPr>
    </w:p>
    <w:p>
      <w:pPr>
        <w:ind w:right="120" w:firstLine="1620"/>
        <w:spacing w:after="0" w:line="239" w:lineRule="auto"/>
        <w:tabs>
          <w:tab w:leader="none" w:pos="228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Units have not been registered under the Securities Act or the securities laws of any other jurisdiction, are issued in reliance upon federal and state exemptions for transactions not involving a public offering and cannot be disposed of unless (i) they are subsequently registered or exempted from registration under the Securities Act and (ii) the provisions of this Agreement have been complied with;</w:t>
      </w:r>
    </w:p>
    <w:p>
      <w:pPr>
        <w:spacing w:after="0" w:line="207" w:lineRule="exact"/>
        <w:rPr>
          <w:rFonts w:ascii="Times New Roman" w:cs="Times New Roman" w:eastAsia="Times New Roman" w:hAnsi="Times New Roman"/>
          <w:sz w:val="22"/>
          <w:szCs w:val="22"/>
          <w:color w:val="auto"/>
        </w:rPr>
      </w:pPr>
    </w:p>
    <w:p>
      <w:pPr>
        <w:ind w:left="2300" w:hanging="680"/>
        <w:spacing w:after="0"/>
        <w:tabs>
          <w:tab w:leader="none" w:pos="2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Members who are Initial Service Providers, such Member is an</w:t>
      </w:r>
    </w:p>
    <w:p>
      <w:pPr>
        <w:spacing w:after="0" w:line="1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accredited investor</w:t>
      </w:r>
      <w:r>
        <w:rPr>
          <w:rFonts w:ascii="Times New Roman" w:cs="Times New Roman" w:eastAsia="Times New Roman" w:hAnsi="Times New Roman"/>
          <w:sz w:val="22"/>
          <w:szCs w:val="22"/>
          <w:color w:val="auto"/>
        </w:rPr>
        <w:t>” within the meaning of Rule 501 promulgated under the Securities Act, as amended by Section 413(a) of the Dodd-Frank Wall Street Reform and Consumer Protection Act, and agrees that he or it will not take any action that could have an adverse effect on the availability of the exemption from registration provided by Rule 501 promulgated under the Securities Act with respect to the offer and sale of the Units;</w:t>
      </w:r>
    </w:p>
    <w:p>
      <w:pPr>
        <w:spacing w:after="0" w:line="205" w:lineRule="exact"/>
        <w:rPr>
          <w:sz w:val="20"/>
          <w:szCs w:val="20"/>
          <w:color w:val="auto"/>
        </w:rPr>
      </w:pPr>
    </w:p>
    <w:p>
      <w:pPr>
        <w:ind w:right="80" w:firstLine="1620"/>
        <w:spacing w:after="0" w:line="258" w:lineRule="auto"/>
        <w:tabs>
          <w:tab w:leader="none" w:pos="229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Member’s Units are being acquired for his or its own account solely for investment and not with a view to resale or distribution thereof;</w:t>
      </w:r>
    </w:p>
    <w:p>
      <w:pPr>
        <w:spacing w:after="0" w:line="185" w:lineRule="exact"/>
        <w:rPr>
          <w:rFonts w:ascii="Times New Roman" w:cs="Times New Roman" w:eastAsia="Times New Roman" w:hAnsi="Times New Roman"/>
          <w:sz w:val="22"/>
          <w:szCs w:val="22"/>
          <w:color w:val="auto"/>
        </w:rPr>
      </w:pPr>
    </w:p>
    <w:p>
      <w:pPr>
        <w:ind w:right="140" w:firstLine="1620"/>
        <w:spacing w:after="0" w:line="239" w:lineRule="auto"/>
        <w:tabs>
          <w:tab w:leader="none" w:pos="230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 has conducted his or its own independent review and analysis of the business, operations, assets, liabilities, results of operations, financial condition and prospects of the Company and such Member acknowledges that it has been provided adequate access to the personnel, properties, premises and records of the Company for such purpose;</w:t>
      </w:r>
    </w:p>
    <w:p>
      <w:pPr>
        <w:spacing w:after="0" w:line="207" w:lineRule="exact"/>
        <w:rPr>
          <w:rFonts w:ascii="Times New Roman" w:cs="Times New Roman" w:eastAsia="Times New Roman" w:hAnsi="Times New Roman"/>
          <w:sz w:val="22"/>
          <w:szCs w:val="22"/>
          <w:color w:val="auto"/>
        </w:rPr>
      </w:pPr>
    </w:p>
    <w:p>
      <w:pPr>
        <w:ind w:right="160" w:firstLine="1620"/>
        <w:spacing w:after="0" w:line="239" w:lineRule="auto"/>
        <w:tabs>
          <w:tab w:leader="none" w:pos="228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such Member to acquire Units has been made by such Member independent of any other Member, and neither the Company nor Calavo has made any statements to such Member as to the advisability of such acquisition or as to the business, operations, assets, liabilities, results of operations, financial condition and prospects of the Company;</w:t>
      </w:r>
    </w:p>
    <w:p>
      <w:pPr>
        <w:spacing w:after="0" w:line="207" w:lineRule="exact"/>
        <w:rPr>
          <w:rFonts w:ascii="Times New Roman" w:cs="Times New Roman" w:eastAsia="Times New Roman" w:hAnsi="Times New Roman"/>
          <w:sz w:val="22"/>
          <w:szCs w:val="22"/>
          <w:color w:val="auto"/>
        </w:rPr>
      </w:pPr>
    </w:p>
    <w:p>
      <w:pPr>
        <w:ind w:right="100" w:firstLine="1620"/>
        <w:spacing w:after="0" w:line="244" w:lineRule="auto"/>
        <w:tabs>
          <w:tab w:leader="none" w:pos="232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 has such knowledge and experience in financial and business matters and is capable of evaluating the merits and risks of an investment in the Company and making an informed decision with respect thereto;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55" w:right="939" w:bottom="1440" w:gutter="0" w:footer="0" w:header="0"/>
        </w:sectPr>
      </w:pPr>
    </w:p>
    <w:bookmarkStart w:id="55" w:name="page56"/>
    <w:bookmarkEnd w:id="55"/>
    <w:p>
      <w:pPr>
        <w:ind w:right="80" w:firstLine="1620"/>
        <w:spacing w:after="0" w:line="244" w:lineRule="auto"/>
        <w:tabs>
          <w:tab w:leader="none" w:pos="230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 is able to bear the economic and financial risk of an investment in the Company for an indefinite period of time, is able to bear the economic risk and lack of liquidity of an investment in the Company, and is able to bear the risk of loss of such Member’s entire investment in the Company;</w:t>
      </w:r>
    </w:p>
    <w:p>
      <w:pPr>
        <w:spacing w:after="0" w:line="200" w:lineRule="exact"/>
        <w:rPr>
          <w:rFonts w:ascii="Times New Roman" w:cs="Times New Roman" w:eastAsia="Times New Roman" w:hAnsi="Times New Roman"/>
          <w:sz w:val="22"/>
          <w:szCs w:val="22"/>
          <w:color w:val="auto"/>
        </w:rPr>
      </w:pPr>
    </w:p>
    <w:p>
      <w:pPr>
        <w:jc w:val="both"/>
        <w:ind w:firstLine="1620"/>
        <w:spacing w:after="0" w:line="244" w:lineRule="auto"/>
        <w:tabs>
          <w:tab w:leader="none" w:pos="268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 understands that the operations, financial condition and results of operations of the Company are subject to numerous risks and uncertainties and that there is no guarantee that an investment in the Company will be profitable;</w:t>
      </w:r>
    </w:p>
    <w:p>
      <w:pPr>
        <w:spacing w:after="0" w:line="200" w:lineRule="exact"/>
        <w:rPr>
          <w:rFonts w:ascii="Times New Roman" w:cs="Times New Roman" w:eastAsia="Times New Roman" w:hAnsi="Times New Roman"/>
          <w:sz w:val="22"/>
          <w:szCs w:val="22"/>
          <w:color w:val="auto"/>
        </w:rPr>
      </w:pPr>
    </w:p>
    <w:p>
      <w:pPr>
        <w:ind w:right="60" w:firstLine="1620"/>
        <w:spacing w:after="0" w:line="238" w:lineRule="auto"/>
        <w:tabs>
          <w:tab w:leader="none" w:pos="230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Agreement have been duly authorized by such Member and do not require such Member to obtain any consent or approval that has not been obtained and do not contravene or result in a default in any material respect under any provision of any law or regulation applicable to such Member or other governing documents or any agreement or instrument to which such Member is a party or by which such Member is bound;</w:t>
      </w:r>
    </w:p>
    <w:p>
      <w:pPr>
        <w:spacing w:after="0" w:line="204" w:lineRule="exact"/>
        <w:rPr>
          <w:rFonts w:ascii="Times New Roman" w:cs="Times New Roman" w:eastAsia="Times New Roman" w:hAnsi="Times New Roman"/>
          <w:sz w:val="22"/>
          <w:szCs w:val="22"/>
          <w:color w:val="auto"/>
        </w:rPr>
      </w:pPr>
    </w:p>
    <w:p>
      <w:pPr>
        <w:jc w:val="both"/>
        <w:ind w:firstLine="1620"/>
        <w:spacing w:after="0" w:line="239" w:lineRule="auto"/>
        <w:tabs>
          <w:tab w:leader="none" w:pos="231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issuance of any Units to any Member nor any provision contained herein will entitle the Member to remain in the employment of the Company or affect the right of the Company to terminate the Member’s employment at any time for any reason, other than as otherwise provided in such Member’s employment agreement or other similar agreement with the Company, if applicable; and</w:t>
      </w:r>
    </w:p>
    <w:p>
      <w:pPr>
        <w:spacing w:after="0" w:line="207" w:lineRule="exact"/>
        <w:rPr>
          <w:rFonts w:ascii="Times New Roman" w:cs="Times New Roman" w:eastAsia="Times New Roman" w:hAnsi="Times New Roman"/>
          <w:sz w:val="22"/>
          <w:szCs w:val="22"/>
          <w:color w:val="auto"/>
        </w:rPr>
      </w:pPr>
    </w:p>
    <w:p>
      <w:pPr>
        <w:ind w:right="100" w:firstLine="1620"/>
        <w:spacing w:after="0" w:line="244" w:lineRule="auto"/>
        <w:tabs>
          <w:tab w:leader="none" w:pos="230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Member who is an Initial Service Provider is and has been providing the Company with bona fide services and was permitted to purchase his Initial Units in light of those services and not for any other reason, such as being a customer or supplier of the Company.</w:t>
      </w:r>
    </w:p>
    <w:p>
      <w:pPr>
        <w:spacing w:after="0" w:line="201"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Except as otherwise provided in the Delaware Act, by applicable law or expressly in this Agreement, no Member will be obligated personally for any debt, obligation or liability of the Company or other Members, whether arising in contract, tort or otherwise, including, but not limited to, any loans to the Company from any Member, solely by reason of being a Member. Notwithstanding anything contained herein to the contrary, the failure of the Company to observe any formalities or requirements relating to the exercise of its powers or management of its business and affairs under this Agreement or the Delaware Act shall not be grounds for imposing personal liability on any of the Members for liabilities of the Company.</w:t>
      </w:r>
    </w:p>
    <w:p>
      <w:pPr>
        <w:spacing w:after="0" w:line="211"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Lack of Authority</w:t>
      </w:r>
      <w:r>
        <w:rPr>
          <w:rFonts w:ascii="Times New Roman" w:cs="Times New Roman" w:eastAsia="Times New Roman" w:hAnsi="Times New Roman"/>
          <w:sz w:val="22"/>
          <w:szCs w:val="22"/>
          <w:color w:val="auto"/>
        </w:rPr>
        <w:t>. No Member in its capacity as such has the authority or power to act for or on behalf of the Company in any manner, to do any act that would be (or could be construed as) binding on the Company or to make any expenditures on behalf of the Company, and the Members hereby consent to the exercise by the Board of the powers conferred on it by law and this Agreement.</w:t>
      </w:r>
    </w:p>
    <w:p>
      <w:pPr>
        <w:spacing w:after="0" w:line="208"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Members’ Right to Act</w:t>
      </w:r>
      <w:r>
        <w:rPr>
          <w:rFonts w:ascii="Times New Roman" w:cs="Times New Roman" w:eastAsia="Times New Roman" w:hAnsi="Times New Roman"/>
          <w:sz w:val="22"/>
          <w:szCs w:val="22"/>
          <w:color w:val="auto"/>
        </w:rPr>
        <w:t xml:space="preserve">. For situations for which the approval of the Members (rather than the approval of the Board on behalf of the Members) is required by this Agreement or by applicable law, the Members shall act by Super-Majority Vote through meetings and written consents as described in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The actions by the Members permitted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56" w:name="page57"/>
    <w:bookmarkEnd w:id="56"/>
    <w:p>
      <w:pPr>
        <w:spacing w:after="0" w:line="233" w:lineRule="auto"/>
        <w:rPr>
          <w:sz w:val="20"/>
          <w:szCs w:val="20"/>
          <w:color w:val="auto"/>
        </w:rPr>
      </w:pPr>
      <w:r>
        <w:rPr>
          <w:rFonts w:ascii="Times New Roman" w:cs="Times New Roman" w:eastAsia="Times New Roman" w:hAnsi="Times New Roman"/>
          <w:sz w:val="22"/>
          <w:szCs w:val="22"/>
          <w:color w:val="auto"/>
        </w:rPr>
        <w:t>hereunder may be taken at a meeting called by the Board or Members holding at least fifty percent of the aggregate number of outstanding Units on at least five days’ prior written notice to the other Members, which notice shall state the purpose or purposes for which such meeting is being called. The actions taken by the Members entitled to vote or consent at any meeting (as opposed to by written consent), however called and noticed, shall be as valid as though taken at a meeting duly held after regular call and notice if (but not until), either before, at or after the meeting, the Members entitled to vote or consent as to whom the meeting was improperly held sign a written waiver of notice or a consent to the holding of such meeting or an approval of the minutes thereof. The actions by the Members entitled to vote or consent may be taken by vote of the Members entitled to vote or consent at a meeting, or by written consent (without a meeting) so long as a Super-Majority Vote is obtained. Prompt notice of the action so taken without a meeting shall be given to those Members entitled to vote or consent who have not consented in writing. Any action taken pursuant to such written consent of the Members shall have the same force and effect as if taken by the Members at a meeting thereof.</w:t>
      </w:r>
    </w:p>
    <w:p>
      <w:pPr>
        <w:spacing w:after="0" w:line="213"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No Right of Partition</w:t>
      </w:r>
      <w:r>
        <w:rPr>
          <w:rFonts w:ascii="Times New Roman" w:cs="Times New Roman" w:eastAsia="Times New Roman" w:hAnsi="Times New Roman"/>
          <w:sz w:val="22"/>
          <w:szCs w:val="22"/>
          <w:color w:val="auto"/>
        </w:rPr>
        <w:t>. No Member shall have the right to seek or obtain partition by court decree or operation of law of any Company property, or the right to own or use particular or individual assets of the Company.</w:t>
      </w:r>
    </w:p>
    <w:p>
      <w:pPr>
        <w:spacing w:after="0" w:line="201"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620"/>
        <w:spacing w:after="0" w:line="234" w:lineRule="auto"/>
        <w:tabs>
          <w:tab w:leader="none" w:pos="229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of Directors</w:t>
      </w:r>
      <w:r>
        <w:rPr>
          <w:rFonts w:ascii="Times New Roman" w:cs="Times New Roman" w:eastAsia="Times New Roman" w:hAnsi="Times New Roman"/>
          <w:sz w:val="22"/>
          <w:szCs w:val="22"/>
          <w:color w:val="auto"/>
        </w:rPr>
        <w:t>. Each Person who was or is made a party or is threatened to be made a party to or is otherwise involved in any action, suit or proceeding, whether civil, criminal, administrative or investigative, by reason of the fact that he is or was a Director shall be indemnified and held harmless by the Company to the fullest extent authorized by the Delaware Act, as the same exists or may hereafter be amended (but, in the case of any such amendment, only to the extent that such amendment permits the Delaware Act to provide broader indemnification rights than such law permitted the Delaware Act to provide prior to such amendment), against all expense, liability and loss (including attorneys’ fees, judgments, fines, and amounts paid in settlement) reasonably incurred or suffered by each Person entitled to receive indemnification hereunder (each an “Indemnified Person”) in connection therewith.</w:t>
      </w:r>
    </w:p>
    <w:p>
      <w:pPr>
        <w:spacing w:after="0" w:line="211" w:lineRule="exact"/>
        <w:rPr>
          <w:rFonts w:ascii="Times New Roman" w:cs="Times New Roman" w:eastAsia="Times New Roman" w:hAnsi="Times New Roman"/>
          <w:sz w:val="22"/>
          <w:szCs w:val="22"/>
          <w:color w:val="auto"/>
        </w:rPr>
      </w:pPr>
    </w:p>
    <w:p>
      <w:pPr>
        <w:ind w:right="20" w:firstLine="1620"/>
        <w:spacing w:after="0" w:line="235" w:lineRule="auto"/>
        <w:tabs>
          <w:tab w:leader="none" w:pos="230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Advancement of Expenses</w:t>
      </w:r>
      <w:r>
        <w:rPr>
          <w:rFonts w:ascii="Times New Roman" w:cs="Times New Roman" w:eastAsia="Times New Roman" w:hAnsi="Times New Roman"/>
          <w:sz w:val="22"/>
          <w:szCs w:val="22"/>
          <w:color w:val="auto"/>
        </w:rPr>
        <w:t xml:space="preserve">. The rights to indemnification conferred in Section 4.8(a) shall include the right to be paid by the Company the expenses (including attorneys’ fees) incurred in defending any such proceeding in advance of its final disposition. The rights to indemnification and to the advancement of expenses conferred in </w:t>
      </w:r>
      <w:r>
        <w:rPr>
          <w:rFonts w:ascii="Times New Roman" w:cs="Times New Roman" w:eastAsia="Times New Roman" w:hAnsi="Times New Roman"/>
          <w:sz w:val="22"/>
          <w:szCs w:val="22"/>
          <w:u w:val="single" w:color="auto"/>
          <w:color w:val="auto"/>
        </w:rPr>
        <w:t>Sections 4.8(a)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4.8(b)</w:t>
      </w:r>
      <w:r>
        <w:rPr>
          <w:rFonts w:ascii="Times New Roman" w:cs="Times New Roman" w:eastAsia="Times New Roman" w:hAnsi="Times New Roman"/>
          <w:sz w:val="22"/>
          <w:szCs w:val="22"/>
          <w:color w:val="auto"/>
        </w:rPr>
        <w:t xml:space="preserve"> shall be contract rights and such rights shall continue as to an Indemnified Person who has ceased to be a Director and shall inure to the benefit of the Indemnified Person’s heirs, executors, administrators, successors and assigns. Any repeal or modification of any of the provisions of this Section 4.8 shall not adversely affect any right or protection of an Indemnified Person existing at the time of such repeal or modification.</w:t>
      </w:r>
    </w:p>
    <w:p>
      <w:pPr>
        <w:spacing w:after="0" w:line="206" w:lineRule="exact"/>
        <w:rPr>
          <w:rFonts w:ascii="Times New Roman" w:cs="Times New Roman" w:eastAsia="Times New Roman" w:hAnsi="Times New Roman"/>
          <w:sz w:val="22"/>
          <w:szCs w:val="22"/>
          <w:color w:val="auto"/>
        </w:rPr>
      </w:pPr>
    </w:p>
    <w:p>
      <w:pPr>
        <w:jc w:val="both"/>
        <w:ind w:right="140" w:firstLine="1620"/>
        <w:spacing w:after="0" w:line="239" w:lineRule="auto"/>
        <w:tabs>
          <w:tab w:leader="none" w:pos="229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of Service Providers</w:t>
      </w:r>
      <w:r>
        <w:rPr>
          <w:rFonts w:ascii="Times New Roman" w:cs="Times New Roman" w:eastAsia="Times New Roman" w:hAnsi="Times New Roman"/>
          <w:sz w:val="22"/>
          <w:szCs w:val="22"/>
          <w:color w:val="auto"/>
        </w:rPr>
        <w:t xml:space="preserve">. The Company may, to the extent authorized from time to time by the Board, grant rights of indemnification and advancement of expenses to any Service Provider or other Persons, including any Member, to the fullest extent of the provisions of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with respect to the indemnification and advancement of expenses of Directors.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57" w:name="page58"/>
    <w:bookmarkEnd w:id="57"/>
    <w:p>
      <w:pPr>
        <w:ind w:right="200" w:firstLine="1620"/>
        <w:spacing w:after="0" w:line="244" w:lineRule="auto"/>
        <w:tabs>
          <w:tab w:leader="none" w:pos="230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 to indemnification and the advancement of expenses conferred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4.8</w:t>
      </w:r>
      <w:r>
        <w:rPr>
          <w:rFonts w:ascii="Times New Roman" w:cs="Times New Roman" w:eastAsia="Times New Roman" w:hAnsi="Times New Roman"/>
          <w:sz w:val="22"/>
          <w:szCs w:val="22"/>
          <w:color w:val="auto"/>
        </w:rPr>
        <w:t xml:space="preserve"> shall not be exclusive of any other right which any Person may have or hereafter acquire under any statute, agreement, law, vote of the Board or otherwise.</w:t>
      </w:r>
    </w:p>
    <w:p>
      <w:pPr>
        <w:spacing w:after="0" w:line="200" w:lineRule="exact"/>
        <w:rPr>
          <w:rFonts w:ascii="Times New Roman" w:cs="Times New Roman" w:eastAsia="Times New Roman" w:hAnsi="Times New Roman"/>
          <w:sz w:val="22"/>
          <w:szCs w:val="22"/>
          <w:color w:val="auto"/>
        </w:rPr>
      </w:pPr>
    </w:p>
    <w:p>
      <w:pPr>
        <w:ind w:right="60" w:firstLine="1620"/>
        <w:spacing w:after="0" w:line="239" w:lineRule="auto"/>
        <w:tabs>
          <w:tab w:leader="none" w:pos="228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may determine to have the Company maintain insurance, at the Company’s expense, to protect any Person against any expense, liability or loss relating to the Company or its business whether or not the Company would have the power to indemnify such Person against such expense, liability or loss under the provisions of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ind w:firstLine="1620"/>
        <w:spacing w:after="0" w:line="249" w:lineRule="auto"/>
        <w:tabs>
          <w:tab w:leader="none" w:pos="232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contained herein to the contrary (including in this </w:t>
      </w:r>
      <w:r>
        <w:rPr>
          <w:rFonts w:ascii="Times New Roman" w:cs="Times New Roman" w:eastAsia="Times New Roman" w:hAnsi="Times New Roman"/>
          <w:sz w:val="21"/>
          <w:szCs w:val="21"/>
          <w:u w:val="single" w:color="auto"/>
          <w:color w:val="auto"/>
        </w:rPr>
        <w:t>Section 4.8)</w:t>
      </w:r>
      <w:r>
        <w:rPr>
          <w:rFonts w:ascii="Times New Roman" w:cs="Times New Roman" w:eastAsia="Times New Roman" w:hAnsi="Times New Roman"/>
          <w:sz w:val="21"/>
          <w:szCs w:val="21"/>
          <w:color w:val="auto"/>
        </w:rPr>
        <w:t xml:space="preserve">, any indemnity by the Company relating to the matters covered in this </w:t>
      </w:r>
      <w:r>
        <w:rPr>
          <w:rFonts w:ascii="Times New Roman" w:cs="Times New Roman" w:eastAsia="Times New Roman" w:hAnsi="Times New Roman"/>
          <w:sz w:val="21"/>
          <w:szCs w:val="21"/>
          <w:u w:val="single" w:color="auto"/>
          <w:color w:val="auto"/>
        </w:rPr>
        <w:t>Section 4.8</w:t>
      </w:r>
      <w:r>
        <w:rPr>
          <w:rFonts w:ascii="Times New Roman" w:cs="Times New Roman" w:eastAsia="Times New Roman" w:hAnsi="Times New Roman"/>
          <w:sz w:val="21"/>
          <w:szCs w:val="21"/>
          <w:color w:val="auto"/>
        </w:rPr>
        <w:t xml:space="preserve"> shall be provided out of and to the extent of Company assets only and neither the Board nor any other Member (unless such Member otherwise agrees in writing or is found in a final decision by a court of competent jurisdiction to have personal liability on account thereof) shall have personal liability on account thereof or shall be required to make additional Capital Contributions to help satisfy such indemnity of the Company (except as expressly provided herein).</w:t>
      </w:r>
    </w:p>
    <w:p>
      <w:pPr>
        <w:spacing w:after="0" w:line="198" w:lineRule="exact"/>
        <w:rPr>
          <w:rFonts w:ascii="Times New Roman" w:cs="Times New Roman" w:eastAsia="Times New Roman" w:hAnsi="Times New Roman"/>
          <w:sz w:val="21"/>
          <w:szCs w:val="21"/>
          <w:color w:val="auto"/>
        </w:rPr>
      </w:pPr>
    </w:p>
    <w:p>
      <w:pPr>
        <w:ind w:right="60" w:firstLine="1620"/>
        <w:spacing w:after="0" w:line="239" w:lineRule="auto"/>
        <w:tabs>
          <w:tab w:leader="none" w:pos="230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Savings Clause</w:t>
      </w:r>
      <w:r>
        <w:rPr>
          <w:rFonts w:ascii="Times New Roman" w:cs="Times New Roman" w:eastAsia="Times New Roman" w:hAnsi="Times New Roman"/>
          <w:sz w:val="22"/>
          <w:szCs w:val="22"/>
          <w:color w:val="auto"/>
        </w:rPr>
        <w:t xml:space="preserve">. If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or any portion hereof shall be invalidated on any ground by any court of competent jurisdiction, then the Company shall nevertheless indemnify and hold harmless each Indemnified Person and other Person authorized by the Board to be indemnified pursuant to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to the fullest extent required by any applicable portion of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that shall not have been invalidated.</w:t>
      </w:r>
    </w:p>
    <w:p>
      <w:pPr>
        <w:spacing w:after="0" w:line="207" w:lineRule="exact"/>
        <w:rPr>
          <w:rFonts w:ascii="Times New Roman" w:cs="Times New Roman" w:eastAsia="Times New Roman" w:hAnsi="Times New Roman"/>
          <w:sz w:val="22"/>
          <w:szCs w:val="22"/>
          <w:color w:val="auto"/>
        </w:rPr>
      </w:pPr>
    </w:p>
    <w:p>
      <w:pPr>
        <w:ind w:right="420" w:firstLine="1620"/>
        <w:spacing w:after="0" w:line="258" w:lineRule="auto"/>
        <w:tabs>
          <w:tab w:leader="none" w:pos="230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Survival. The provisions of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shall survive the dissolution, liquidation, winding up and termination of the Company.</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8720" w:type="dxa"/>
            <w:vAlign w:val="bottom"/>
          </w:tcPr>
          <w:p>
            <w:pPr>
              <w:jc w:val="center"/>
              <w:ind w:right="1152"/>
              <w:spacing w:after="0"/>
              <w:rPr>
                <w:sz w:val="20"/>
                <w:szCs w:val="20"/>
                <w:color w:val="auto"/>
              </w:rPr>
            </w:pPr>
            <w:r>
              <w:rPr>
                <w:rFonts w:ascii="Times New Roman" w:cs="Times New Roman" w:eastAsia="Times New Roman" w:hAnsi="Times New Roman"/>
                <w:sz w:val="22"/>
                <w:szCs w:val="22"/>
                <w:b w:val="1"/>
                <w:bCs w:val="1"/>
                <w:color w:val="auto"/>
                <w:w w:val="96"/>
              </w:rPr>
              <w:t>ARTICLE V</w:t>
            </w:r>
          </w:p>
        </w:tc>
      </w:tr>
      <w:tr>
        <w:trPr>
          <w:trHeight w:val="287"/>
        </w:trPr>
        <w:tc>
          <w:tcPr>
            <w:tcW w:w="660" w:type="dxa"/>
            <w:vAlign w:val="bottom"/>
          </w:tcPr>
          <w:p>
            <w:pPr>
              <w:spacing w:after="0"/>
              <w:rPr>
                <w:sz w:val="24"/>
                <w:szCs w:val="24"/>
                <w:color w:val="auto"/>
              </w:rPr>
            </w:pPr>
          </w:p>
        </w:tc>
        <w:tc>
          <w:tcPr>
            <w:tcW w:w="8720" w:type="dxa"/>
            <w:vAlign w:val="bottom"/>
          </w:tcPr>
          <w:p>
            <w:pPr>
              <w:jc w:val="center"/>
              <w:ind w:right="1132"/>
              <w:spacing w:after="0"/>
              <w:rPr>
                <w:sz w:val="20"/>
                <w:szCs w:val="20"/>
                <w:color w:val="auto"/>
              </w:rPr>
            </w:pPr>
            <w:r>
              <w:rPr>
                <w:rFonts w:ascii="Times New Roman" w:cs="Times New Roman" w:eastAsia="Times New Roman" w:hAnsi="Times New Roman"/>
                <w:sz w:val="22"/>
                <w:szCs w:val="22"/>
                <w:b w:val="1"/>
                <w:bCs w:val="1"/>
                <w:u w:val="single" w:color="auto"/>
                <w:color w:val="auto"/>
                <w:w w:val="97"/>
              </w:rPr>
              <w:t>CAPITAL CONTRIBUTIONS</w:t>
            </w:r>
          </w:p>
        </w:tc>
      </w:tr>
      <w:tr>
        <w:trPr>
          <w:trHeight w:val="471"/>
        </w:trPr>
        <w:tc>
          <w:tcPr>
            <w:tcW w:w="6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4"/>
              </w:rPr>
              <w:t>5.1</w:t>
            </w:r>
          </w:p>
        </w:tc>
        <w:tc>
          <w:tcPr>
            <w:tcW w:w="8720" w:type="dxa"/>
            <w:vAlign w:val="bottom"/>
          </w:tcPr>
          <w:p>
            <w:pPr>
              <w:ind w:left="380"/>
              <w:spacing w:after="0"/>
              <w:rPr>
                <w:sz w:val="20"/>
                <w:szCs w:val="20"/>
                <w:color w:val="auto"/>
              </w:rPr>
            </w:pPr>
            <w:r>
              <w:rPr>
                <w:rFonts w:ascii="Times New Roman" w:cs="Times New Roman" w:eastAsia="Times New Roman" w:hAnsi="Times New Roman"/>
                <w:sz w:val="22"/>
                <w:szCs w:val="22"/>
                <w:u w:val="single" w:color="auto"/>
                <w:color w:val="auto"/>
                <w:w w:val="98"/>
              </w:rPr>
              <w:t>Initial Cash Capital Contributions</w:t>
            </w:r>
            <w:r>
              <w:rPr>
                <w:rFonts w:ascii="Times New Roman" w:cs="Times New Roman" w:eastAsia="Times New Roman" w:hAnsi="Times New Roman"/>
                <w:sz w:val="22"/>
                <w:szCs w:val="22"/>
                <w:color w:val="auto"/>
                <w:w w:val="98"/>
              </w:rPr>
              <w:t>. Each Member has made a Capital Contribution in cash to the</w:t>
            </w:r>
          </w:p>
        </w:tc>
      </w:tr>
    </w:tbl>
    <w:p>
      <w:pPr>
        <w:ind w:right="20"/>
        <w:spacing w:after="0" w:line="233" w:lineRule="auto"/>
        <w:rPr>
          <w:sz w:val="20"/>
          <w:szCs w:val="20"/>
          <w:color w:val="auto"/>
        </w:rPr>
      </w:pPr>
      <w:r>
        <w:rPr>
          <w:rFonts w:ascii="Times New Roman" w:cs="Times New Roman" w:eastAsia="Times New Roman" w:hAnsi="Times New Roman"/>
          <w:sz w:val="22"/>
          <w:szCs w:val="22"/>
          <w:color w:val="auto"/>
        </w:rPr>
        <w:t>Company in the amount set forth opposite such Member’s name on the Schedule of Members or, as to an Initial Service Provider, in the amount set forth in such Initial Service Provider’s Unit notice, and has received or shall receive Units with respect to each such Member’s Capital Contribution, as set forth on the Schedule of Members (as such Schedule may be amended by the Board to reflect any additional issuances of Units after the Effective Date) or, as to an Initial Service Provider, as set forth in such Initial Service Provider’s Unit notice.</w:t>
      </w:r>
    </w:p>
    <w:p>
      <w:pPr>
        <w:spacing w:after="0" w:line="207" w:lineRule="exact"/>
        <w:rPr>
          <w:sz w:val="20"/>
          <w:szCs w:val="20"/>
          <w:color w:val="auto"/>
        </w:rPr>
      </w:pPr>
    </w:p>
    <w:p>
      <w:pPr>
        <w:ind w:right="180" w:firstLine="648"/>
        <w:spacing w:after="0" w:line="249"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Additional Capital Contributions</w:t>
      </w:r>
      <w:r>
        <w:rPr>
          <w:rFonts w:ascii="Times New Roman" w:cs="Times New Roman" w:eastAsia="Times New Roman" w:hAnsi="Times New Roman"/>
          <w:sz w:val="21"/>
          <w:szCs w:val="21"/>
          <w:color w:val="auto"/>
        </w:rPr>
        <w:t xml:space="preserve">. No Member shall make any additional Capital Contributions to the Company unless agreed to by the Board. If at any time, or from time to time, the Board determines the Company has inadequate capital to accomplish its business objectives and goals, the Board may in its sole discretion issue and sell Equity Securities, from time to time, as contemplated in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to existing Members or to third parties, and any such third party may be admitted to the Company as an Additional Member with a new class of Units, as applicable, in accordance with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and the individual ownership interest in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58" w:name="page59"/>
    <w:bookmarkEnd w:id="58"/>
    <w:p>
      <w:pPr>
        <w:ind w:right="180"/>
        <w:spacing w:after="0" w:line="258" w:lineRule="auto"/>
        <w:rPr>
          <w:sz w:val="20"/>
          <w:szCs w:val="20"/>
          <w:color w:val="auto"/>
        </w:rPr>
      </w:pPr>
      <w:r>
        <w:rPr>
          <w:rFonts w:ascii="Times New Roman" w:cs="Times New Roman" w:eastAsia="Times New Roman" w:hAnsi="Times New Roman"/>
          <w:sz w:val="22"/>
          <w:szCs w:val="22"/>
          <w:color w:val="auto"/>
        </w:rPr>
        <w:t>Company of each of the Members shall be reduced, as applicable, on a pro rata basis to accommodate any dilutive effect.</w:t>
      </w:r>
    </w:p>
    <w:p>
      <w:pPr>
        <w:spacing w:after="0" w:line="185"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Capital Accounts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0" w:firstLine="1620"/>
        <w:spacing w:after="0" w:line="234" w:lineRule="auto"/>
        <w:tabs>
          <w:tab w:leader="none" w:pos="229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Separate Capital Accounts. The Company shall maintain a separate Capital Account for each Member according to the rules of Treasury Regulation Section 1.704-1(b)(2)(iv). In accordance with such Treasury Regulation, the Capital Account of each Member shall be (i) increased by any Capital Contributions made by such Member and such Member’s share of items of income and gain allocated to such Member pursuant to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and (ii) decreased by such Member’s share of items of loss, deduction and expense allocated to such Member pursuant to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and any Distributions to such Member of cash or the Fair Market Value of any other property distributed to such Member. The Company may (in the sole discretion of the Board), upon the occurrence of the events specified in Treasury Regulation Section 1.704-(b)(2)(iv)(f), increase or decrease the Capital Accounts in accordance with the rules of such regulation and Treasury Regulation Section 1.704-1(b)(2)(iv)(g) to reflect a revaluation of Company property.</w:t>
      </w:r>
    </w:p>
    <w:p>
      <w:pPr>
        <w:spacing w:after="0" w:line="207" w:lineRule="exact"/>
        <w:rPr>
          <w:rFonts w:ascii="Times New Roman" w:cs="Times New Roman" w:eastAsia="Times New Roman" w:hAnsi="Times New Roman"/>
          <w:sz w:val="22"/>
          <w:szCs w:val="22"/>
          <w:color w:val="auto"/>
        </w:rPr>
      </w:pPr>
    </w:p>
    <w:p>
      <w:pPr>
        <w:ind w:firstLine="1620"/>
        <w:spacing w:after="0" w:line="235" w:lineRule="auto"/>
        <w:tabs>
          <w:tab w:leader="none" w:pos="230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to Capital Accounts</w:t>
      </w:r>
      <w:r>
        <w:rPr>
          <w:rFonts w:ascii="Times New Roman" w:cs="Times New Roman" w:eastAsia="Times New Roman" w:hAnsi="Times New Roman"/>
          <w:sz w:val="22"/>
          <w:szCs w:val="22"/>
          <w:color w:val="auto"/>
        </w:rPr>
        <w:t>. The combined Capital Accounts of the Members were adjusted immediately prior to the Capital Contributions of Impermanence and the Co-Packers and the issuance of Units to Impermanence adjusted to an aggregate value of $40,000,000. The Company and the Members believe that such adjustment was in error and that it was contrary to the intent of the future modification in the allocations of Net Income and Net Loss that are provided for in this Agreement. Accordingly the adjustment is cancelled as if it never occurred and the Capital Accounts of the Members shall be restored to their prior levels as subsequently adjusted by the allocation of Net Income and Net Loss and Distributions under the Original Agreement and thereafter under the provisions of this Agreement as of its Effective Date.</w:t>
      </w:r>
    </w:p>
    <w:p>
      <w:pPr>
        <w:spacing w:after="0" w:line="206" w:lineRule="exact"/>
        <w:rPr>
          <w:sz w:val="20"/>
          <w:szCs w:val="20"/>
          <w:color w:val="auto"/>
        </w:rPr>
      </w:pPr>
    </w:p>
    <w:p>
      <w:pPr>
        <w:ind w:right="4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Negative Capital Accounts</w:t>
      </w:r>
      <w:r>
        <w:rPr>
          <w:rFonts w:ascii="Times New Roman" w:cs="Times New Roman" w:eastAsia="Times New Roman" w:hAnsi="Times New Roman"/>
          <w:sz w:val="22"/>
          <w:szCs w:val="22"/>
          <w:color w:val="auto"/>
        </w:rPr>
        <w:t>. No Member shall be required to pay to any other Member or the Company any deficit or negative balance that may exist from time to time in such Member’s Capital Account (including upon and after dissolution of the Company).</w:t>
      </w:r>
    </w:p>
    <w:p>
      <w:pPr>
        <w:spacing w:after="0" w:line="201" w:lineRule="exact"/>
        <w:rPr>
          <w:sz w:val="20"/>
          <w:szCs w:val="20"/>
          <w:color w:val="auto"/>
        </w:rPr>
      </w:pPr>
    </w:p>
    <w:p>
      <w:pPr>
        <w:ind w:right="3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No Withdrawal</w:t>
      </w:r>
      <w:r>
        <w:rPr>
          <w:rFonts w:ascii="Times New Roman" w:cs="Times New Roman" w:eastAsia="Times New Roman" w:hAnsi="Times New Roman"/>
          <w:sz w:val="22"/>
          <w:szCs w:val="22"/>
          <w:color w:val="auto"/>
        </w:rPr>
        <w:t>. No Person shall be entitled to withdraw any part of such Person’s Capital Contributions or Capital Account or to receive any Distribution from the Company, except as expressly provided herein.</w:t>
      </w:r>
    </w:p>
    <w:p>
      <w:pPr>
        <w:spacing w:after="0" w:line="201"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Loans from Members</w:t>
      </w:r>
      <w:r>
        <w:rPr>
          <w:rFonts w:ascii="Times New Roman" w:cs="Times New Roman" w:eastAsia="Times New Roman" w:hAnsi="Times New Roman"/>
          <w:sz w:val="22"/>
          <w:szCs w:val="22"/>
          <w:color w:val="auto"/>
        </w:rPr>
        <w:t>. The Board is authorized to permit loans from Members to the Company on such terms as it determines are appropriate. Loans by Members to the Company shall not be considered Capital Contributions. If any Member shall loan funds to the Company in excess of the amounts required hereunder to be contributed by such Member to the capital of the Company, the making of such loans shall not result in any increase in the amount of the Capital Account of such Member. The amount of any such loans shall be a debt of the Company to such Member and shall be payable or collectible in accordance with the terms and conditions upon which such loans are made.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59" w:name="page60"/>
    <w:bookmarkEnd w:id="59"/>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u w:val="single" w:color="auto"/>
          <w:color w:val="auto"/>
        </w:rPr>
        <w:t>Distributions In-Kind</w:t>
      </w:r>
      <w:r>
        <w:rPr>
          <w:rFonts w:ascii="Times New Roman" w:cs="Times New Roman" w:eastAsia="Times New Roman" w:hAnsi="Times New Roman"/>
          <w:sz w:val="21"/>
          <w:szCs w:val="21"/>
          <w:color w:val="auto"/>
        </w:rPr>
        <w:t>. To the extent that the Company distributes property in- kind to the</w:t>
      </w:r>
    </w:p>
    <w:p>
      <w:pPr>
        <w:spacing w:after="0" w:line="1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Members, the Company shall be treated as making a distribution equal to the Fair Market Value of such property for purposes of Section 6.1 and such property shall be treated as if it were sold for an amount equal to its Fair Market Value (or such other amount as is required to be used by the Code or applicable Treasury Regulation) and any resulting gain or loss shall be allocated to the Members’ Capital Accounts in accordance with Sections 6.3 through 6.5.</w:t>
      </w:r>
    </w:p>
    <w:p>
      <w:pPr>
        <w:spacing w:after="0" w:line="20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Transfer of Units</w:t>
      </w:r>
      <w:r>
        <w:rPr>
          <w:rFonts w:ascii="Times New Roman" w:cs="Times New Roman" w:eastAsia="Times New Roman" w:hAnsi="Times New Roman"/>
          <w:sz w:val="22"/>
          <w:szCs w:val="22"/>
          <w:color w:val="auto"/>
        </w:rPr>
        <w:t>. In the event of a Transfer of one or more Units pursuant to Article XI, the Transferee shall succeed to the Transferor’s Capital Account with respect to such transferred Unit or Units, pursuant to Treasury Regulation Section 1.704-1(b)(2)(iv)(1).</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DISTRIBUTIONS AND ALLOCATIONS</w:t>
      </w:r>
    </w:p>
    <w:p>
      <w:pPr>
        <w:spacing w:after="0" w:line="209"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Distributions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140" w:firstLine="1620"/>
        <w:spacing w:after="0" w:line="234" w:lineRule="auto"/>
        <w:tabs>
          <w:tab w:leader="none" w:pos="22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Subject to the limitation set forth in the last sentence of this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6.1(d)</w:t>
      </w:r>
      <w:r>
        <w:rPr>
          <w:rFonts w:ascii="Times New Roman" w:cs="Times New Roman" w:eastAsia="Times New Roman" w:hAnsi="Times New Roman"/>
          <w:sz w:val="22"/>
          <w:szCs w:val="22"/>
          <w:color w:val="auto"/>
        </w:rPr>
        <w:t>, the Board shall have sole discretion regarding the amounts and timing of Distributions to Members, including to decide to forego payment of Distributions in order to provide for the retention and establishment of reserves of, or payment to third parties of, such funds as it deems necessary with respect to the reasonable business needs of the Company (which needs may include the payment or the making of provision for the payment when due of the Company’s obligations, including, but not limited to, present and anticipated debts and obligations, capital needs and expenses, the payment of any management or administrative fees and expenses, and reasonable reserves for contingencies). Notwithstanding any provision to the contrary contained in this Agreement, the Company shall not make any Distribution to Members if such Distribution would violate § 18-607 of the Delaware Act or other applicable law.</w:t>
      </w:r>
    </w:p>
    <w:p>
      <w:pPr>
        <w:spacing w:after="0" w:line="207" w:lineRule="exact"/>
        <w:rPr>
          <w:rFonts w:ascii="Times New Roman" w:cs="Times New Roman" w:eastAsia="Times New Roman" w:hAnsi="Times New Roman"/>
          <w:sz w:val="22"/>
          <w:szCs w:val="22"/>
          <w:color w:val="auto"/>
        </w:rPr>
      </w:pPr>
    </w:p>
    <w:p>
      <w:pPr>
        <w:ind w:right="40" w:firstLine="1620"/>
        <w:spacing w:after="0" w:line="247" w:lineRule="auto"/>
        <w:tabs>
          <w:tab w:leader="none" w:pos="230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Priority of Distributions</w:t>
      </w:r>
      <w:r>
        <w:rPr>
          <w:rFonts w:ascii="Times New Roman" w:cs="Times New Roman" w:eastAsia="Times New Roman" w:hAnsi="Times New Roman"/>
          <w:sz w:val="21"/>
          <w:szCs w:val="21"/>
          <w:color w:val="auto"/>
        </w:rPr>
        <w:t xml:space="preserve">. After making all Distributions required for a given Fiscal Year under </w:t>
      </w:r>
      <w:r>
        <w:rPr>
          <w:rFonts w:ascii="Times New Roman" w:cs="Times New Roman" w:eastAsia="Times New Roman" w:hAnsi="Times New Roman"/>
          <w:sz w:val="21"/>
          <w:szCs w:val="21"/>
          <w:u w:val="single" w:color="auto"/>
          <w:color w:val="auto"/>
        </w:rPr>
        <w:t>Section 6.1(c)</w:t>
      </w:r>
      <w:r>
        <w:rPr>
          <w:rFonts w:ascii="Times New Roman" w:cs="Times New Roman" w:eastAsia="Times New Roman" w:hAnsi="Times New Roman"/>
          <w:sz w:val="21"/>
          <w:szCs w:val="21"/>
          <w:color w:val="auto"/>
        </w:rPr>
        <w:t xml:space="preserve">, and subject to the provision for liquidation Distributions under </w:t>
      </w:r>
      <w:r>
        <w:rPr>
          <w:rFonts w:ascii="Times New Roman" w:cs="Times New Roman" w:eastAsia="Times New Roman" w:hAnsi="Times New Roman"/>
          <w:sz w:val="21"/>
          <w:szCs w:val="21"/>
          <w:u w:val="single" w:color="auto"/>
          <w:color w:val="auto"/>
        </w:rPr>
        <w:t>Section 13.2</w:t>
      </w:r>
      <w:r>
        <w:rPr>
          <w:rFonts w:ascii="Times New Roman" w:cs="Times New Roman" w:eastAsia="Times New Roman" w:hAnsi="Times New Roman"/>
          <w:sz w:val="21"/>
          <w:szCs w:val="21"/>
          <w:color w:val="auto"/>
        </w:rPr>
        <w:t xml:space="preserve">, all Distributions determined to be made by the Board pursuant to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shall be made to the Members pro rata, pari passu in accordance with their respective Percentage Interests, provided, however, that (i) Profits Interest Units shall be excluded in determining Percentage Interests unless the terms and conditions of their particular Award Agreement have been met for treatment as Units entitled to Distributions and (ii) that each Member who is an Initial Service Provider authorizes and directs the Company to first apply any and all Distributions (other than Tax Advances) to such Member against such Member’s Promissory Note until the Promissory Note is paid in full.</w:t>
      </w:r>
    </w:p>
    <w:p>
      <w:pPr>
        <w:spacing w:after="0" w:line="199" w:lineRule="exact"/>
        <w:rPr>
          <w:rFonts w:ascii="Times New Roman" w:cs="Times New Roman" w:eastAsia="Times New Roman" w:hAnsi="Times New Roman"/>
          <w:sz w:val="21"/>
          <w:szCs w:val="21"/>
          <w:color w:val="auto"/>
        </w:rPr>
      </w:pPr>
    </w:p>
    <w:p>
      <w:pPr>
        <w:ind w:right="40" w:firstLine="1620"/>
        <w:spacing w:after="0" w:line="236" w:lineRule="auto"/>
        <w:tabs>
          <w:tab w:leader="none" w:pos="22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Advances</w:t>
      </w:r>
      <w:r>
        <w:rPr>
          <w:rFonts w:ascii="Times New Roman" w:cs="Times New Roman" w:eastAsia="Times New Roman" w:hAnsi="Times New Roman"/>
          <w:sz w:val="22"/>
          <w:szCs w:val="22"/>
          <w:color w:val="auto"/>
        </w:rPr>
        <w:t>. To the extent funds of the Company are available for distribution by the Company (as determined by the Board in its sole discretion), the Board shall cause the Company to distribute to the Members with respect to each Fiscal Quarter an amount of cash (a “</w:t>
      </w:r>
      <w:r>
        <w:rPr>
          <w:rFonts w:ascii="Times New Roman" w:cs="Times New Roman" w:eastAsia="Times New Roman" w:hAnsi="Times New Roman"/>
          <w:sz w:val="22"/>
          <w:szCs w:val="22"/>
          <w:u w:val="single" w:color="auto"/>
          <w:color w:val="auto"/>
        </w:rPr>
        <w:t>Tax Advance</w:t>
      </w:r>
      <w:r>
        <w:rPr>
          <w:rFonts w:ascii="Times New Roman" w:cs="Times New Roman" w:eastAsia="Times New Roman" w:hAnsi="Times New Roman"/>
          <w:sz w:val="22"/>
          <w:szCs w:val="22"/>
          <w:color w:val="auto"/>
        </w:rPr>
        <w:t>”) which in the good faith judgment of the Board equals (i) the amount of net taxable income (adjusted, as determined by the Board, to take account of such net taxable losses of the Company (appropriately to be taken tnto account under the method of allocation of Net Income and Net Loss provided in this Agreement) allocable to the Members in prior periods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55" w:right="9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1"/>
          <w:szCs w:val="21"/>
          <w:color w:val="auto"/>
        </w:rPr>
        <w:t>that have not previously been taken into account for this purpose) of the Company allocable to the Members as Net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Income under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in respect of such Fiscal Quarter, multiplied by (ii) the combined maximum U.S. federal,</w:t>
      </w:r>
    </w:p>
    <w:p>
      <w:pPr>
        <w:spacing w:after="0" w:line="232" w:lineRule="auto"/>
        <w:rPr>
          <w:sz w:val="20"/>
          <w:szCs w:val="20"/>
          <w:color w:val="auto"/>
        </w:rPr>
      </w:pPr>
      <w:r>
        <w:rPr>
          <w:rFonts w:ascii="Times New Roman" w:cs="Times New Roman" w:eastAsia="Times New Roman" w:hAnsi="Times New Roman"/>
          <w:sz w:val="22"/>
          <w:szCs w:val="22"/>
          <w:color w:val="auto"/>
        </w:rPr>
        <w:t>state, and local income tax rate to be applied with respect to such taxable income (calculated by using the highest</w:t>
      </w:r>
    </w:p>
    <w:p>
      <w:pPr>
        <w:spacing w:after="0" w:line="230" w:lineRule="auto"/>
        <w:rPr>
          <w:sz w:val="20"/>
          <w:szCs w:val="20"/>
          <w:color w:val="auto"/>
        </w:rPr>
      </w:pPr>
      <w:r>
        <w:rPr>
          <w:rFonts w:ascii="Times New Roman" w:cs="Times New Roman" w:eastAsia="Times New Roman" w:hAnsi="Times New Roman"/>
          <w:sz w:val="22"/>
          <w:szCs w:val="22"/>
          <w:color w:val="auto"/>
        </w:rPr>
        <w:t>maximum combined marginal U.S. federal, state and local income tax rates determined by the Board to be</w:t>
      </w:r>
    </w:p>
    <w:p>
      <w:pPr>
        <w:spacing w:after="0" w:line="231" w:lineRule="auto"/>
        <w:rPr>
          <w:sz w:val="20"/>
          <w:szCs w:val="20"/>
          <w:color w:val="auto"/>
        </w:rPr>
      </w:pPr>
      <w:r>
        <w:rPr>
          <w:rFonts w:ascii="Times New Roman" w:cs="Times New Roman" w:eastAsia="Times New Roman" w:hAnsi="Times New Roman"/>
          <w:sz w:val="22"/>
          <w:szCs w:val="22"/>
          <w:color w:val="auto"/>
        </w:rPr>
        <w:t>appropriate and taking into account the character of such taxable income and the deductibility of state income tax</w:t>
      </w:r>
    </w:p>
    <w:p>
      <w:pPr>
        <w:spacing w:after="0" w:line="231" w:lineRule="auto"/>
        <w:rPr>
          <w:sz w:val="20"/>
          <w:szCs w:val="20"/>
          <w:color w:val="auto"/>
        </w:rPr>
      </w:pPr>
      <w:r>
        <w:rPr>
          <w:rFonts w:ascii="Times New Roman" w:cs="Times New Roman" w:eastAsia="Times New Roman" w:hAnsi="Times New Roman"/>
          <w:sz w:val="22"/>
          <w:szCs w:val="22"/>
          <w:color w:val="auto"/>
        </w:rPr>
        <w:t>for federal income tax purposes) for such Fiscal Quarter (making an appropriate adjustment for any rate changes</w:t>
      </w:r>
    </w:p>
    <w:p>
      <w:pPr>
        <w:spacing w:after="0" w:line="230" w:lineRule="auto"/>
        <w:rPr>
          <w:sz w:val="20"/>
          <w:szCs w:val="20"/>
          <w:color w:val="auto"/>
        </w:rPr>
      </w:pPr>
      <w:r>
        <w:rPr>
          <w:rFonts w:ascii="Times New Roman" w:cs="Times New Roman" w:eastAsia="Times New Roman" w:hAnsi="Times New Roman"/>
          <w:sz w:val="22"/>
          <w:szCs w:val="22"/>
          <w:color w:val="auto"/>
        </w:rPr>
        <w:t>that take place during such period), with all such calculations to be determined by the Board in its sole discretion.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Each Tax Advance shall be distributed to the Members in the same proportions that taxable income was determined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the Board to be allocable to the Members in respect of such Fiscal Quarter. Any Distributions made pursuant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6.1(c)</w:t>
      </w:r>
      <w:r>
        <w:rPr>
          <w:rFonts w:ascii="Times New Roman" w:cs="Times New Roman" w:eastAsia="Times New Roman" w:hAnsi="Times New Roman"/>
          <w:sz w:val="21"/>
          <w:szCs w:val="21"/>
          <w:color w:val="auto"/>
        </w:rPr>
        <w:t xml:space="preserve"> shall be treated for purposes of this Agreement as advances on Distributions pursuant to </w:t>
      </w:r>
      <w:r>
        <w:rPr>
          <w:rFonts w:ascii="Times New Roman" w:cs="Times New Roman" w:eastAsia="Times New Roman" w:hAnsi="Times New Roman"/>
          <w:sz w:val="21"/>
          <w:szCs w:val="21"/>
          <w:u w:val="single" w:color="auto"/>
          <w:color w:val="auto"/>
        </w:rPr>
        <w:t>Section</w:t>
      </w:r>
    </w:p>
    <w:p>
      <w:pPr>
        <w:spacing w:after="0" w:line="232" w:lineRule="auto"/>
        <w:rPr>
          <w:sz w:val="20"/>
          <w:szCs w:val="20"/>
          <w:color w:val="auto"/>
        </w:rPr>
      </w:pPr>
      <w:r>
        <w:rPr>
          <w:rFonts w:ascii="Times New Roman" w:cs="Times New Roman" w:eastAsia="Times New Roman" w:hAnsi="Times New Roman"/>
          <w:sz w:val="22"/>
          <w:szCs w:val="22"/>
          <w:u w:val="single" w:color="auto"/>
          <w:color w:val="auto"/>
        </w:rPr>
        <w:t>6.1(b)</w:t>
      </w:r>
      <w:r>
        <w:rPr>
          <w:rFonts w:ascii="Times New Roman" w:cs="Times New Roman" w:eastAsia="Times New Roman" w:hAnsi="Times New Roman"/>
          <w:sz w:val="22"/>
          <w:szCs w:val="22"/>
          <w:color w:val="auto"/>
        </w:rPr>
        <w:t xml:space="preserve"> and shall reduce, dollar-for-dollar, the amount otherwise distributable to such Member pursuant to </w:t>
      </w:r>
      <w:r>
        <w:rPr>
          <w:rFonts w:ascii="Times New Roman" w:cs="Times New Roman" w:eastAsia="Times New Roman" w:hAnsi="Times New Roman"/>
          <w:sz w:val="22"/>
          <w:szCs w:val="22"/>
          <w:u w:val="single" w:color="auto"/>
          <w:color w:val="auto"/>
        </w:rPr>
        <w:t>Section</w:t>
      </w:r>
    </w:p>
    <w:p>
      <w:pPr>
        <w:spacing w:after="0"/>
        <w:rPr>
          <w:sz w:val="20"/>
          <w:szCs w:val="20"/>
          <w:color w:val="auto"/>
        </w:rPr>
      </w:pPr>
      <w:r>
        <w:rPr>
          <w:rFonts w:ascii="Times New Roman" w:cs="Times New Roman" w:eastAsia="Times New Roman" w:hAnsi="Times New Roman"/>
          <w:sz w:val="22"/>
          <w:szCs w:val="22"/>
          <w:u w:val="single" w:color="auto"/>
          <w:color w:val="auto"/>
        </w:rPr>
        <w:t>6.1(b)</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right="40" w:firstLine="1620"/>
        <w:spacing w:after="0" w:line="238" w:lineRule="auto"/>
        <w:tabs>
          <w:tab w:leader="none" w:pos="230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has loaned money to a Member or to a Member’s Affiliate (including, without limitation, a corporation, limited liability company or other entity controlled by the Member), the Company shall be entitled to apply all or a portion of a Distribution that is otherwise payable to the Member to the repayment of the principal and accrued interest that is due and payable on such loan and, in such event, the Member shall not receive the portion of the Distribution that is applied to the repayment of such loan.</w:t>
      </w:r>
    </w:p>
    <w:p>
      <w:pPr>
        <w:spacing w:after="0" w:line="204"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Tax Withholding; Withholding Advances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280" w:hanging="660"/>
        <w:spacing w:after="0"/>
        <w:tabs>
          <w:tab w:leader="none" w:pos="22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Withholding. If requested by the Board, each Member shall, if legally able to do so,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the Board:</w:t>
      </w:r>
    </w:p>
    <w:p>
      <w:pPr>
        <w:spacing w:after="0" w:line="209" w:lineRule="exact"/>
        <w:rPr>
          <w:rFonts w:ascii="Times New Roman" w:cs="Times New Roman" w:eastAsia="Times New Roman" w:hAnsi="Times New Roman"/>
          <w:sz w:val="22"/>
          <w:szCs w:val="22"/>
          <w:color w:val="auto"/>
        </w:rPr>
      </w:pPr>
    </w:p>
    <w:p>
      <w:pPr>
        <w:ind w:right="120" w:firstLine="2268"/>
        <w:spacing w:after="0" w:line="244" w:lineRule="auto"/>
        <w:tabs>
          <w:tab w:leader="none" w:pos="295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affidavit in form satisfactory to the Board that the applicable Member (or its members, as the case may be) is not subject to withholding under the provisions of any federal, state, local, foreign or other applicable law;</w:t>
      </w:r>
    </w:p>
    <w:p>
      <w:pPr>
        <w:spacing w:after="0" w:line="200" w:lineRule="exact"/>
        <w:rPr>
          <w:rFonts w:ascii="Times New Roman" w:cs="Times New Roman" w:eastAsia="Times New Roman" w:hAnsi="Times New Roman"/>
          <w:sz w:val="22"/>
          <w:szCs w:val="22"/>
          <w:color w:val="auto"/>
        </w:rPr>
      </w:pPr>
    </w:p>
    <w:p>
      <w:pPr>
        <w:ind w:left="2960" w:hanging="692"/>
        <w:spacing w:after="0"/>
        <w:tabs>
          <w:tab w:leader="none" w:pos="296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certificate that the Board may reasonably request with respect to any such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laws; and/or</w:t>
      </w:r>
    </w:p>
    <w:p>
      <w:pPr>
        <w:spacing w:after="0" w:line="209" w:lineRule="exact"/>
        <w:rPr>
          <w:rFonts w:ascii="Times New Roman" w:cs="Times New Roman" w:eastAsia="Times New Roman" w:hAnsi="Times New Roman"/>
          <w:sz w:val="22"/>
          <w:szCs w:val="22"/>
          <w:color w:val="auto"/>
        </w:rPr>
      </w:pPr>
    </w:p>
    <w:p>
      <w:pPr>
        <w:ind w:left="2980" w:hanging="712"/>
        <w:spacing w:after="0"/>
        <w:tabs>
          <w:tab w:leader="none" w:pos="29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or instrument reasonably requested by the Board relating to any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status under such law.</w:t>
      </w:r>
    </w:p>
    <w:p>
      <w:pPr>
        <w:spacing w:after="0" w:line="209"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 xml:space="preserve">If a Member fails or is unable to deliver to the Board the affidavit described in </w:t>
      </w:r>
      <w:r>
        <w:rPr>
          <w:rFonts w:ascii="Times New Roman" w:cs="Times New Roman" w:eastAsia="Times New Roman" w:hAnsi="Times New Roman"/>
          <w:sz w:val="22"/>
          <w:szCs w:val="22"/>
          <w:u w:val="single" w:color="auto"/>
          <w:color w:val="auto"/>
        </w:rPr>
        <w:t>Section 6.2(a)(i)</w:t>
      </w:r>
      <w:r>
        <w:rPr>
          <w:rFonts w:ascii="Times New Roman" w:cs="Times New Roman" w:eastAsia="Times New Roman" w:hAnsi="Times New Roman"/>
          <w:sz w:val="22"/>
          <w:szCs w:val="22"/>
          <w:color w:val="auto"/>
        </w:rPr>
        <w:t xml:space="preserve">, the Board may withhold amounts from such Member in accordance with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firstLine="1620"/>
        <w:spacing w:after="0" w:line="235" w:lineRule="auto"/>
        <w:tabs>
          <w:tab w:leader="none" w:pos="230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Advances. The Company is hereby authorized at all times to make payments (“</w:t>
      </w:r>
      <w:r>
        <w:rPr>
          <w:rFonts w:ascii="Times New Roman" w:cs="Times New Roman" w:eastAsia="Times New Roman" w:hAnsi="Times New Roman"/>
          <w:sz w:val="22"/>
          <w:szCs w:val="22"/>
          <w:u w:val="single" w:color="auto"/>
          <w:color w:val="auto"/>
        </w:rPr>
        <w:t>Withholding Advances</w:t>
      </w:r>
      <w:r>
        <w:rPr>
          <w:rFonts w:ascii="Times New Roman" w:cs="Times New Roman" w:eastAsia="Times New Roman" w:hAnsi="Times New Roman"/>
          <w:sz w:val="22"/>
          <w:szCs w:val="22"/>
          <w:color w:val="auto"/>
        </w:rPr>
        <w:t>”) with respect to each Member in amounts required to discharge any obligation of the Company (as determined by the Tax Matters Partner based on the advice of legal or tax counsel to the Company) to withhold or make payments to any federal, state, local or foreign taxing authority (a “</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xml:space="preserve">”) with respect to any Distribution or allocation by the Company of income or gain to such Member and to withhold the same from Distributions to such Member. Any funds withheld from a Distribution by reason of this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 xml:space="preserve"> shall nonetheless be deemed Distributed to the Member in question for all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61" w:name="page62"/>
    <w:bookmarkEnd w:id="61"/>
    <w:p>
      <w:pPr>
        <w:ind w:right="560"/>
        <w:spacing w:after="0" w:line="258" w:lineRule="auto"/>
        <w:rPr>
          <w:sz w:val="20"/>
          <w:szCs w:val="20"/>
          <w:color w:val="auto"/>
        </w:rPr>
      </w:pPr>
      <w:r>
        <w:rPr>
          <w:rFonts w:ascii="Times New Roman" w:cs="Times New Roman" w:eastAsia="Times New Roman" w:hAnsi="Times New Roman"/>
          <w:sz w:val="22"/>
          <w:szCs w:val="22"/>
          <w:color w:val="auto"/>
        </w:rPr>
        <w:t>purposes under this Agreement and, at the option of the Board, shall be charged against the Member’s Capital Account.</w:t>
      </w:r>
    </w:p>
    <w:p>
      <w:pPr>
        <w:spacing w:after="0" w:line="185" w:lineRule="exact"/>
        <w:rPr>
          <w:sz w:val="20"/>
          <w:szCs w:val="20"/>
          <w:color w:val="auto"/>
        </w:rPr>
      </w:pPr>
    </w:p>
    <w:p>
      <w:pPr>
        <w:ind w:firstLine="1620"/>
        <w:spacing w:after="0" w:line="255" w:lineRule="auto"/>
        <w:tabs>
          <w:tab w:leader="none" w:pos="2347"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Repayment of Withholding Advances</w:t>
      </w:r>
      <w:r>
        <w:rPr>
          <w:rFonts w:ascii="Times New Roman" w:cs="Times New Roman" w:eastAsia="Times New Roman" w:hAnsi="Times New Roman"/>
          <w:sz w:val="21"/>
          <w:szCs w:val="21"/>
          <w:color w:val="auto"/>
        </w:rPr>
        <w:t>. Any Withholding Advance made by the Company to a Taxing Authority on behalf of a Member and not simultaneously withheld from a Distribution to that Member shall, with interest thereon accruing from the date of payment at a rate equal to the prime rate published in the Wall Street Journal on the date of payment plus two percent per annum (the “</w:t>
      </w:r>
      <w:r>
        <w:rPr>
          <w:rFonts w:ascii="Times New Roman" w:cs="Times New Roman" w:eastAsia="Times New Roman" w:hAnsi="Times New Roman"/>
          <w:sz w:val="21"/>
          <w:szCs w:val="21"/>
          <w:u w:val="single" w:color="auto"/>
          <w:color w:val="auto"/>
        </w:rPr>
        <w:t>Company Interest Rate</w:t>
      </w:r>
      <w:r>
        <w:rPr>
          <w:rFonts w:ascii="Times New Roman" w:cs="Times New Roman" w:eastAsia="Times New Roman" w:hAnsi="Times New Roman"/>
          <w:sz w:val="21"/>
          <w:szCs w:val="21"/>
          <w:color w:val="auto"/>
        </w:rPr>
        <w:t>”):</w:t>
      </w:r>
    </w:p>
    <w:p>
      <w:pPr>
        <w:spacing w:after="0" w:line="189" w:lineRule="exact"/>
        <w:rPr>
          <w:rFonts w:ascii="Times New Roman" w:cs="Times New Roman" w:eastAsia="Times New Roman" w:hAnsi="Times New Roman"/>
          <w:sz w:val="21"/>
          <w:szCs w:val="21"/>
          <w:color w:val="auto"/>
        </w:rPr>
      </w:pPr>
    </w:p>
    <w:p>
      <w:pPr>
        <w:ind w:right="200" w:firstLine="2268"/>
        <w:spacing w:after="0" w:line="239" w:lineRule="auto"/>
        <w:tabs>
          <w:tab w:leader="none" w:pos="295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promptly repaid to the Company by the Member on whose behalf the Withholding Advance was made (which repayment by the Member shall not constitute a Capital Contribution, but shall credit the Member’s Capital Account if the Board shall have initially charged the amount of the Withholding Advance to the Capital Account); or</w:t>
      </w:r>
    </w:p>
    <w:p>
      <w:pPr>
        <w:spacing w:after="0" w:line="207" w:lineRule="exact"/>
        <w:rPr>
          <w:rFonts w:ascii="Times New Roman" w:cs="Times New Roman" w:eastAsia="Times New Roman" w:hAnsi="Times New Roman"/>
          <w:sz w:val="22"/>
          <w:szCs w:val="22"/>
          <w:color w:val="auto"/>
        </w:rPr>
      </w:pPr>
    </w:p>
    <w:p>
      <w:pPr>
        <w:ind w:firstLine="2268"/>
        <w:spacing w:after="0" w:line="239" w:lineRule="auto"/>
        <w:tabs>
          <w:tab w:leader="none" w:pos="2965"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Board, be repaid by reducing the amount of the next succeeding Distribution or Distributions to be made to such Member (which reduction amount shall be deemed to have been Distributed to the Member, but which shall not further reduce the Member’s Capital Account if the Board shall have initially charged the amount of the Withholding Advance to the Capital Account).</w:t>
      </w:r>
    </w:p>
    <w:p>
      <w:pPr>
        <w:spacing w:after="0" w:line="2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1"/>
          <w:szCs w:val="21"/>
          <w:color w:val="auto"/>
        </w:rPr>
        <w:t>Interest shall cease to accrue from the time the Member on whose behalf the Withholding Advance was made repays such Withholding Advance (and all accrued interest) by either method of repayment described above.</w:t>
      </w:r>
    </w:p>
    <w:p>
      <w:pPr>
        <w:spacing w:after="0" w:line="162" w:lineRule="exact"/>
        <w:rPr>
          <w:sz w:val="20"/>
          <w:szCs w:val="20"/>
          <w:color w:val="auto"/>
        </w:rPr>
      </w:pPr>
    </w:p>
    <w:p>
      <w:pPr>
        <w:ind w:right="180" w:firstLine="1620"/>
        <w:spacing w:after="0" w:line="235" w:lineRule="auto"/>
        <w:tabs>
          <w:tab w:leader="none" w:pos="235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Each Member hereby agrees to indemnify and hold harmless the Company and the other Members from and against any liability with respect to taxes, interest or penalties which may be asserted by reason of the Company’s failure to deduct and withhold tax on amounts Distributable or allocable to such Member. The provisions of this </w:t>
      </w:r>
      <w:r>
        <w:rPr>
          <w:rFonts w:ascii="Times New Roman" w:cs="Times New Roman" w:eastAsia="Times New Roman" w:hAnsi="Times New Roman"/>
          <w:sz w:val="22"/>
          <w:szCs w:val="22"/>
          <w:u w:val="single" w:color="auto"/>
          <w:color w:val="auto"/>
        </w:rPr>
        <w:t>Section 6.2(d)</w:t>
      </w:r>
      <w:r>
        <w:rPr>
          <w:rFonts w:ascii="Times New Roman" w:cs="Times New Roman" w:eastAsia="Times New Roman" w:hAnsi="Times New Roman"/>
          <w:sz w:val="22"/>
          <w:szCs w:val="22"/>
          <w:color w:val="auto"/>
        </w:rPr>
        <w:t xml:space="preserve"> and the obligations of a Member pursuant to </w:t>
      </w:r>
      <w:r>
        <w:rPr>
          <w:rFonts w:ascii="Times New Roman" w:cs="Times New Roman" w:eastAsia="Times New Roman" w:hAnsi="Times New Roman"/>
          <w:sz w:val="22"/>
          <w:szCs w:val="22"/>
          <w:u w:val="single" w:color="auto"/>
          <w:color w:val="auto"/>
        </w:rPr>
        <w:t>Section 6.2(c)</w:t>
      </w:r>
      <w:r>
        <w:rPr>
          <w:rFonts w:ascii="Times New Roman" w:cs="Times New Roman" w:eastAsia="Times New Roman" w:hAnsi="Times New Roman"/>
          <w:sz w:val="22"/>
          <w:szCs w:val="22"/>
          <w:color w:val="auto"/>
        </w:rPr>
        <w:t xml:space="preserve"> shall survive the termination, dissolution, liquidation and winding up of the Company and the withdrawal of such Member from the Company or Transfer of its Units. The Company may pursue and enforce all rights and remedies it may have against each Member under this </w:t>
      </w:r>
      <w:r>
        <w:rPr>
          <w:rFonts w:ascii="Times New Roman" w:cs="Times New Roman" w:eastAsia="Times New Roman" w:hAnsi="Times New Roman"/>
          <w:sz w:val="22"/>
          <w:szCs w:val="22"/>
          <w:u w:val="single" w:color="auto"/>
          <w:color w:val="auto"/>
        </w:rPr>
        <w:t>Section 6.2(d)</w:t>
      </w:r>
      <w:r>
        <w:rPr>
          <w:rFonts w:ascii="Times New Roman" w:cs="Times New Roman" w:eastAsia="Times New Roman" w:hAnsi="Times New Roman"/>
          <w:sz w:val="22"/>
          <w:szCs w:val="22"/>
          <w:color w:val="auto"/>
        </w:rPr>
        <w:t>, including bringing a lawsuit to collect repayment with interest of any Withholding Advances.</w:t>
      </w:r>
    </w:p>
    <w:p>
      <w:pPr>
        <w:spacing w:after="0" w:line="206" w:lineRule="exact"/>
        <w:rPr>
          <w:rFonts w:ascii="Times New Roman" w:cs="Times New Roman" w:eastAsia="Times New Roman" w:hAnsi="Times New Roman"/>
          <w:sz w:val="22"/>
          <w:szCs w:val="22"/>
          <w:color w:val="auto"/>
        </w:rPr>
      </w:pPr>
    </w:p>
    <w:p>
      <w:pPr>
        <w:ind w:right="340" w:firstLine="1620"/>
        <w:spacing w:after="0" w:line="262" w:lineRule="auto"/>
        <w:tabs>
          <w:tab w:leader="none" w:pos="2347"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Overwithholding</w:t>
      </w:r>
      <w:r>
        <w:rPr>
          <w:rFonts w:ascii="Times New Roman" w:cs="Times New Roman" w:eastAsia="Times New Roman" w:hAnsi="Times New Roman"/>
          <w:sz w:val="21"/>
          <w:szCs w:val="21"/>
          <w:color w:val="auto"/>
        </w:rPr>
        <w:t>. Neither the Company nor the Board shall be liable for any excess taxes withheld in respect of any Distribution or allocation of income or gain to a Member. In the event of an overwithholding, a Member’s sole recourse shall be to apply for a refund from the appropriate Taxing Authority.</w:t>
      </w:r>
    </w:p>
    <w:p>
      <w:pPr>
        <w:spacing w:after="0" w:line="182"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Allocations of Net Income and Net Loss</w:t>
      </w:r>
      <w:r>
        <w:rPr>
          <w:rFonts w:ascii="Times New Roman" w:cs="Times New Roman" w:eastAsia="Times New Roman" w:hAnsi="Times New Roman"/>
          <w:sz w:val="22"/>
          <w:szCs w:val="22"/>
          <w:color w:val="auto"/>
        </w:rPr>
        <w:t xml:space="preserve">. After giving effect to the special allocations set forth in </w:t>
      </w:r>
      <w:r>
        <w:rPr>
          <w:rFonts w:ascii="Times New Roman" w:cs="Times New Roman" w:eastAsia="Times New Roman" w:hAnsi="Times New Roman"/>
          <w:sz w:val="22"/>
          <w:szCs w:val="22"/>
          <w:u w:val="single" w:color="auto"/>
          <w:color w:val="auto"/>
        </w:rPr>
        <w:t>Sections 6.4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6.5</w:t>
      </w:r>
      <w:r>
        <w:rPr>
          <w:rFonts w:ascii="Times New Roman" w:cs="Times New Roman" w:eastAsia="Times New Roman" w:hAnsi="Times New Roman"/>
          <w:sz w:val="22"/>
          <w:szCs w:val="22"/>
          <w:color w:val="auto"/>
        </w:rPr>
        <w:t>, Net Income (including gain on the sale of all or substantially all of the Company’s assets or the liquidation of the Company) and Net Loss (including Net Loss on the sale of all or substantially all of the Company’s assets or the liquidation of the Company) shall be allocated for each Fiscal Year (or over more than one Fiscal Year) for Tax purposes and accounting purposes among the Members so that each Member’s Capital Account balance is equal to the amount the Member would receive if the Company were to dispose of each of its assets on the last day of the Fiscal Year for an amount equal to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62" w:name="page63"/>
    <w:bookmarkEnd w:id="62"/>
    <w:p>
      <w:pPr>
        <w:ind w:left="1" w:right="200"/>
        <w:spacing w:after="0" w:line="244" w:lineRule="auto"/>
        <w:rPr>
          <w:sz w:val="20"/>
          <w:szCs w:val="20"/>
          <w:color w:val="auto"/>
        </w:rPr>
      </w:pPr>
      <w:r>
        <w:rPr>
          <w:rFonts w:ascii="Times New Roman" w:cs="Times New Roman" w:eastAsia="Times New Roman" w:hAnsi="Times New Roman"/>
          <w:sz w:val="22"/>
          <w:szCs w:val="22"/>
          <w:color w:val="auto"/>
        </w:rPr>
        <w:t>asset’s book value (or, if greater, the amount of nonrecourse indebtedness secured by the asset) and then liquidate, distributing the net proceeds as nearly as possible in accordance with Percentage Interests. Notwithstanding the foregoing:</w:t>
      </w:r>
    </w:p>
    <w:p>
      <w:pPr>
        <w:spacing w:after="0" w:line="201" w:lineRule="exact"/>
        <w:rPr>
          <w:sz w:val="20"/>
          <w:szCs w:val="20"/>
          <w:color w:val="auto"/>
        </w:rPr>
      </w:pPr>
    </w:p>
    <w:p>
      <w:pPr>
        <w:ind w:left="1" w:firstLine="1620"/>
        <w:spacing w:after="0" w:line="236" w:lineRule="auto"/>
        <w:tabs>
          <w:tab w:leader="none" w:pos="234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Net Loss shall be allocated to 2016 Option Investors, from and after the closing of the 2016 Offering, with respect to the amount that their Capital Accounts are increased by their 2016 Investment (in each case, the “</w:t>
      </w:r>
      <w:r>
        <w:rPr>
          <w:rFonts w:ascii="Times New Roman" w:cs="Times New Roman" w:eastAsia="Times New Roman" w:hAnsi="Times New Roman"/>
          <w:sz w:val="22"/>
          <w:szCs w:val="22"/>
          <w:u w:val="single" w:color="auto"/>
          <w:color w:val="auto"/>
        </w:rPr>
        <w:t>2016 Increase</w:t>
      </w:r>
      <w:r>
        <w:rPr>
          <w:rFonts w:ascii="Times New Roman" w:cs="Times New Roman" w:eastAsia="Times New Roman" w:hAnsi="Times New Roman"/>
          <w:sz w:val="22"/>
          <w:szCs w:val="22"/>
          <w:color w:val="auto"/>
        </w:rPr>
        <w:t>”) until such time as the earliest of the following occurs: (i) the Capital Accounts of all of the other Members, other than the Capital Accounts of the 2017 Option Investors to the extent of their 2017 Increase, are reduced to zero (and the portion of the Option Investors’ Capital Accounts that are not the 2016 Increase amount are also so reduced), (ii) a Sale of the Company , or (iii) a dissolution of the Company.</w:t>
      </w:r>
    </w:p>
    <w:p>
      <w:pPr>
        <w:spacing w:after="0" w:line="209" w:lineRule="exact"/>
        <w:rPr>
          <w:rFonts w:ascii="Times New Roman" w:cs="Times New Roman" w:eastAsia="Times New Roman" w:hAnsi="Times New Roman"/>
          <w:sz w:val="22"/>
          <w:szCs w:val="22"/>
          <w:color w:val="auto"/>
        </w:rPr>
      </w:pPr>
    </w:p>
    <w:p>
      <w:pPr>
        <w:ind w:left="1" w:firstLine="1620"/>
        <w:spacing w:after="0" w:line="246" w:lineRule="auto"/>
        <w:tabs>
          <w:tab w:leader="none" w:pos="236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Net Loss shall be allocated to 2017 Option Investors, from and after the closing of the 2017 Offering, with respect to the amount that their Capital Accounts are increased by their 2017 Investment (in each case, the “</w:t>
      </w:r>
      <w:r>
        <w:rPr>
          <w:rFonts w:ascii="Times New Roman" w:cs="Times New Roman" w:eastAsia="Times New Roman" w:hAnsi="Times New Roman"/>
          <w:sz w:val="21"/>
          <w:szCs w:val="21"/>
          <w:u w:val="single" w:color="auto"/>
          <w:color w:val="auto"/>
        </w:rPr>
        <w:t>2017 Increase</w:t>
      </w:r>
      <w:r>
        <w:rPr>
          <w:rFonts w:ascii="Times New Roman" w:cs="Times New Roman" w:eastAsia="Times New Roman" w:hAnsi="Times New Roman"/>
          <w:sz w:val="21"/>
          <w:szCs w:val="21"/>
          <w:color w:val="auto"/>
        </w:rPr>
        <w:t>”) until such time as the earliest of the following occurs: (i) the Capital Accounts of all of the other Members, including the 2016 Option Investors and their 2016 Increase, are reduced to zero (and the portion of the 2017 Option Investors’ Capital Accounts that are not the 2017 Increase amount are also so reduced),</w:t>
      </w:r>
    </w:p>
    <w:p>
      <w:pPr>
        <w:spacing w:after="0" w:line="1" w:lineRule="exact"/>
        <w:rPr>
          <w:rFonts w:ascii="Times New Roman" w:cs="Times New Roman" w:eastAsia="Times New Roman" w:hAnsi="Times New Roman"/>
          <w:sz w:val="21"/>
          <w:szCs w:val="21"/>
          <w:color w:val="auto"/>
        </w:rPr>
      </w:pPr>
    </w:p>
    <w:p>
      <w:pPr>
        <w:ind w:left="321" w:hanging="321"/>
        <w:spacing w:after="0"/>
        <w:tabs>
          <w:tab w:leader="none" w:pos="32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Sale of the Company, or (iii) a dissolution of the Company.</w:t>
      </w:r>
    </w:p>
    <w:p>
      <w:pPr>
        <w:spacing w:after="0" w:line="209" w:lineRule="exact"/>
        <w:rPr>
          <w:sz w:val="20"/>
          <w:szCs w:val="20"/>
          <w:color w:val="auto"/>
        </w:rPr>
      </w:pPr>
    </w:p>
    <w:p>
      <w:pPr>
        <w:ind w:left="641"/>
        <w:spacing w:after="0"/>
        <w:tabs>
          <w:tab w:leader="none" w:pos="166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Special Allocations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 w:right="80" w:firstLine="1620"/>
        <w:spacing w:after="0" w:line="235" w:lineRule="auto"/>
        <w:tabs>
          <w:tab w:leader="none" w:pos="234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Net Loss attributable to partner nonrecourse debt (as defined in Treasury Regulation Section 1.704-2(b)(4)) shall be allocated in the manner required by Treasury Regulation Section 1.704-2(i). If there is a net decrease during a Taxable Year in partner nonrecourse debt minimum gain (as defined in Treasury Regulation Section 1.704- 2(i)(3)), Net Income for such Taxable Year (and, if necessary, for subsequent Taxable Years) shall be allocated to the Members in the amounts and of such character as determined according to Treasury Regulation Section 1.704-2(i)(4). This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is intended to be a “</w:t>
      </w:r>
      <w:r>
        <w:rPr>
          <w:rFonts w:ascii="Times New Roman" w:cs="Times New Roman" w:eastAsia="Times New Roman" w:hAnsi="Times New Roman"/>
          <w:sz w:val="22"/>
          <w:szCs w:val="22"/>
          <w:u w:val="single" w:color="auto"/>
          <w:color w:val="auto"/>
        </w:rPr>
        <w:t>partner nonrecourse debt minimum gain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chargeback</w:t>
      </w:r>
      <w:r>
        <w:rPr>
          <w:rFonts w:ascii="Times New Roman" w:cs="Times New Roman" w:eastAsia="Times New Roman" w:hAnsi="Times New Roman"/>
          <w:sz w:val="22"/>
          <w:szCs w:val="22"/>
          <w:color w:val="auto"/>
        </w:rPr>
        <w:t>” provision that complies with the requirements of Treasury Regulation Section 1.704-2(i)(4) and shall be interpreted in a manner consistent therewith.</w:t>
      </w:r>
    </w:p>
    <w:p>
      <w:pPr>
        <w:spacing w:after="0" w:line="206" w:lineRule="exact"/>
        <w:rPr>
          <w:rFonts w:ascii="Times New Roman" w:cs="Times New Roman" w:eastAsia="Times New Roman" w:hAnsi="Times New Roman"/>
          <w:sz w:val="22"/>
          <w:szCs w:val="22"/>
          <w:color w:val="auto"/>
        </w:rPr>
      </w:pPr>
    </w:p>
    <w:p>
      <w:pPr>
        <w:ind w:left="1" w:firstLine="1620"/>
        <w:spacing w:after="0" w:line="235" w:lineRule="auto"/>
        <w:tabs>
          <w:tab w:leader="none" w:pos="23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Nonrecourse deductions (as determined according to Treasury Regulation Section 1.704-2(b)(1)) for any Taxable Year shall be allocated to each Member ratably among such Members based upon the number of outstanding Units held by each such Member immediately prior to such allocation. Except as otherwise provided in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if there is a net decrease in the Minimum Gain during any Taxable Year, each Member shall be allocated Net Income for such Taxable Year (and, if necessary, for subsequent Taxable Years) in the amounts and of such character as determined according to Treasury Regulation Section 1.704-2(f).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6.4(b)</w:t>
      </w:r>
      <w:r>
        <w:rPr>
          <w:rFonts w:ascii="Times New Roman" w:cs="Times New Roman" w:eastAsia="Times New Roman" w:hAnsi="Times New Roman"/>
          <w:sz w:val="22"/>
          <w:szCs w:val="22"/>
          <w:color w:val="auto"/>
        </w:rPr>
        <w:t xml:space="preserve"> is intended to be a Minimum Gain chargeback provision that complies with the requirements of Treasury Regulation Section 1.704-2(f), and shall be interpreted in a manner consistent therewith.</w:t>
      </w:r>
    </w:p>
    <w:p>
      <w:pPr>
        <w:spacing w:after="0" w:line="206" w:lineRule="exact"/>
        <w:rPr>
          <w:rFonts w:ascii="Times New Roman" w:cs="Times New Roman" w:eastAsia="Times New Roman" w:hAnsi="Times New Roman"/>
          <w:sz w:val="22"/>
          <w:szCs w:val="22"/>
          <w:color w:val="auto"/>
        </w:rPr>
      </w:pPr>
    </w:p>
    <w:p>
      <w:pPr>
        <w:ind w:left="1" w:right="600" w:firstLine="1620"/>
        <w:spacing w:after="0" w:line="258" w:lineRule="auto"/>
        <w:tabs>
          <w:tab w:leader="none" w:pos="229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Member that unexpectedly receives an adjustment, allocation or distribution described in Treasury Regulation Section 1.704-1(b)(2)(ii)(d)(4), (5) and (6) has an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355" w:right="939" w:bottom="1440" w:gutter="0" w:footer="0" w:header="0"/>
        </w:sectPr>
      </w:pPr>
    </w:p>
    <w:bookmarkStart w:id="63" w:name="page64"/>
    <w:bookmarkEnd w:id="63"/>
    <w:p>
      <w:pPr>
        <w:ind w:right="220"/>
        <w:spacing w:after="0" w:line="238" w:lineRule="auto"/>
        <w:rPr>
          <w:sz w:val="20"/>
          <w:szCs w:val="20"/>
          <w:color w:val="auto"/>
        </w:rPr>
      </w:pPr>
      <w:r>
        <w:rPr>
          <w:rFonts w:ascii="Times New Roman" w:cs="Times New Roman" w:eastAsia="Times New Roman" w:hAnsi="Times New Roman"/>
          <w:sz w:val="22"/>
          <w:szCs w:val="22"/>
          <w:color w:val="auto"/>
        </w:rPr>
        <w:t xml:space="preserve">Adjusted Capital Account Deficit as of the end of any Taxable Year, computed after the application of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6.4(a)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6.4(b)</w:t>
      </w:r>
      <w:r>
        <w:rPr>
          <w:rFonts w:ascii="Times New Roman" w:cs="Times New Roman" w:eastAsia="Times New Roman" w:hAnsi="Times New Roman"/>
          <w:sz w:val="22"/>
          <w:szCs w:val="22"/>
          <w:color w:val="auto"/>
        </w:rPr>
        <w:t xml:space="preserve"> but before the application of any other provision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then Net Income for such Taxable Year shall be allocated to such Member in proportion to, and to the extent of, such Adjusted Capital Account Deficit. This </w:t>
      </w:r>
      <w:r>
        <w:rPr>
          <w:rFonts w:ascii="Times New Roman" w:cs="Times New Roman" w:eastAsia="Times New Roman" w:hAnsi="Times New Roman"/>
          <w:sz w:val="22"/>
          <w:szCs w:val="22"/>
          <w:u w:val="single" w:color="auto"/>
          <w:color w:val="auto"/>
        </w:rPr>
        <w:t>Section 6.4(c)</w:t>
      </w:r>
      <w:r>
        <w:rPr>
          <w:rFonts w:ascii="Times New Roman" w:cs="Times New Roman" w:eastAsia="Times New Roman" w:hAnsi="Times New Roman"/>
          <w:sz w:val="22"/>
          <w:szCs w:val="22"/>
          <w:color w:val="auto"/>
        </w:rPr>
        <w:t xml:space="preserve"> is intended to be a qualified income offset provision as described in Treasury Regulation Section 1.704-1(b)(2)(ii)(d) and shall be interpreted in a manner consistent therewith.</w:t>
      </w:r>
    </w:p>
    <w:p>
      <w:pPr>
        <w:spacing w:after="0" w:line="204" w:lineRule="exact"/>
        <w:rPr>
          <w:sz w:val="20"/>
          <w:szCs w:val="20"/>
          <w:color w:val="auto"/>
        </w:rPr>
      </w:pPr>
    </w:p>
    <w:p>
      <w:pPr>
        <w:ind w:right="20" w:firstLine="1620"/>
        <w:spacing w:after="0" w:line="253" w:lineRule="auto"/>
        <w:tabs>
          <w:tab w:leader="none" w:pos="235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Income and Net Loss shall be allocated in a manner consistent with the manner that the adjustments to the Capital Accounts are required to be made pursuant to Treasury Regulation Section 1.704-1(b)</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(2)(iv)(k) and (m).</w:t>
      </w:r>
    </w:p>
    <w:p>
      <w:pPr>
        <w:spacing w:after="0" w:line="209" w:lineRule="exact"/>
        <w:rPr>
          <w:rFonts w:ascii="Times New Roman" w:cs="Times New Roman" w:eastAsia="Times New Roman" w:hAnsi="Times New Roman"/>
          <w:sz w:val="21"/>
          <w:szCs w:val="21"/>
          <w:color w:val="auto"/>
        </w:rPr>
      </w:pPr>
    </w:p>
    <w:p>
      <w:pPr>
        <w:ind w:firstLine="1620"/>
        <w:spacing w:after="0" w:line="232" w:lineRule="auto"/>
        <w:tabs>
          <w:tab w:leader="none" w:pos="234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allocations set forth in </w:t>
      </w:r>
      <w:r>
        <w:rPr>
          <w:rFonts w:ascii="Times New Roman" w:cs="Times New Roman" w:eastAsia="Times New Roman" w:hAnsi="Times New Roman"/>
          <w:sz w:val="22"/>
          <w:szCs w:val="22"/>
          <w:u w:val="single" w:color="auto"/>
          <w:color w:val="auto"/>
        </w:rPr>
        <w:t>Section 6.4(a)-(d)</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Regulatory Allocations</w:t>
      </w:r>
      <w:r>
        <w:rPr>
          <w:rFonts w:ascii="Times New Roman" w:cs="Times New Roman" w:eastAsia="Times New Roman" w:hAnsi="Times New Roman"/>
          <w:sz w:val="22"/>
          <w:szCs w:val="22"/>
          <w:color w:val="auto"/>
        </w:rPr>
        <w:t xml:space="preserve">”) are intended to comply with certain requirements of Sections 1.704-1(b) and 1.704-2 of the Treasury Regulations. The Regulatory Allocations may not be consistent with the manner in which the Members intend to allocate Net Income and Net Loss of the Company or make Company distributions. Accordingly, notwithstanding the other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but subject to the Regulatory Allocations, income, gain, deduction, and loss shall be reallocated among the Members so as to eliminate the effect of the Regulatory Allocations and thereby cause the respective Capital Accounts of the Members to be in the amounts (or as close thereto as possible) they would have been if Net Income and Net Loss (and such other items of income, gain, deduction and loss) had been allocated without reference to the Regulatory Allocations. In general, the Members anticipate that this will be accomplished by specially allocating other Net Income and Net Loss (and such other items of income, gain, deduction and loss) among the Members so that the net amount of the Regulatory Allocations and such special allocations to each such Member is zero. In addition, if in any Fiscal Year or Fiscal Period there is a decrease in partnership Minimum Gain, or in partner nonrecourse debt Minimum Gain, and application of the Minimum Gain chargeback requirements set forth in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would cause a distortion in the economic arrangement among the Members, the Members may, if they do not expect that the Company will have sufficient other income to correct such distortion, request the Internal Revenue Service to waive either or both of such Minimum Gain chargeback requirements. If such request is granted, this Agreement shall be applied in such instance as if it did not contain such Minimum Gain chargeback requirement.</w:t>
      </w:r>
    </w:p>
    <w:p>
      <w:pPr>
        <w:spacing w:after="0" w:line="216" w:lineRule="exact"/>
        <w:rPr>
          <w:rFonts w:ascii="Times New Roman" w:cs="Times New Roman" w:eastAsia="Times New Roman" w:hAnsi="Times New Roman"/>
          <w:sz w:val="22"/>
          <w:szCs w:val="22"/>
          <w:color w:val="auto"/>
        </w:rPr>
      </w:pPr>
    </w:p>
    <w:p>
      <w:pPr>
        <w:ind w:right="200" w:firstLine="1620"/>
        <w:spacing w:after="0" w:line="236" w:lineRule="auto"/>
        <w:tabs>
          <w:tab w:leader="none" w:pos="231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acknowledge that allocations like those described in Proposed Treasury Regulation Section 1.704-1(b)(4)(xii)(c) (“</w:t>
      </w:r>
      <w:r>
        <w:rPr>
          <w:rFonts w:ascii="Times New Roman" w:cs="Times New Roman" w:eastAsia="Times New Roman" w:hAnsi="Times New Roman"/>
          <w:sz w:val="22"/>
          <w:szCs w:val="22"/>
          <w:u w:val="single" w:color="auto"/>
          <w:color w:val="auto"/>
        </w:rPr>
        <w:t>Forfeiture Allocations</w:t>
      </w:r>
      <w:r>
        <w:rPr>
          <w:rFonts w:ascii="Times New Roman" w:cs="Times New Roman" w:eastAsia="Times New Roman" w:hAnsi="Times New Roman"/>
          <w:sz w:val="22"/>
          <w:szCs w:val="22"/>
          <w:color w:val="auto"/>
        </w:rPr>
        <w:t>”) result from the allocations of Net Income and Net Loss provided for in this Agreement. For the avoidance of doubt, the Company is entitled to make Forfeiture Allocations and, once required by applicable final or temporary guidance, allocations of Net Income and Net Loss will be made in accordance with Proposed Treasury Regulation Section 1.704-1(b)(4)(xii)(c) or any successor provision or guidance.</w:t>
      </w:r>
    </w:p>
    <w:p>
      <w:pPr>
        <w:spacing w:after="0" w:line="209"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Tax Allocations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60" w:firstLine="1620"/>
        <w:spacing w:after="0" w:line="239" w:lineRule="auto"/>
        <w:tabs>
          <w:tab w:leader="none" w:pos="196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income, gains, losses, deductions and credits of the Company will be allocated, for federal, state and local income tax purposes, among the Members in accordance with the allocation of such income, gains, losses, deductions and credits among the Members for computing their Capital Accounts and as provided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except that if any such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64" w:name="page65"/>
    <w:bookmarkEnd w:id="64"/>
    <w:p>
      <w:pPr>
        <w:ind w:right="160"/>
        <w:spacing w:after="0" w:line="244" w:lineRule="auto"/>
        <w:rPr>
          <w:sz w:val="20"/>
          <w:szCs w:val="20"/>
          <w:color w:val="auto"/>
        </w:rPr>
      </w:pPr>
      <w:r>
        <w:rPr>
          <w:rFonts w:ascii="Times New Roman" w:cs="Times New Roman" w:eastAsia="Times New Roman" w:hAnsi="Times New Roman"/>
          <w:sz w:val="22"/>
          <w:szCs w:val="22"/>
          <w:color w:val="auto"/>
        </w:rPr>
        <w:t>allocation is not permitted by the Code or other applicable law, the Company’s subsequent income, gains, losses, deductions and credits will be allocated among the Members so as to reflect as nearly as possible the allocation set forth herein in computing their Capital Accounts.</w:t>
      </w:r>
    </w:p>
    <w:p>
      <w:pPr>
        <w:spacing w:after="0" w:line="214" w:lineRule="exact"/>
        <w:rPr>
          <w:sz w:val="20"/>
          <w:szCs w:val="20"/>
          <w:color w:val="auto"/>
        </w:rPr>
      </w:pPr>
    </w:p>
    <w:p>
      <w:pPr>
        <w:ind w:right="20" w:firstLine="1620"/>
        <w:spacing w:after="0" w:line="255" w:lineRule="auto"/>
        <w:tabs>
          <w:tab w:leader="none" w:pos="235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Items of Company taxable income, gain, loss and deduction with respect to any property contributed to the capital of the Company shall be allocated among the Members in accordance with Code Section 704(c) so as to take account of any variation between the adjusted basis of such property to the Company for federal income tax purposes and its Book Value using any permitted method selected by the Tax Matters Partner.</w:t>
      </w:r>
    </w:p>
    <w:p>
      <w:pPr>
        <w:spacing w:after="0" w:line="189" w:lineRule="exact"/>
        <w:rPr>
          <w:rFonts w:ascii="Times New Roman" w:cs="Times New Roman" w:eastAsia="Times New Roman" w:hAnsi="Times New Roman"/>
          <w:sz w:val="21"/>
          <w:szCs w:val="21"/>
          <w:color w:val="auto"/>
        </w:rPr>
      </w:pPr>
    </w:p>
    <w:p>
      <w:pPr>
        <w:ind w:right="140" w:firstLine="1620"/>
        <w:spacing w:after="0" w:line="238" w:lineRule="auto"/>
        <w:tabs>
          <w:tab w:leader="none" w:pos="234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Book Value of any Company asset is adjusted pursuant to the requirements of Treasury Regulation Section 1.704-1(b)(2)(iv)(e) or (f), subsequent allocations of items of taxable income, gain, loss and deduction with respect to such asset shall take account of any variation between the adjusted basis of such asset for federal income tax purposes and its Book Value in the same manner as under Code Section 704(c) using any permitted method selected by the Tax Matters Partner.</w:t>
      </w:r>
    </w:p>
    <w:p>
      <w:pPr>
        <w:spacing w:after="0" w:line="217" w:lineRule="exact"/>
        <w:rPr>
          <w:rFonts w:ascii="Times New Roman" w:cs="Times New Roman" w:eastAsia="Times New Roman" w:hAnsi="Times New Roman"/>
          <w:sz w:val="22"/>
          <w:szCs w:val="22"/>
          <w:color w:val="auto"/>
        </w:rPr>
      </w:pPr>
    </w:p>
    <w:p>
      <w:pPr>
        <w:ind w:right="180" w:firstLine="1620"/>
        <w:spacing w:after="0" w:line="244" w:lineRule="auto"/>
        <w:tabs>
          <w:tab w:leader="none" w:pos="234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Allocations of tax credits, tax credit recapture, and any items related thereto shall be allocated to the Members according to their interests in such items as determined by the Board taking into account the principles of Treasury Regulation Section 1.704-1(b)(4)(ii).</w:t>
      </w:r>
    </w:p>
    <w:p>
      <w:pPr>
        <w:spacing w:after="0" w:line="21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Offsetting Allocations</w:t>
      </w:r>
      <w:r>
        <w:rPr>
          <w:rFonts w:ascii="Times New Roman" w:cs="Times New Roman" w:eastAsia="Times New Roman" w:hAnsi="Times New Roman"/>
          <w:sz w:val="22"/>
          <w:szCs w:val="22"/>
          <w:color w:val="auto"/>
        </w:rPr>
        <w:t>. If, and to the extent that, any Member is deemed to recognize any item of income, gain, deduction or loss as a result of any transaction between such Member and the Company pursuant to Sections 83, 482, or 7872 of the Code or any similar provision now or hereafter in effect, the Board shall use its reasonable best efforts to allocate any corresponding Net Income or Net Loss of the Company to the Member who recognizes such item in order to reflect the Members’ economic interest in the Company.</w:t>
      </w:r>
    </w:p>
    <w:p>
      <w:pPr>
        <w:spacing w:after="0" w:line="204"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Transfer of Units</w:t>
      </w:r>
      <w:r>
        <w:rPr>
          <w:rFonts w:ascii="Times New Roman" w:cs="Times New Roman" w:eastAsia="Times New Roman" w:hAnsi="Times New Roman"/>
          <w:sz w:val="22"/>
          <w:szCs w:val="22"/>
          <w:color w:val="auto"/>
        </w:rPr>
        <w:t xml:space="preserve">. In the event that an Initial Service Provider’s Initial Units are transferred to Calavo or another Member(s) pursuant to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or a Promissory Note, the Capital Account balance attributable to such Initial Units shall be allocated to Calavo or such other Member(s), and appropriate adjustments will be made to Calavo’s or such other Member(s) Percentage Interest(s).</w:t>
      </w:r>
    </w:p>
    <w:p>
      <w:pPr>
        <w:spacing w:after="0" w:line="221"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1"/>
          <w:szCs w:val="21"/>
          <w:u w:val="single" w:color="auto"/>
          <w:color w:val="auto"/>
        </w:rPr>
        <w:t>Indemnification and Reimbursement for Payments on Behalf of a Member</w:t>
      </w:r>
      <w:r>
        <w:rPr>
          <w:rFonts w:ascii="Times New Roman" w:cs="Times New Roman" w:eastAsia="Times New Roman" w:hAnsi="Times New Roman"/>
          <w:sz w:val="21"/>
          <w:szCs w:val="21"/>
          <w:color w:val="auto"/>
        </w:rPr>
        <w:t>. Except as otherwise</w:t>
      </w:r>
    </w:p>
    <w:p>
      <w:pPr>
        <w:spacing w:after="0" w:line="14"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 xml:space="preserve">provided in </w:t>
      </w:r>
      <w:r>
        <w:rPr>
          <w:rFonts w:ascii="Times New Roman" w:cs="Times New Roman" w:eastAsia="Times New Roman" w:hAnsi="Times New Roman"/>
          <w:sz w:val="22"/>
          <w:szCs w:val="22"/>
          <w:u w:val="single" w:color="auto"/>
          <w:color w:val="auto"/>
        </w:rPr>
        <w:t>Sections 4.5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7.5</w:t>
      </w:r>
      <w:r>
        <w:rPr>
          <w:rFonts w:ascii="Times New Roman" w:cs="Times New Roman" w:eastAsia="Times New Roman" w:hAnsi="Times New Roman"/>
          <w:sz w:val="22"/>
          <w:szCs w:val="22"/>
          <w:color w:val="auto"/>
        </w:rPr>
        <w:t xml:space="preserve">, if the Company is required by law to make any payment to a Governmental Entity that is specifically attributable to a Member or a Member’s status as such (including federal withholding taxes, state personal property taxes, and state unincorporated business taxes), then such Member shall indemnify and contribute to the Company in full the entire amount paid (including interest, penalties and related expenses). The Board may offset Distributions to which a Person is otherwise entitled under this Agreement against such Person’s obligation to indemnify the Company under this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A Member’s obligation to indemnify and make contributions to the Company under this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shall survive the termination, dissolution, liquidation and winding up of the Company, and for purposes of this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the Company shall be treated as continuing in existence. The Company may pursue and enforce all rights and remedies it may have against each Member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65" w:name="page66"/>
    <w:bookmarkEnd w:id="65"/>
    <w:p>
      <w:pPr>
        <w:ind w:right="100"/>
        <w:spacing w:after="0" w:line="258" w:lineRule="auto"/>
        <w:rPr>
          <w:sz w:val="20"/>
          <w:szCs w:val="20"/>
          <w:color w:val="auto"/>
        </w:rPr>
      </w:pPr>
      <w:r>
        <w:rPr>
          <w:rFonts w:ascii="Times New Roman" w:cs="Times New Roman" w:eastAsia="Times New Roman" w:hAnsi="Times New Roman"/>
          <w:sz w:val="22"/>
          <w:szCs w:val="22"/>
          <w:color w:val="auto"/>
        </w:rPr>
        <w:t xml:space="preserve">under this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including instituting a lawsuit to collect such indemnification and contribution with interest at the applicable statutory rate.</w:t>
      </w:r>
    </w:p>
    <w:p>
      <w:pPr>
        <w:spacing w:after="0" w:line="18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u w:val="single" w:color="auto"/>
          <w:color w:val="auto"/>
        </w:rPr>
        <w:t>Allocations for Partial Fiscal Years</w:t>
      </w:r>
      <w:r>
        <w:rPr>
          <w:rFonts w:ascii="Times New Roman" w:cs="Times New Roman" w:eastAsia="Times New Roman" w:hAnsi="Times New Roman"/>
          <w:sz w:val="22"/>
          <w:szCs w:val="22"/>
          <w:color w:val="auto"/>
        </w:rPr>
        <w:t>. All Net Income and Net Loss shall be allocated, and all distributions shall be made to the Persons shown on the records of the Company to have been Members as of the last day of the fiscal year for which the allocation or distribution is to be made. Notwithstanding the foregoing, unless the Company’s fiscal year is separated into segments, if there is a Transfer during the fiscal year, the Net Income and Net Loss shall be allocated appropriately between the original Member and the successor on the basis of the number of days each was a Member during the fiscal year; provided, however, in the event of such a Transfer the Company’s fiscal year shall be segregated into two or more segments in order to account for Net Income, Net Loss, or proceeds attributable to a Sale of the Company or to any other extraordinary nonrecurring items of the Company.</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ARTICLE VII</w:t>
            </w:r>
          </w:p>
        </w:tc>
      </w:tr>
      <w:tr>
        <w:trPr>
          <w:trHeight w:val="234"/>
        </w:trPr>
        <w:tc>
          <w:tcPr>
            <w:tcW w:w="1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40" w:type="dxa"/>
            <w:vAlign w:val="bottom"/>
            <w:tcBorders>
              <w:bottom w:val="single" w:sz="8" w:color="auto"/>
            </w:tcBorders>
          </w:tcPr>
          <w:p>
            <w:pPr>
              <w:jc w:val="center"/>
              <w:spacing w:after="0" w:line="235" w:lineRule="exact"/>
              <w:rPr>
                <w:sz w:val="20"/>
                <w:szCs w:val="20"/>
                <w:color w:val="auto"/>
              </w:rPr>
            </w:pPr>
            <w:r>
              <w:rPr>
                <w:rFonts w:ascii="Times New Roman" w:cs="Times New Roman" w:eastAsia="Times New Roman" w:hAnsi="Times New Roman"/>
                <w:sz w:val="22"/>
                <w:szCs w:val="22"/>
                <w:b w:val="1"/>
                <w:bCs w:val="1"/>
                <w:color w:val="auto"/>
                <w:w w:val="98"/>
              </w:rPr>
              <w:t>MANAGEMENT</w:t>
            </w:r>
          </w:p>
        </w:tc>
      </w:tr>
      <w:tr>
        <w:trPr>
          <w:trHeight w:val="466"/>
        </w:trPr>
        <w:tc>
          <w:tcPr>
            <w:tcW w:w="104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4"/>
              </w:rPr>
              <w:t>7.1</w:t>
            </w:r>
          </w:p>
        </w:tc>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Board of Directors.</w:t>
            </w:r>
          </w:p>
        </w:tc>
      </w:tr>
      <w:tr>
        <w:trPr>
          <w:trHeight w:val="20"/>
        </w:trPr>
        <w:tc>
          <w:tcPr>
            <w:tcW w:w="10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43" w:lineRule="exact"/>
        <w:rPr>
          <w:sz w:val="20"/>
          <w:szCs w:val="20"/>
          <w:color w:val="auto"/>
        </w:rPr>
      </w:pPr>
    </w:p>
    <w:p>
      <w:pPr>
        <w:ind w:left="2340" w:hanging="720"/>
        <w:spacing w:after="0"/>
        <w:tabs>
          <w:tab w:leader="none" w:pos="2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Board’s Power, Authority and Duties</w:t>
      </w:r>
      <w:r>
        <w:rPr>
          <w:rFonts w:ascii="Times New Roman" w:cs="Times New Roman" w:eastAsia="Times New Roman" w:hAnsi="Times New Roman"/>
          <w:sz w:val="22"/>
          <w:szCs w:val="22"/>
          <w:color w:val="auto"/>
        </w:rPr>
        <w:t>. The Board of Directors of the Company (the</w:t>
      </w:r>
    </w:p>
    <w:p>
      <w:pPr>
        <w:spacing w:after="0" w:line="1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be the governing body of the Company and shall be responsible for the management, operation and control of the business and affairs of the Company. The Board shall constitute the “</w:t>
      </w:r>
      <w:r>
        <w:rPr>
          <w:rFonts w:ascii="Times New Roman" w:cs="Times New Roman" w:eastAsia="Times New Roman" w:hAnsi="Times New Roman"/>
          <w:sz w:val="21"/>
          <w:szCs w:val="21"/>
          <w:u w:val="single" w:color="auto"/>
          <w:color w:val="auto"/>
        </w:rPr>
        <w:t>manager</w:t>
      </w:r>
      <w:r>
        <w:rPr>
          <w:rFonts w:ascii="Times New Roman" w:cs="Times New Roman" w:eastAsia="Times New Roman" w:hAnsi="Times New Roman"/>
          <w:sz w:val="21"/>
          <w:szCs w:val="21"/>
          <w:color w:val="auto"/>
        </w:rPr>
        <w:t>” of the Company for purposes of the Delaware Act, and the Board shall have, and is hereby granted, the full and complete power, authority and sole discretion for, on behalf of and in the name of the Company, to take such actions as it may in its sole discretion deem necessary or advisable to carry out any and all of the objectives and purposes of the Company, subject only to the terms of this Agreement. However, no individual member of the Board shall have the authority to act on his own as a “</w:t>
      </w:r>
      <w:r>
        <w:rPr>
          <w:rFonts w:ascii="Times New Roman" w:cs="Times New Roman" w:eastAsia="Times New Roman" w:hAnsi="Times New Roman"/>
          <w:sz w:val="21"/>
          <w:szCs w:val="21"/>
          <w:u w:val="single" w:color="auto"/>
          <w:color w:val="auto"/>
        </w:rPr>
        <w:t>manager</w:t>
      </w:r>
      <w:r>
        <w:rPr>
          <w:rFonts w:ascii="Times New Roman" w:cs="Times New Roman" w:eastAsia="Times New Roman" w:hAnsi="Times New Roman"/>
          <w:sz w:val="21"/>
          <w:szCs w:val="21"/>
          <w:color w:val="auto"/>
        </w:rPr>
        <w:t>” of the Company for purposes of the Delaware Act.</w:t>
      </w:r>
    </w:p>
    <w:p>
      <w:pPr>
        <w:spacing w:after="0" w:line="202" w:lineRule="exact"/>
        <w:rPr>
          <w:sz w:val="20"/>
          <w:szCs w:val="20"/>
          <w:color w:val="auto"/>
        </w:rPr>
      </w:pPr>
    </w:p>
    <w:p>
      <w:pPr>
        <w:ind w:right="40" w:firstLine="1620"/>
        <w:spacing w:after="0" w:line="233" w:lineRule="auto"/>
        <w:tabs>
          <w:tab w:leader="none" w:pos="235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Number of Directors; Initial Directors; Removal of Directors; Vacancies</w:t>
      </w:r>
      <w:r>
        <w:rPr>
          <w:rFonts w:ascii="Times New Roman" w:cs="Times New Roman" w:eastAsia="Times New Roman" w:hAnsi="Times New Roman"/>
          <w:sz w:val="22"/>
          <w:szCs w:val="22"/>
          <w:color w:val="auto"/>
        </w:rPr>
        <w:t>. The authorized number of Directors shall be six, with Calavo having the right to appoint three Directors (the “</w:t>
      </w:r>
      <w:r>
        <w:rPr>
          <w:rFonts w:ascii="Times New Roman" w:cs="Times New Roman" w:eastAsia="Times New Roman" w:hAnsi="Times New Roman"/>
          <w:sz w:val="22"/>
          <w:szCs w:val="22"/>
          <w:u w:val="single" w:color="auto"/>
          <w:color w:val="auto"/>
        </w:rPr>
        <w:t>Calavo Directors</w:t>
      </w:r>
      <w:r>
        <w:rPr>
          <w:rFonts w:ascii="Times New Roman" w:cs="Times New Roman" w:eastAsia="Times New Roman" w:hAnsi="Times New Roman"/>
          <w:sz w:val="22"/>
          <w:szCs w:val="22"/>
          <w:color w:val="auto"/>
        </w:rPr>
        <w:t>”) and with all Members other than Calavo having the right to, collectively, appoint three Directors (the “</w:t>
      </w:r>
      <w:r>
        <w:rPr>
          <w:rFonts w:ascii="Times New Roman" w:cs="Times New Roman" w:eastAsia="Times New Roman" w:hAnsi="Times New Roman"/>
          <w:sz w:val="22"/>
          <w:szCs w:val="22"/>
          <w:u w:val="single" w:color="auto"/>
          <w:color w:val="auto"/>
        </w:rPr>
        <w:t>Non-Calavo Directors</w:t>
      </w:r>
      <w:r>
        <w:rPr>
          <w:rFonts w:ascii="Times New Roman" w:cs="Times New Roman" w:eastAsia="Times New Roman" w:hAnsi="Times New Roman"/>
          <w:sz w:val="22"/>
          <w:szCs w:val="22"/>
          <w:color w:val="auto"/>
        </w:rPr>
        <w:t xml:space="preserve">”). The three initial Calavo Directors appointed by Calavo are Lecil E. Cole, and two additional persons to be named as promptly as practically possible by Calavo, via a written letter of direction to the Company. The three initial Non-Calavo Directors appointed by all other Members are Peter Hajas, Kenneth Catchot and Michael R. Lippold. Each Director shall remain in office until his death, resignation or earlier removal from office by Calavo (in the case of a Calavo Director) or by the Members other than Calavo (in the case of a Non-Calavo Director). Calavo and the other Members shall each shall have the right and power to remove one or more of their respective designees at any time and for any reason or no specified reason and appoint a new Director(s). Any Director may resign at any time upon notice to the Board. Any vacancy occurring in the Board shall be filled at any time by the Member or Members who have the right to appoint such Director(s) in accordance with this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The Members other than Calavo shall agree among themselves upon the manner in which they may remove their designated Directors and appoint new Directors, and Calavo and the Company are authorized to rely upon written notices from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355" w:right="979" w:bottom="1440" w:gutter="0" w:footer="0" w:header="0"/>
        </w:sectPr>
      </w:pPr>
    </w:p>
    <w:bookmarkStart w:id="66" w:name="page67"/>
    <w:bookmarkEnd w:id="66"/>
    <w:p>
      <w:pPr>
        <w:spacing w:after="0" w:line="244" w:lineRule="auto"/>
        <w:rPr>
          <w:sz w:val="20"/>
          <w:szCs w:val="20"/>
          <w:color w:val="auto"/>
        </w:rPr>
      </w:pPr>
      <w:r>
        <w:rPr>
          <w:rFonts w:ascii="Times New Roman" w:cs="Times New Roman" w:eastAsia="Times New Roman" w:hAnsi="Times New Roman"/>
          <w:sz w:val="22"/>
          <w:szCs w:val="22"/>
          <w:color w:val="auto"/>
        </w:rPr>
        <w:t>Impermanence regarding the removal and replacement of such Directors. The resignation, withdrawal or removal of a Director who is also a Member shall not, itself, affect the Director’s rights as a Member, if applicable, and shall not constitute a withdrawal of a Member.</w:t>
      </w:r>
    </w:p>
    <w:p>
      <w:pPr>
        <w:spacing w:after="0" w:line="201" w:lineRule="exact"/>
        <w:rPr>
          <w:sz w:val="20"/>
          <w:szCs w:val="20"/>
          <w:color w:val="auto"/>
        </w:rPr>
      </w:pPr>
    </w:p>
    <w:p>
      <w:pPr>
        <w:ind w:right="40" w:firstLine="1620"/>
        <w:spacing w:after="0" w:line="236" w:lineRule="auto"/>
        <w:tabs>
          <w:tab w:leader="none" w:pos="234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xml:space="preserve">. The Board, by the affirmative vote or written consent of a majority of the authorized number of Directors described in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shall from time to time select a Director to serve as the Chairman of the Board. Peter Hajas shall continue to serve as the Chairman of the Board beginning as of the Effective Date, provided that the Board has the right and power to designate at any time another Director to serve as the Chairman of the Board. The Board shall from time to time determine and specify the powers, duties and responsibilities that shall be given to the Chairman of the Board.</w:t>
      </w:r>
    </w:p>
    <w:p>
      <w:pPr>
        <w:spacing w:after="0" w:line="209" w:lineRule="exact"/>
        <w:rPr>
          <w:rFonts w:ascii="Times New Roman" w:cs="Times New Roman" w:eastAsia="Times New Roman" w:hAnsi="Times New Roman"/>
          <w:sz w:val="22"/>
          <w:szCs w:val="22"/>
          <w:color w:val="auto"/>
        </w:rPr>
      </w:pPr>
    </w:p>
    <w:p>
      <w:pPr>
        <w:ind w:left="2360" w:hanging="740"/>
        <w:spacing w:after="0"/>
        <w:tabs>
          <w:tab w:leader="none" w:pos="23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 of the Board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80" w:firstLine="2268"/>
        <w:spacing w:after="0" w:line="239" w:lineRule="auto"/>
        <w:tabs>
          <w:tab w:leader="none" w:pos="301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The Board shall meet at such times and at such places (including meetings by conference calls) as are determined from time to time by the Chairman of the Board or by at least two other Directors on at least twelve hours’ notice to each Director, either personally, by telephone, by facsimile, by e-mail or by mail, unless all of the Directors agree to meet on shorter notice.</w:t>
      </w:r>
    </w:p>
    <w:p>
      <w:pPr>
        <w:spacing w:after="0" w:line="207" w:lineRule="exact"/>
        <w:rPr>
          <w:rFonts w:ascii="Times New Roman" w:cs="Times New Roman" w:eastAsia="Times New Roman" w:hAnsi="Times New Roman"/>
          <w:sz w:val="22"/>
          <w:szCs w:val="22"/>
          <w:color w:val="auto"/>
        </w:rPr>
      </w:pPr>
    </w:p>
    <w:p>
      <w:pPr>
        <w:ind w:right="100" w:firstLine="2268"/>
        <w:spacing w:after="0" w:line="235" w:lineRule="auto"/>
        <w:tabs>
          <w:tab w:leader="none" w:pos="301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Quorum; Action by the Board; Remote Participation</w:t>
      </w:r>
      <w:r>
        <w:rPr>
          <w:rFonts w:ascii="Times New Roman" w:cs="Times New Roman" w:eastAsia="Times New Roman" w:hAnsi="Times New Roman"/>
          <w:sz w:val="22"/>
          <w:szCs w:val="22"/>
          <w:color w:val="auto"/>
        </w:rPr>
        <w:t xml:space="preserve">. A majority of the authorized number of Directors specified in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shall constitute a quorum for the transaction of business of the Board. At all times when the Board is conducting business at a meeting of the Board, a quorum of the Board must be present at such meeting. The affirmative vote of a majority of the authorized number of Directors shall be required to take action at a Board meeting and shall constitute valid and binding action by the Board. One or more Directors may participate in a meeting of the Board by means of conference telephone or other electronic technology by means of which all Persons participating in the meeting can hear each other. Participation in a meeting pursuant to this </w:t>
      </w:r>
      <w:r>
        <w:rPr>
          <w:rFonts w:ascii="Times New Roman" w:cs="Times New Roman" w:eastAsia="Times New Roman" w:hAnsi="Times New Roman"/>
          <w:sz w:val="22"/>
          <w:szCs w:val="22"/>
          <w:u w:val="single" w:color="auto"/>
          <w:color w:val="auto"/>
        </w:rPr>
        <w:t>subsection (ii)</w:t>
      </w:r>
      <w:r>
        <w:rPr>
          <w:rFonts w:ascii="Times New Roman" w:cs="Times New Roman" w:eastAsia="Times New Roman" w:hAnsi="Times New Roman"/>
          <w:sz w:val="22"/>
          <w:szCs w:val="22"/>
          <w:color w:val="auto"/>
        </w:rPr>
        <w:t xml:space="preserve"> shall constitute presence in person at the meeting.</w:t>
      </w:r>
    </w:p>
    <w:p>
      <w:pPr>
        <w:spacing w:after="0" w:line="206" w:lineRule="exact"/>
        <w:rPr>
          <w:rFonts w:ascii="Times New Roman" w:cs="Times New Roman" w:eastAsia="Times New Roman" w:hAnsi="Times New Roman"/>
          <w:sz w:val="22"/>
          <w:szCs w:val="22"/>
          <w:color w:val="auto"/>
        </w:rPr>
      </w:pPr>
    </w:p>
    <w:p>
      <w:pPr>
        <w:ind w:firstLine="1620"/>
        <w:spacing w:after="0" w:line="238" w:lineRule="auto"/>
        <w:tabs>
          <w:tab w:leader="none" w:pos="234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 by Written Consent</w:t>
      </w:r>
      <w:r>
        <w:rPr>
          <w:rFonts w:ascii="Times New Roman" w:cs="Times New Roman" w:eastAsia="Times New Roman" w:hAnsi="Times New Roman"/>
          <w:sz w:val="22"/>
          <w:szCs w:val="22"/>
          <w:color w:val="auto"/>
        </w:rPr>
        <w:t xml:space="preserve">. Notwithstanding anything herein to the contrary, any action of the Board may be taken without a meeting if a written consent of a majority of the authorized number of Directors specified in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shall approve such action. Such consent shall have the same force and effect as a vote at a meeting where a quorum was present and may be stated as such in any document or instrument filed with the Secretary of State of Delaware.</w:t>
      </w:r>
    </w:p>
    <w:p>
      <w:pPr>
        <w:spacing w:after="0" w:line="204" w:lineRule="exact"/>
        <w:rPr>
          <w:rFonts w:ascii="Times New Roman" w:cs="Times New Roman" w:eastAsia="Times New Roman" w:hAnsi="Times New Roman"/>
          <w:sz w:val="22"/>
          <w:szCs w:val="22"/>
          <w:color w:val="auto"/>
        </w:rPr>
      </w:pPr>
    </w:p>
    <w:p>
      <w:pPr>
        <w:ind w:left="2320" w:hanging="700"/>
        <w:spacing w:after="0"/>
        <w:tabs>
          <w:tab w:leader="none" w:pos="23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No Employment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0" w:firstLine="2268"/>
        <w:spacing w:after="0" w:line="236" w:lineRule="auto"/>
        <w:tabs>
          <w:tab w:leader="none" w:pos="301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Directors shall receive such compensation, if any, for their services in such capacity as may be designated by the Board, from time to time. In addition, each Director shall be reimbursed for his reasonable out-of-pocket expenses incurred in the performance of his duties as a Director, pursuant to such policies as from time to time are established by the Board. Nothing contained in this </w:t>
      </w:r>
      <w:r>
        <w:rPr>
          <w:rFonts w:ascii="Times New Roman" w:cs="Times New Roman" w:eastAsia="Times New Roman" w:hAnsi="Times New Roman"/>
          <w:sz w:val="22"/>
          <w:szCs w:val="22"/>
          <w:u w:val="single" w:color="auto"/>
          <w:color w:val="auto"/>
        </w:rPr>
        <w:t>Section 7.1(f)</w:t>
      </w:r>
      <w:r>
        <w:rPr>
          <w:rFonts w:ascii="Times New Roman" w:cs="Times New Roman" w:eastAsia="Times New Roman" w:hAnsi="Times New Roman"/>
          <w:sz w:val="22"/>
          <w:szCs w:val="22"/>
          <w:color w:val="auto"/>
        </w:rPr>
        <w:t xml:space="preserve"> shall be construed to preclude any Director from serving the Company or Calavo in any other capacity and receiving reasonable compensation for such services.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55" w:right="939" w:bottom="1440" w:gutter="0" w:footer="0" w:header="0"/>
        </w:sectPr>
      </w:pPr>
    </w:p>
    <w:bookmarkStart w:id="67" w:name="page68"/>
    <w:bookmarkEnd w:id="67"/>
    <w:p>
      <w:pPr>
        <w:ind w:right="80" w:firstLine="2268"/>
        <w:spacing w:after="0" w:line="244" w:lineRule="auto"/>
        <w:tabs>
          <w:tab w:leader="none" w:pos="301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does not, and is not intended to, confer upon any Director any rights with respect to continued employment by the Company or Calavo, and nothing herein should be construed to have created any employment agreement with any Director.</w:t>
      </w:r>
    </w:p>
    <w:p>
      <w:pPr>
        <w:spacing w:after="0" w:line="201" w:lineRule="exact"/>
        <w:rPr>
          <w:sz w:val="20"/>
          <w:szCs w:val="20"/>
          <w:color w:val="auto"/>
        </w:rPr>
      </w:pPr>
    </w:p>
    <w:p>
      <w:pPr>
        <w:jc w:val="both"/>
        <w:ind w:right="380" w:firstLine="648"/>
        <w:spacing w:after="0" w:line="244"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Delegation of Authority</w:t>
      </w:r>
      <w:r>
        <w:rPr>
          <w:rFonts w:ascii="Times New Roman" w:cs="Times New Roman" w:eastAsia="Times New Roman" w:hAnsi="Times New Roman"/>
          <w:sz w:val="22"/>
          <w:szCs w:val="22"/>
          <w:color w:val="auto"/>
        </w:rPr>
        <w:t xml:space="preserve">. The Board may, from time to time, delegate to one or more Persons such authority and duties as the Board may deem advisable. Any delegation pursuant to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may be revoked at any time by the Board in its sole discretion.</w:t>
      </w:r>
    </w:p>
    <w:p>
      <w:pPr>
        <w:spacing w:after="0" w:line="201" w:lineRule="exact"/>
        <w:rPr>
          <w:sz w:val="20"/>
          <w:szCs w:val="20"/>
          <w:color w:val="auto"/>
        </w:rPr>
      </w:pPr>
    </w:p>
    <w:p>
      <w:pPr>
        <w:ind w:right="240" w:firstLine="648"/>
        <w:spacing w:after="0" w:line="234"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Company shall have a Chief Executive Officer (the “</w:t>
      </w:r>
      <w:r>
        <w:rPr>
          <w:rFonts w:ascii="Times New Roman" w:cs="Times New Roman" w:eastAsia="Times New Roman" w:hAnsi="Times New Roman"/>
          <w:sz w:val="22"/>
          <w:szCs w:val="22"/>
          <w:u w:val="single" w:color="auto"/>
          <w:color w:val="auto"/>
        </w:rPr>
        <w:t>Chief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who shall be appointed by the Board. Subject to such powers, duties and responsibilities, if any, as may be given by the Board to the Chairman of the Board, the Chief Executive Officer shall be responsible for the day-to-day management, business and affairs of the Company and shall perform all duties incidental to his office which may be required by law and all such other duties as are properly required of him by the Board. The Chief Executive Officer shall be subject to the control of the Board. Michael R. Lippold shall be the Company’s Chief Executive Officer beginning as of the Effective Date and shall serve in that capacity until his death, resignation or earlier removal and replacement at any time by the Board. The Board shall approve the Chief Executive Officer’s compensation and perquisites.</w:t>
      </w:r>
    </w:p>
    <w:p>
      <w:pPr>
        <w:spacing w:after="0" w:line="21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Other Officers, Employees and Consultants</w:t>
      </w:r>
      <w:r>
        <w:rPr>
          <w:rFonts w:ascii="Times New Roman" w:cs="Times New Roman" w:eastAsia="Times New Roman" w:hAnsi="Times New Roman"/>
          <w:sz w:val="22"/>
          <w:szCs w:val="22"/>
          <w:color w:val="auto"/>
        </w:rPr>
        <w:t>. The Company shall have such other officers, employees and consultants as the Board determines from time to time are necessary or advisable, and such officers and employees shall have any such titles as the Board determines are necessary or advisable. The Board shall approve the compensation and perquisites of each of such officers, employees and consultants or may elect to grant that authority to the Chief Executive Officer with respect to some or all of such officers, employees or consultants. Each such officer, employee and consultant shall have such power, authority and duties as are assigned to him from time to time by the Chief Executive Officer or the Board. In absence of an express statement of powers and authority of an officer, each officer shall have the power and authority normally and customarily vested in such officers of a corporation. Any number of offices may be held by the same person and no officer need be a Member. Except for the Chief Executive Officer, who shall report directly to the Board, each officer, employee and consultant shall report directly to the Chief Executive Officer or to another person or persons designated by the Chief Executive Officer, provided that the Board has the right and power to designate that any such officer, employee or consultant shall instead report directly to the Board or to the Chief Executive Officer. The Board has the right and power to remove at any time and replace any officer, employee or consultant of the Company, and any such removal may be made by the Board for any reason or for no specified reason.</w:t>
      </w:r>
    </w:p>
    <w:p>
      <w:pPr>
        <w:spacing w:after="0" w:line="206"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Except as otherwise provided herein or in any agreement entered into by such Person and the Company, and to the maximum extent permitted by the Delaware Act, no present or former member of the Board shall be liable to the Company or to any other Member for any act or omission performed or omitted by such Person in good faith in his capacity as a member of the Board; provided that such limitation of liability shall not apply to the extent the act or omission was attributable to such Person’s gross negligence, willful misconduct or knowing violation of law or this Agreement or any other agreement with the Company. The Board shall be entitled to rely upon the advice of legal counsel, independent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68" w:name="page69"/>
    <w:bookmarkEnd w:id="68"/>
    <w:p>
      <w:pPr>
        <w:ind w:right="180"/>
        <w:spacing w:after="0" w:line="244" w:lineRule="auto"/>
        <w:rPr>
          <w:sz w:val="20"/>
          <w:szCs w:val="20"/>
          <w:color w:val="auto"/>
        </w:rPr>
      </w:pPr>
      <w:r>
        <w:rPr>
          <w:rFonts w:ascii="Times New Roman" w:cs="Times New Roman" w:eastAsia="Times New Roman" w:hAnsi="Times New Roman"/>
          <w:sz w:val="22"/>
          <w:szCs w:val="22"/>
          <w:color w:val="auto"/>
        </w:rPr>
        <w:t>public accountants and other experts, including financial advisors, and any act of or failure to act by the Board in good faith reliance on such advice shall in no event subject the Board or any of its Affiliates, employees, agents or representatives to liability to the Company or any Member.</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660" w:type="dxa"/>
            <w:vAlign w:val="bottom"/>
          </w:tcPr>
          <w:p>
            <w:pPr>
              <w:spacing w:after="0"/>
              <w:rPr>
                <w:sz w:val="22"/>
                <w:szCs w:val="22"/>
                <w:color w:val="auto"/>
              </w:rPr>
            </w:pPr>
          </w:p>
        </w:tc>
        <w:tc>
          <w:tcPr>
            <w:tcW w:w="852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ARTICLE VIII</w:t>
            </w:r>
          </w:p>
        </w:tc>
      </w:tr>
      <w:tr>
        <w:trPr>
          <w:trHeight w:val="287"/>
        </w:trPr>
        <w:tc>
          <w:tcPr>
            <w:tcW w:w="660" w:type="dxa"/>
            <w:vAlign w:val="bottom"/>
          </w:tcPr>
          <w:p>
            <w:pPr>
              <w:spacing w:after="0"/>
              <w:rPr>
                <w:sz w:val="24"/>
                <w:szCs w:val="24"/>
                <w:color w:val="auto"/>
              </w:rPr>
            </w:pPr>
          </w:p>
        </w:tc>
        <w:tc>
          <w:tcPr>
            <w:tcW w:w="8520" w:type="dxa"/>
            <w:vAlign w:val="bottom"/>
          </w:tcPr>
          <w:p>
            <w:pPr>
              <w:jc w:val="center"/>
              <w:ind w:right="952"/>
              <w:spacing w:after="0"/>
              <w:rPr>
                <w:sz w:val="20"/>
                <w:szCs w:val="20"/>
                <w:color w:val="auto"/>
              </w:rPr>
            </w:pPr>
            <w:r>
              <w:rPr>
                <w:rFonts w:ascii="Times New Roman" w:cs="Times New Roman" w:eastAsia="Times New Roman" w:hAnsi="Times New Roman"/>
                <w:sz w:val="22"/>
                <w:szCs w:val="22"/>
                <w:b w:val="1"/>
                <w:bCs w:val="1"/>
                <w:u w:val="single" w:color="auto"/>
                <w:color w:val="auto"/>
                <w:w w:val="98"/>
              </w:rPr>
              <w:t>BOOKS, RECORDS, ACCOUNTING AND REPORTS</w:t>
            </w:r>
          </w:p>
        </w:tc>
      </w:tr>
      <w:tr>
        <w:trPr>
          <w:trHeight w:val="471"/>
        </w:trPr>
        <w:tc>
          <w:tcPr>
            <w:tcW w:w="6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4"/>
              </w:rPr>
              <w:t>8.1</w:t>
            </w:r>
          </w:p>
        </w:tc>
        <w:tc>
          <w:tcPr>
            <w:tcW w:w="8520" w:type="dxa"/>
            <w:vAlign w:val="bottom"/>
          </w:tcPr>
          <w:p>
            <w:pPr>
              <w:ind w:left="380"/>
              <w:spacing w:after="0"/>
              <w:rPr>
                <w:sz w:val="20"/>
                <w:szCs w:val="20"/>
                <w:color w:val="auto"/>
              </w:rPr>
            </w:pPr>
            <w:r>
              <w:rPr>
                <w:rFonts w:ascii="Times New Roman" w:cs="Times New Roman" w:eastAsia="Times New Roman" w:hAnsi="Times New Roman"/>
                <w:sz w:val="22"/>
                <w:szCs w:val="22"/>
                <w:u w:val="single" w:color="auto"/>
                <w:color w:val="auto"/>
                <w:w w:val="97"/>
              </w:rPr>
              <w:t>Records and Accounting</w:t>
            </w:r>
            <w:r>
              <w:rPr>
                <w:rFonts w:ascii="Times New Roman" w:cs="Times New Roman" w:eastAsia="Times New Roman" w:hAnsi="Times New Roman"/>
                <w:sz w:val="22"/>
                <w:szCs w:val="22"/>
                <w:color w:val="auto"/>
                <w:w w:val="97"/>
              </w:rPr>
              <w:t>. The Company shall keep, or cause to be kept, appropriate books and</w:t>
            </w:r>
          </w:p>
        </w:tc>
      </w:tr>
    </w:tbl>
    <w:p>
      <w:pPr>
        <w:spacing w:after="0" w:line="232" w:lineRule="auto"/>
        <w:rPr>
          <w:sz w:val="20"/>
          <w:szCs w:val="20"/>
          <w:color w:val="auto"/>
        </w:rPr>
      </w:pPr>
      <w:r>
        <w:rPr>
          <w:rFonts w:ascii="Times New Roman" w:cs="Times New Roman" w:eastAsia="Times New Roman" w:hAnsi="Times New Roman"/>
          <w:sz w:val="22"/>
          <w:szCs w:val="22"/>
          <w:color w:val="auto"/>
        </w:rPr>
        <w:t xml:space="preserve">records with respect to the Company’s business, including all books and records necessary to provide any information, lists and copies of documents required to be provided pursuant to the Delaware Act and other applicable laws. Any holder of at least ten percent of the then-outstanding Units shall be entitled to full access to the Company’s books and records at any time during normal business hours. All matters concerning (a) the determination of the relative amount of allocations and distributions among the Members pursuant to </w:t>
      </w:r>
      <w:r>
        <w:rPr>
          <w:rFonts w:ascii="Times New Roman" w:cs="Times New Roman" w:eastAsia="Times New Roman" w:hAnsi="Times New Roman"/>
          <w:sz w:val="22"/>
          <w:szCs w:val="22"/>
          <w:u w:val="single" w:color="auto"/>
          <w:color w:val="auto"/>
        </w:rPr>
        <w:t>Articles 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and (b) accounting procedures and determinations, and other determinations not specifically and expressly provided for by the terms of this Agreement, shall be determined by the Board, whose determination shall be final and conclusive as to all of the Members absent manifest clerical error.</w:t>
      </w:r>
    </w:p>
    <w:p>
      <w:pPr>
        <w:spacing w:after="0" w:line="207"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The fiscal year (the “</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of the Company shall be November 1 to October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or such other annual accounting period as may be established by the Board.</w:t>
      </w:r>
    </w:p>
    <w:p>
      <w:pPr>
        <w:spacing w:after="0" w:line="209"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40" w:firstLine="1620"/>
        <w:spacing w:after="0" w:line="236" w:lineRule="auto"/>
        <w:tabs>
          <w:tab w:leader="none" w:pos="234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upon the written request of any Member, deliver or cause to be delivered to such Member with reasonable promptness, information and financial data concerning the Company requested by the Member but only to the extent the delivery of such information and data is expressly required by the Delaware Act or is necessary for such Member to consummate a Transfer of Units permitted by this Agreement; provided further that furnishing such information and data shall not be financially burdensome on the Company or the Board, or unreasonably time consuming for the employees of the Board or the Company.</w:t>
      </w:r>
    </w:p>
    <w:p>
      <w:pPr>
        <w:spacing w:after="0" w:line="209" w:lineRule="exact"/>
        <w:rPr>
          <w:rFonts w:ascii="Times New Roman" w:cs="Times New Roman" w:eastAsia="Times New Roman" w:hAnsi="Times New Roman"/>
          <w:sz w:val="22"/>
          <w:szCs w:val="22"/>
          <w:color w:val="auto"/>
        </w:rPr>
      </w:pPr>
    </w:p>
    <w:p>
      <w:pPr>
        <w:ind w:right="120" w:firstLine="1620"/>
        <w:spacing w:after="0" w:line="255" w:lineRule="auto"/>
        <w:tabs>
          <w:tab w:leader="none" w:pos="235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availability of information, the Company shall use reasonable efforts to deliver or cause to be delivered, within ninety days after the end of each Fiscal Year, to each Person who was a Member at any time during such Fiscal Year all information with respect to such Person’s Units which is necessary for the preparation of such Person’s United States federal and state income tax returns, including a Schedule K-1.</w:t>
      </w:r>
    </w:p>
    <w:p>
      <w:pPr>
        <w:spacing w:after="0" w:line="189" w:lineRule="exact"/>
        <w:rPr>
          <w:rFonts w:ascii="Times New Roman" w:cs="Times New Roman" w:eastAsia="Times New Roman" w:hAnsi="Times New Roman"/>
          <w:sz w:val="21"/>
          <w:szCs w:val="21"/>
          <w:color w:val="auto"/>
        </w:rPr>
      </w:pPr>
    </w:p>
    <w:p>
      <w:pPr>
        <w:ind w:right="140" w:firstLine="1620"/>
        <w:spacing w:after="0" w:line="235" w:lineRule="auto"/>
        <w:tabs>
          <w:tab w:leader="none" w:pos="234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to each holder of at least ten percent of the then-outstanding Units monthly, quarterly and annual financial statements of the Company within fifteen days, thirty days and sixty days, respectively, after the end of each month, quarter or Fiscal Year. Upon Calavo’s prior request, the annual financial statements of the Company shall be audited by an accounting firm reasonably approved by Calavo if the Company is not at such time consolidated with Calavo for accounting purposes. In addition, the Company shall deliver to every other Member financial statements of the Company for each Fiscal Year at the same time that the Company delivers such annual financial statements to Members holding at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69" w:name="page70"/>
    <w:bookmarkEnd w:id="69"/>
    <w:p>
      <w:pPr>
        <w:spacing w:after="0" w:line="244" w:lineRule="auto"/>
        <w:rPr>
          <w:sz w:val="20"/>
          <w:szCs w:val="20"/>
          <w:color w:val="auto"/>
        </w:rPr>
      </w:pPr>
      <w:r>
        <w:rPr>
          <w:rFonts w:ascii="Times New Roman" w:cs="Times New Roman" w:eastAsia="Times New Roman" w:hAnsi="Times New Roman"/>
          <w:sz w:val="22"/>
          <w:szCs w:val="22"/>
          <w:color w:val="auto"/>
        </w:rPr>
        <w:t>least ten percent of the then-outstanding Units. Each Member must maintain the confidentiality of the financial statements described in this paragraph, except to the extent that disclosure is required under applicable provisions of the Securities Act or the Securities Exchange Act or the rules and regulations thereunder.</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680" w:type="dxa"/>
            <w:vAlign w:val="bottom"/>
          </w:tcPr>
          <w:p>
            <w:pPr>
              <w:spacing w:after="0"/>
              <w:rPr>
                <w:sz w:val="22"/>
                <w:szCs w:val="22"/>
                <w:color w:val="auto"/>
              </w:rPr>
            </w:pPr>
          </w:p>
        </w:tc>
        <w:tc>
          <w:tcPr>
            <w:tcW w:w="8460" w:type="dxa"/>
            <w:vAlign w:val="bottom"/>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6"/>
              </w:rPr>
              <w:t>ARTICLE IX</w:t>
            </w:r>
          </w:p>
        </w:tc>
      </w:tr>
      <w:tr>
        <w:trPr>
          <w:trHeight w:val="287"/>
        </w:trPr>
        <w:tc>
          <w:tcPr>
            <w:tcW w:w="680" w:type="dxa"/>
            <w:vAlign w:val="bottom"/>
          </w:tcPr>
          <w:p>
            <w:pPr>
              <w:spacing w:after="0"/>
              <w:rPr>
                <w:sz w:val="24"/>
                <w:szCs w:val="24"/>
                <w:color w:val="auto"/>
              </w:rPr>
            </w:pPr>
          </w:p>
        </w:tc>
        <w:tc>
          <w:tcPr>
            <w:tcW w:w="8460" w:type="dxa"/>
            <w:vAlign w:val="bottom"/>
          </w:tcPr>
          <w:p>
            <w:pPr>
              <w:jc w:val="center"/>
              <w:ind w:right="912"/>
              <w:spacing w:after="0"/>
              <w:rPr>
                <w:sz w:val="20"/>
                <w:szCs w:val="20"/>
                <w:color w:val="auto"/>
              </w:rPr>
            </w:pPr>
            <w:r>
              <w:rPr>
                <w:rFonts w:ascii="Times New Roman" w:cs="Times New Roman" w:eastAsia="Times New Roman" w:hAnsi="Times New Roman"/>
                <w:sz w:val="22"/>
                <w:szCs w:val="22"/>
                <w:b w:val="1"/>
                <w:bCs w:val="1"/>
                <w:u w:val="single" w:color="auto"/>
                <w:color w:val="auto"/>
                <w:w w:val="98"/>
              </w:rPr>
              <w:t>COVENANTS</w:t>
            </w:r>
          </w:p>
        </w:tc>
      </w:tr>
      <w:tr>
        <w:trPr>
          <w:trHeight w:val="471"/>
        </w:trPr>
        <w:tc>
          <w:tcPr>
            <w:tcW w:w="6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4"/>
              </w:rPr>
              <w:t>9.1</w:t>
            </w:r>
          </w:p>
        </w:tc>
        <w:tc>
          <w:tcPr>
            <w:tcW w:w="8460" w:type="dxa"/>
            <w:vAlign w:val="bottom"/>
          </w:tcPr>
          <w:p>
            <w:pPr>
              <w:ind w:left="400"/>
              <w:spacing w:after="0"/>
              <w:rPr>
                <w:sz w:val="20"/>
                <w:szCs w:val="20"/>
                <w:color w:val="auto"/>
              </w:rPr>
            </w:pPr>
            <w:r>
              <w:rPr>
                <w:rFonts w:ascii="Times New Roman" w:cs="Times New Roman" w:eastAsia="Times New Roman" w:hAnsi="Times New Roman"/>
                <w:sz w:val="22"/>
                <w:szCs w:val="22"/>
                <w:u w:val="single" w:color="auto"/>
                <w:color w:val="auto"/>
                <w:w w:val="98"/>
              </w:rPr>
              <w:t>Confidentiality</w:t>
            </w:r>
            <w:r>
              <w:rPr>
                <w:rFonts w:ascii="Times New Roman" w:cs="Times New Roman" w:eastAsia="Times New Roman" w:hAnsi="Times New Roman"/>
                <w:sz w:val="22"/>
                <w:szCs w:val="22"/>
                <w:color w:val="auto"/>
                <w:w w:val="98"/>
              </w:rPr>
              <w:t>. Each Member recognizes and acknowledges that it has and may in the future</w:t>
            </w:r>
          </w:p>
        </w:tc>
      </w:tr>
    </w:tbl>
    <w:p>
      <w:pPr>
        <w:spacing w:after="0" w:line="242" w:lineRule="auto"/>
        <w:rPr>
          <w:sz w:val="20"/>
          <w:szCs w:val="20"/>
          <w:color w:val="auto"/>
        </w:rPr>
      </w:pPr>
      <w:r>
        <w:rPr>
          <w:rFonts w:ascii="Times New Roman" w:cs="Times New Roman" w:eastAsia="Times New Roman" w:hAnsi="Times New Roman"/>
          <w:sz w:val="21"/>
          <w:szCs w:val="21"/>
          <w:color w:val="auto"/>
        </w:rPr>
        <w:t>receive certain confidential and proprietary information and trade secrets of the Company and its Affiliates that are not generally known to the public, including, but not limited to, information concerning business plans, financial statements and other information provided pursuant to this Agreement, identifiable, specific and discrete business opportunities being pursued by the Company, operating practices and methods, expansion plans, strategic plans, marketing plans, contracts, customer and supplier lists or other business documents which the Company treats as confidential, in any format whatsoever (including oral, written, electronic or any other form or medium) (collectively,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Except as otherwise agreed to by the Board, each Member agrees that it will not, and shall cause each of its directors, officers, members, partners, employees and agents not to, during or after the term of this Agreement, whether directly or indirectly through an Affiliate or otherwise, take commercial or proprietary advantage of or profit from any Confidential Information or disclose Confidential Information to any Person for any reason or purpose whatsoever, except (i) to authorized Directors, officers, representatives, agents and employees of the Company and as otherwise may be proper in the course of performing such Member’s obligations, or enforcing such Member’s rights, under this Agreement; (ii) to any bona fide prospective purchaser of the equity or assets of such Member or its Affiliates or the Units held by such Member or of the assets or Units of the Company, or prospective merger partner of such Member or its Affiliates or of the Company, provided that such prospective purchaser or merger partner agrees to be bound by the provisions of this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or a comparable agreement; or (iii) as is required to be disclosed by order of a court of competent jurisdiction, administrative body or governmental body, or by subpoena, summons or legal process, or by law, rule or regulation, provided that, to the extent permitted by law, the Member required to make such disclosure shall provide to the Board prompt notice of such disclosure. For purposes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shall not include any information which is disclosed by the Company or Calavo in a prospectus or other documents for dissemination to the public or otherwise becomes generally available to the public other than as a result of disclosure by such Person or any other Person who receives the information from such Person in breach of this Agreement or in breach of any other confidentiality obligation that is owed to the Company or Calavo. Neither the preceding provisions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9.1</w:t>
      </w:r>
      <w:r>
        <w:rPr>
          <w:rFonts w:ascii="Times New Roman" w:cs="Times New Roman" w:eastAsia="Times New Roman" w:hAnsi="Times New Roman"/>
          <w:sz w:val="21"/>
          <w:szCs w:val="21"/>
          <w:color w:val="auto"/>
        </w:rPr>
        <w:t xml:space="preserve"> nor any other provision of this Agreement shall be construed as prohibiting Calavo from disclosing any Confidential Information or other information that it is required to disclose under the Securities Act or the Securities Exchange Act, or the rules and regulations thereunder, in connection with a report or other document that Calavo files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70" w:name="page71"/>
    <w:bookmarkEnd w:id="70"/>
    <w:p>
      <w:pPr>
        <w:ind w:left="620"/>
        <w:spacing w:after="0"/>
        <w:tabs>
          <w:tab w:leader="none" w:pos="15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Non-compete; Non-solicit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firstLine="1620"/>
        <w:spacing w:after="0" w:line="232" w:lineRule="auto"/>
        <w:tabs>
          <w:tab w:leader="none" w:pos="232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Non-compete</w:t>
      </w:r>
      <w:r>
        <w:rPr>
          <w:rFonts w:ascii="Times New Roman" w:cs="Times New Roman" w:eastAsia="Times New Roman" w:hAnsi="Times New Roman"/>
          <w:sz w:val="22"/>
          <w:szCs w:val="22"/>
          <w:color w:val="auto"/>
        </w:rPr>
        <w:t>. In light of each Member’s access to Confidential Information and position of trust and confidence with the Company, each Member hereby agrees that, so long as such Member owns Units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xml:space="preserve">”), such Member shall not (i) render services or give advice to, or affiliate with (as employee, partner, consultant or otherwise), or (ii) directly or indirectly through one or more of any of their respective Affiliates, own, manage, operate, control or participate in the ownership, management, operation or control of, any Competitor or any division or business segment of any Competitor or otherwise directly or indirectly compete with the business conducted by the Company; provided, that nothing in this </w:t>
      </w:r>
      <w:r>
        <w:rPr>
          <w:rFonts w:ascii="Times New Roman" w:cs="Times New Roman" w:eastAsia="Times New Roman" w:hAnsi="Times New Roman"/>
          <w:sz w:val="22"/>
          <w:szCs w:val="22"/>
          <w:u w:val="single" w:color="auto"/>
          <w:color w:val="auto"/>
        </w:rPr>
        <w:t>Section 9.2(a)</w:t>
      </w:r>
      <w:r>
        <w:rPr>
          <w:rFonts w:ascii="Times New Roman" w:cs="Times New Roman" w:eastAsia="Times New Roman" w:hAnsi="Times New Roman"/>
          <w:sz w:val="22"/>
          <w:szCs w:val="22"/>
          <w:color w:val="auto"/>
        </w:rPr>
        <w:t xml:space="preserve"> shall prohibit such Member from acquiring or owning, directly or indirectly, up to 2% of the aggregate voting securities of any Competitor that is a publicly traded Person; and provided, further, that the restrictions of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shall cease to apply to a Service Provider who, within six months after a Sale of the Company, ceases to be a Service Provider of the Company by reason of (i) the Company’s termination of the Service Provider’s employment with, or other service to, the Company without Cause, or (ii) the Service Provider’s termination of his employment with, or other service to, the Company for Good Reason. With respect to the Co-Packers in their capacity as Members, if a Co-Packer should not be able to comply with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such Co-Packer shall be allowed to sell or transfer its Units as provided in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hereof. If such Co-Packer is unable, after using commercially reasonable efforts, to secure a bona fide purchase offer for its Units within 90 days of being notified that such Co-Packer is not in compliance with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and has not otherwise taken such actions as would be necessary to permit such Co-Packer to regain compliance with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then the Company shall exercise its right to acquire such Co-Packer’s Units as provided in the last sentence of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below.</w:t>
      </w:r>
    </w:p>
    <w:p>
      <w:pPr>
        <w:spacing w:after="0" w:line="215" w:lineRule="exact"/>
        <w:rPr>
          <w:rFonts w:ascii="Times New Roman" w:cs="Times New Roman" w:eastAsia="Times New Roman" w:hAnsi="Times New Roman"/>
          <w:sz w:val="22"/>
          <w:szCs w:val="22"/>
          <w:color w:val="auto"/>
        </w:rPr>
      </w:pPr>
    </w:p>
    <w:p>
      <w:pPr>
        <w:ind w:left="-20" w:right="40" w:firstLine="1620"/>
        <w:spacing w:after="0" w:line="235" w:lineRule="auto"/>
        <w:tabs>
          <w:tab w:leader="none" w:pos="23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 of Employees</w:t>
      </w:r>
      <w:r>
        <w:rPr>
          <w:rFonts w:ascii="Times New Roman" w:cs="Times New Roman" w:eastAsia="Times New Roman" w:hAnsi="Times New Roman"/>
          <w:sz w:val="22"/>
          <w:szCs w:val="22"/>
          <w:color w:val="auto"/>
        </w:rPr>
        <w:t xml:space="preserve">. In light of each Member’s access to Confidential Information and position of trust and confidence with the Company, each Member further agrees that, during the Restricted Period, he shall not, directly or indirectly through one or more of any of their respective Affiliates, hire or solicit, or encourage any other Person to hire or solicit, any individual who has been employed by the Company within one year prior to the date of such hiring or solicitation, or encourage any such individual to leave such employment. This </w:t>
      </w:r>
      <w:r>
        <w:rPr>
          <w:rFonts w:ascii="Times New Roman" w:cs="Times New Roman" w:eastAsia="Times New Roman" w:hAnsi="Times New Roman"/>
          <w:sz w:val="22"/>
          <w:szCs w:val="22"/>
          <w:u w:val="single" w:color="auto"/>
          <w:color w:val="auto"/>
        </w:rPr>
        <w:t>Section 9.2(b)</w:t>
      </w:r>
      <w:r>
        <w:rPr>
          <w:rFonts w:ascii="Times New Roman" w:cs="Times New Roman" w:eastAsia="Times New Roman" w:hAnsi="Times New Roman"/>
          <w:sz w:val="22"/>
          <w:szCs w:val="22"/>
          <w:color w:val="auto"/>
        </w:rPr>
        <w:t xml:space="preserve"> shall not prevent a Member from hiring or soliciting any employee or former employee of the Company who responds to a general solicitation that is a public solicitation of prospective employees and not directed specifically to any Company employees.</w:t>
      </w:r>
    </w:p>
    <w:p>
      <w:pPr>
        <w:spacing w:after="0" w:line="206" w:lineRule="exact"/>
        <w:rPr>
          <w:rFonts w:ascii="Times New Roman" w:cs="Times New Roman" w:eastAsia="Times New Roman" w:hAnsi="Times New Roman"/>
          <w:sz w:val="22"/>
          <w:szCs w:val="22"/>
          <w:color w:val="auto"/>
        </w:rPr>
      </w:pPr>
    </w:p>
    <w:p>
      <w:pPr>
        <w:ind w:left="-20" w:right="80" w:firstLine="1620"/>
        <w:spacing w:after="0" w:line="238" w:lineRule="auto"/>
        <w:tabs>
          <w:tab w:leader="none" w:pos="232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 of Customers</w:t>
      </w:r>
      <w:r>
        <w:rPr>
          <w:rFonts w:ascii="Times New Roman" w:cs="Times New Roman" w:eastAsia="Times New Roman" w:hAnsi="Times New Roman"/>
          <w:sz w:val="22"/>
          <w:szCs w:val="22"/>
          <w:color w:val="auto"/>
        </w:rPr>
        <w:t>. In light of each Member’s access to Confidential Information and position of trust and confidence with the Company, each Member further agrees that, during the Restricted Period, he shall not, directly or indirectly through one or more of any of their respective Affiliates, solicit or entice, or attempt to solicit or entice, any customers or suppliers of the Company for purposes of diverting their business from the Company.</w:t>
      </w:r>
    </w:p>
    <w:p>
      <w:pPr>
        <w:spacing w:after="0" w:line="204" w:lineRule="exact"/>
        <w:rPr>
          <w:rFonts w:ascii="Times New Roman" w:cs="Times New Roman" w:eastAsia="Times New Roman" w:hAnsi="Times New Roman"/>
          <w:sz w:val="22"/>
          <w:szCs w:val="22"/>
          <w:color w:val="auto"/>
        </w:rPr>
      </w:pPr>
    </w:p>
    <w:p>
      <w:pPr>
        <w:ind w:left="-20" w:right="20" w:firstLine="1620"/>
        <w:spacing w:after="0" w:line="239" w:lineRule="auto"/>
        <w:tabs>
          <w:tab w:leader="none" w:pos="23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Blue Pencil</w:t>
      </w:r>
      <w:r>
        <w:rPr>
          <w:rFonts w:ascii="Times New Roman" w:cs="Times New Roman" w:eastAsia="Times New Roman" w:hAnsi="Times New Roman"/>
          <w:sz w:val="22"/>
          <w:szCs w:val="22"/>
          <w:color w:val="auto"/>
        </w:rPr>
        <w:t xml:space="preserve">. If any court of competent jurisdiction determines that any of the covenants set forth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or any part thereof, is unenforceable because of the duration or geographic scope of such provision, such court shall have the right and power to modify any such unenforceable provision in lieu of severing such unenforceable provision from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80010</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40" w:top="355" w:right="939" w:bottom="1440" w:gutter="0" w:footer="0" w:header="0"/>
        </w:sectPr>
      </w:pPr>
    </w:p>
    <w:bookmarkStart w:id="71" w:name="page72"/>
    <w:bookmarkEnd w:id="71"/>
    <w:p>
      <w:pPr>
        <w:ind w:right="100"/>
        <w:spacing w:after="0" w:line="238" w:lineRule="auto"/>
        <w:rPr>
          <w:sz w:val="20"/>
          <w:szCs w:val="20"/>
          <w:color w:val="auto"/>
        </w:rPr>
      </w:pPr>
      <w:r>
        <w:rPr>
          <w:rFonts w:ascii="Times New Roman" w:cs="Times New Roman" w:eastAsia="Times New Roman" w:hAnsi="Times New Roman"/>
          <w:sz w:val="22"/>
          <w:szCs w:val="22"/>
          <w:color w:val="auto"/>
        </w:rPr>
        <w:t xml:space="preserve">this Agreement in its entirety, whether by rewriting the offending provision, deleting any or all of the offending provision, adding additional language to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or by making such other modifications as it deems warranted to carry out the intent and agreement of the parties as embodied herein to the maximum extent permitted by applicable law. The parties hereto expressly agree that this Agreement as so modified by the court shall be binding upon and enforceable against each of them.</w:t>
      </w:r>
    </w:p>
    <w:p>
      <w:pPr>
        <w:spacing w:after="0" w:line="204"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u w:val="single" w:color="auto"/>
          <w:color w:val="auto"/>
        </w:rPr>
        <w:t>Inventions</w:t>
      </w:r>
      <w:r>
        <w:rPr>
          <w:rFonts w:ascii="Times New Roman" w:cs="Times New Roman" w:eastAsia="Times New Roman" w:hAnsi="Times New Roman"/>
          <w:sz w:val="21"/>
          <w:szCs w:val="21"/>
          <w:color w:val="auto"/>
        </w:rPr>
        <w:t>. All processes, designs, technologies and inventions relating to the business of the Company (collectively, “</w:t>
      </w:r>
      <w:r>
        <w:rPr>
          <w:rFonts w:ascii="Times New Roman" w:cs="Times New Roman" w:eastAsia="Times New Roman" w:hAnsi="Times New Roman"/>
          <w:sz w:val="21"/>
          <w:szCs w:val="21"/>
          <w:u w:val="single" w:color="auto"/>
          <w:color w:val="auto"/>
        </w:rPr>
        <w:t>Inventions</w:t>
      </w:r>
      <w:r>
        <w:rPr>
          <w:rFonts w:ascii="Times New Roman" w:cs="Times New Roman" w:eastAsia="Times New Roman" w:hAnsi="Times New Roman"/>
          <w:sz w:val="21"/>
          <w:szCs w:val="21"/>
          <w:color w:val="auto"/>
        </w:rPr>
        <w:t xml:space="preserve">”), including new contributions, improvements, ideas, discoveries, trademarks and trade names, conceived, developed, invented, made or found by a Service Provider, alone or with others, during his employment or consultancy with the Company, whether or not patentable and whether or not conceived, developed, invented, made or found on the Company’s time or with the use of the Company’s facilities or materials, shall be the property of the Company and shall be promptly and fully disclosed by the Service Provider to the Company. The Service Providers shall perform all necessary acts (including, without limitation, executing and delivering any confirmatory assignments, documents or instruments requested by the Company) to assign or otherwise to vest title to any such Inventions in the Company and to enable the Company, at its sole expense, to secure and maintain patents or any other rights for such Inventions. As used in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business of the Company</w:t>
      </w:r>
      <w:r>
        <w:rPr>
          <w:rFonts w:ascii="Times New Roman" w:cs="Times New Roman" w:eastAsia="Times New Roman" w:hAnsi="Times New Roman"/>
          <w:sz w:val="21"/>
          <w:szCs w:val="21"/>
          <w:color w:val="auto"/>
        </w:rPr>
        <w:t>” shall mean whatever business the Company is conducting at the relevant time.</w:t>
      </w:r>
    </w:p>
    <w:p>
      <w:pPr>
        <w:spacing w:after="0" w:line="205"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Other Business Activities</w:t>
      </w:r>
      <w:r>
        <w:rPr>
          <w:rFonts w:ascii="Times New Roman" w:cs="Times New Roman" w:eastAsia="Times New Roman" w:hAnsi="Times New Roman"/>
          <w:sz w:val="21"/>
          <w:szCs w:val="21"/>
          <w:color w:val="auto"/>
        </w:rPr>
        <w:t>. The parties hereto expressly acknowledge and agree that, notwithstanding any other provision of this Agreement: (a) each of Calavo, Fresh Benefit, Inc. (“</w:t>
      </w:r>
      <w:r>
        <w:rPr>
          <w:rFonts w:ascii="Times New Roman" w:cs="Times New Roman" w:eastAsia="Times New Roman" w:hAnsi="Times New Roman"/>
          <w:sz w:val="21"/>
          <w:szCs w:val="21"/>
          <w:u w:val="single" w:color="auto"/>
          <w:color w:val="auto"/>
        </w:rPr>
        <w:t>Fresh Benefit</w:t>
      </w:r>
      <w:r>
        <w:rPr>
          <w:rFonts w:ascii="Times New Roman" w:cs="Times New Roman" w:eastAsia="Times New Roman" w:hAnsi="Times New Roman"/>
          <w:sz w:val="21"/>
          <w:szCs w:val="21"/>
          <w:color w:val="auto"/>
        </w:rPr>
        <w:t>”), of which David Ominsky and William Farrell III are officers and/or beneficial owners of equity securities, and their respective Affiliates are permitted to have, and presently have or may in the future have, investments or other business relationships, ventures, agreements or arrangements with entities engaged in business that is not directly competitive with the business of the Company (an “</w:t>
      </w:r>
      <w:r>
        <w:rPr>
          <w:rFonts w:ascii="Times New Roman" w:cs="Times New Roman" w:eastAsia="Times New Roman" w:hAnsi="Times New Roman"/>
          <w:sz w:val="21"/>
          <w:szCs w:val="21"/>
          <w:u w:val="single" w:color="auto"/>
          <w:color w:val="auto"/>
        </w:rPr>
        <w:t>Other Business</w:t>
      </w:r>
      <w:r>
        <w:rPr>
          <w:rFonts w:ascii="Times New Roman" w:cs="Times New Roman" w:eastAsia="Times New Roman" w:hAnsi="Times New Roman"/>
          <w:sz w:val="21"/>
          <w:szCs w:val="21"/>
          <w:color w:val="auto"/>
        </w:rPr>
        <w:t>”); (b) none of Calavo, Fresh Benefit or their respective Affiliates will be prohibited by virtue of Calavo’s and Messrs. Ominsky and Farrell III’s respective investment in the Company from pursuing and engaging in any such activities; (c) none of Calavo, Fresh Benefit or their respective Affiliates will be obligated to inform the Company or any Member of any such opportunity, relationship or investment (a “</w:t>
      </w:r>
      <w:r>
        <w:rPr>
          <w:rFonts w:ascii="Times New Roman" w:cs="Times New Roman" w:eastAsia="Times New Roman" w:hAnsi="Times New Roman"/>
          <w:sz w:val="21"/>
          <w:szCs w:val="21"/>
          <w:u w:val="single" w:color="auto"/>
          <w:color w:val="auto"/>
        </w:rPr>
        <w:t>Business Opportunity</w:t>
      </w:r>
      <w:r>
        <w:rPr>
          <w:rFonts w:ascii="Times New Roman" w:cs="Times New Roman" w:eastAsia="Times New Roman" w:hAnsi="Times New Roman"/>
          <w:sz w:val="21"/>
          <w:szCs w:val="21"/>
          <w:color w:val="auto"/>
        </w:rPr>
        <w:t>”) or to present such Business Opportunity to the Company, and the Company hereby renounces any interest in a Business Opportunity and any expectancy that a Business Opportunity will be offered to it; (d) nothing contained herein shall limit, prohibit or restrict any Director, who is also a Calavo director, from serving on the board of directors or other governing body or committee of any Other Business; and (e) the Members will not acquire, be provided with an option or opportunity to acquire, or be entitled to any interest or participation in any Other Business as a result of the participation therein of any of Calavo, Fresh Benefit or their respective Affiliates. The parties hereto expressly authorize and consent to the involvement of Calavo, Fresh Benefit and/or their respective Affiliates in any Other Business. The parties hereto expressly waive, to the fullest extent permitted by applicable law, any rights to assert any claim that such involvement breaches any fiduciary or other duty or obligation owed by Calavo, David Ominsky or William Farrell III to the Company or any Member or to assert that such involvement constitutes a conflict of interest by Calavo, David Ominsky or William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55" w:right="939" w:bottom="1440" w:gutter="0" w:footer="0" w:header="0"/>
        </w:sectPr>
      </w:pPr>
    </w:p>
    <w:bookmarkStart w:id="72" w:name="page73"/>
    <w:bookmarkEnd w:id="72"/>
    <w:p>
      <w:pPr>
        <w:ind w:right="340"/>
        <w:spacing w:after="0" w:line="258" w:lineRule="auto"/>
        <w:rPr>
          <w:sz w:val="20"/>
          <w:szCs w:val="20"/>
          <w:color w:val="auto"/>
        </w:rPr>
      </w:pPr>
      <w:r>
        <w:rPr>
          <w:rFonts w:ascii="Times New Roman" w:cs="Times New Roman" w:eastAsia="Times New Roman" w:hAnsi="Times New Roman"/>
          <w:sz w:val="22"/>
          <w:szCs w:val="22"/>
          <w:color w:val="auto"/>
        </w:rPr>
        <w:t xml:space="preserve">Farrell III with respect to the Company or any Member. Notwithstanding anything to the contrary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9.1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9.3</w:t>
      </w:r>
      <w:r>
        <w:rPr>
          <w:rFonts w:ascii="Times New Roman" w:cs="Times New Roman" w:eastAsia="Times New Roman" w:hAnsi="Times New Roman"/>
          <w:sz w:val="22"/>
          <w:szCs w:val="22"/>
          <w:color w:val="auto"/>
        </w:rPr>
        <w:t xml:space="preserve"> shall remain in effect.</w:t>
      </w:r>
    </w:p>
    <w:p>
      <w:pPr>
        <w:spacing w:after="0" w:line="18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Violations</w:t>
      </w:r>
      <w:r>
        <w:rPr>
          <w:rFonts w:ascii="Times New Roman" w:cs="Times New Roman" w:eastAsia="Times New Roman" w:hAnsi="Times New Roman"/>
          <w:sz w:val="22"/>
          <w:szCs w:val="22"/>
          <w:color w:val="auto"/>
        </w:rPr>
        <w:t xml:space="preserve">. If any Member breaches any provision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or in the event that any such breach is threatened by any Member, in addition to and without limiting or waiving any other remedies available to the Company at law or in equity, the Company shall be entitled to immediate injunctive relief in any court, domestic or foreign, having the capacity to grant such relief, to restrain any such breach or threatened breach and to enforce the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The parties hereto expressly acknowledge and agree that, among the Company’s other rights and remedies, the Company shall not be required to make any payments or distributions to a Member under this Agreement or under an employment agreement or consulting agreement between a Member who is a Service Provider and the Company if such Member violates any agreement or duty under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The Company has a right to buy a breaching Member’s Units for his or its cash Capital Contribution to the Company in respect of such Units, and any unpaid Promissory Note shall be repaid if the Company buys an Initial Service Provider’s Units on his breach.</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TAX MATTERS</w:t>
      </w:r>
    </w:p>
    <w:p>
      <w:pPr>
        <w:spacing w:after="0" w:line="209"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Preparation of Tax Returns</w:t>
      </w:r>
      <w:r>
        <w:rPr>
          <w:rFonts w:ascii="Times New Roman" w:cs="Times New Roman" w:eastAsia="Times New Roman" w:hAnsi="Times New Roman"/>
          <w:sz w:val="22"/>
          <w:szCs w:val="22"/>
          <w:color w:val="auto"/>
        </w:rPr>
        <w:t>. The Company shall arrange for the preparation and timely filing of all returns required to be filed by the Company. Each Member shall timely furnish to the Board all pertinent information in its possession relating to Company operations that is necessary to enable the Company’s income tax returns to be prepared and filed.</w:t>
      </w:r>
    </w:p>
    <w:p>
      <w:pPr>
        <w:spacing w:after="0" w:line="208" w:lineRule="exact"/>
        <w:rPr>
          <w:sz w:val="20"/>
          <w:szCs w:val="20"/>
          <w:color w:val="auto"/>
        </w:rPr>
      </w:pPr>
    </w:p>
    <w:p>
      <w:pPr>
        <w:jc w:val="both"/>
        <w:ind w:right="40" w:firstLine="648"/>
        <w:spacing w:after="0" w:line="262"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Tax Elections</w:t>
      </w:r>
      <w:r>
        <w:rPr>
          <w:rFonts w:ascii="Times New Roman" w:cs="Times New Roman" w:eastAsia="Times New Roman" w:hAnsi="Times New Roman"/>
          <w:sz w:val="21"/>
          <w:szCs w:val="21"/>
          <w:color w:val="auto"/>
        </w:rPr>
        <w:t>. The Taxable Year shall be determined by the Board in accordance with applicable laws. The Board shall, in its sole discretion, determine whether to make or revoke any available election pursuant to the Code. Each Member will upon request supply any information necessary to give proper effect to such election.</w:t>
      </w:r>
    </w:p>
    <w:p>
      <w:pPr>
        <w:spacing w:after="0" w:line="182"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Tax Controversies</w:t>
      </w:r>
      <w:r>
        <w:rPr>
          <w:rFonts w:ascii="Times New Roman" w:cs="Times New Roman" w:eastAsia="Times New Roman" w:hAnsi="Times New Roman"/>
          <w:sz w:val="22"/>
          <w:szCs w:val="22"/>
          <w:color w:val="auto"/>
        </w:rPr>
        <w:t>. The Tax Matters Partner is authorized and required to represent the Company (at the Company’s expense) in connection with all examinations of the Company’s affairs by tax authorities, including resulting administrative and judicial proceedings, and to expend Company funds for professional services and reasonably incurred in connection therewith. Each Member agrees to cooperate with the Company and to do or refrain from doing any or all things reasonably requested by the Company with respect to the conduct of such proceedings.</w:t>
      </w:r>
    </w:p>
    <w:p>
      <w:pPr>
        <w:spacing w:after="0" w:line="209"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u w:val="single" w:color="auto"/>
          <w:color w:val="auto"/>
        </w:rPr>
        <w:t>Tax Representative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40" w:right="60" w:firstLine="980"/>
        <w:spacing w:after="0" w:line="238" w:lineRule="auto"/>
        <w:tabs>
          <w:tab w:leader="none" w:pos="282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10.4 shall become effective commencing as of January 1, 2018. Upon its effectiveness, all references in this Agreement to "Tax Matters Partner" shall be replaced with "Tax Representative" and all references throughout this Agreement to provisions of the Code shall be to such provisions as enacted by the Bipartisan Budget Act of 2015, as such provisions may subsequently be modified.</w:t>
      </w:r>
    </w:p>
    <w:p>
      <w:pPr>
        <w:spacing w:after="0" w:line="204" w:lineRule="exact"/>
        <w:rPr>
          <w:rFonts w:ascii="Times New Roman" w:cs="Times New Roman" w:eastAsia="Times New Roman" w:hAnsi="Times New Roman"/>
          <w:sz w:val="22"/>
          <w:szCs w:val="22"/>
          <w:color w:val="auto"/>
        </w:rPr>
      </w:pPr>
    </w:p>
    <w:p>
      <w:pPr>
        <w:ind w:left="640" w:right="660" w:firstLine="980"/>
        <w:spacing w:after="0" w:line="258" w:lineRule="auto"/>
        <w:tabs>
          <w:tab w:leader="none" w:pos="278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and until another Member is designated as the Company's designated "partnership representative" within the meaning of Code Section 6223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73" w:name="page74"/>
    <w:bookmarkEnd w:id="73"/>
    <w:p>
      <w:pPr>
        <w:ind w:left="120" w:right="12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Representative</w:t>
      </w:r>
      <w:r>
        <w:rPr>
          <w:rFonts w:ascii="Times New Roman" w:cs="Times New Roman" w:eastAsia="Times New Roman" w:hAnsi="Times New Roman"/>
          <w:sz w:val="22"/>
          <w:szCs w:val="22"/>
          <w:color w:val="auto"/>
        </w:rPr>
        <w:t>”), the existing Tax Matters Partner shall act as the Tax Representative with sole authority to act on behalf of the Company for purposes of Subchapter C of Chapter 63 of the Code and any comparable provisions of state or local income tax laws.</w:t>
      </w:r>
    </w:p>
    <w:p>
      <w:pPr>
        <w:spacing w:after="0" w:line="201" w:lineRule="exact"/>
        <w:rPr>
          <w:sz w:val="20"/>
          <w:szCs w:val="20"/>
          <w:color w:val="auto"/>
        </w:rPr>
      </w:pPr>
    </w:p>
    <w:p>
      <w:pPr>
        <w:ind w:left="120" w:right="260" w:firstLine="980"/>
        <w:spacing w:after="0" w:line="262" w:lineRule="auto"/>
        <w:tabs>
          <w:tab w:leader="none" w:pos="230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qualifies to elect pursuant to Code Section 6221(b) (or any successor provision) to have Subchapter C of Chapter 63 of the Code not apply to any federal income tax audits and other proceedings, the Tax Representative shall cause the Company to make such election.</w:t>
      </w:r>
    </w:p>
    <w:p>
      <w:pPr>
        <w:spacing w:after="0" w:line="181" w:lineRule="exact"/>
        <w:rPr>
          <w:rFonts w:ascii="Times New Roman" w:cs="Times New Roman" w:eastAsia="Times New Roman" w:hAnsi="Times New Roman"/>
          <w:sz w:val="21"/>
          <w:szCs w:val="21"/>
          <w:color w:val="auto"/>
        </w:rPr>
      </w:pPr>
    </w:p>
    <w:p>
      <w:pPr>
        <w:ind w:left="120" w:right="20" w:firstLine="980"/>
        <w:spacing w:after="0" w:line="236" w:lineRule="auto"/>
        <w:tabs>
          <w:tab w:leader="none" w:pos="226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"partnership adjustment" (as defined in Code Section 6241(2)) is determined with respect to the Company, the Tax Representative shall promptly notify the Members upon the receipt of a notice of final partnership adjustment, and shall, within 30 days after the receipt of such notice, take such actions as it deems reasonably necessary (including whether to file a petition in Tax Court) to cause the Company to pay the amount of any such adjustment under Code Section 6225, or make the election under Code Section 6226.</w:t>
      </w:r>
    </w:p>
    <w:p>
      <w:pPr>
        <w:spacing w:after="0" w:line="209" w:lineRule="exact"/>
        <w:rPr>
          <w:rFonts w:ascii="Times New Roman" w:cs="Times New Roman" w:eastAsia="Times New Roman" w:hAnsi="Times New Roman"/>
          <w:sz w:val="22"/>
          <w:szCs w:val="22"/>
          <w:color w:val="auto"/>
        </w:rPr>
      </w:pPr>
    </w:p>
    <w:p>
      <w:pPr>
        <w:ind w:left="120" w:right="60" w:firstLine="980"/>
        <w:spacing w:after="0" w:line="233" w:lineRule="auto"/>
        <w:tabs>
          <w:tab w:leader="none" w:pos="230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"partnership adjustment" (as defined in Code Section 6241(2)) is finally determined with respect to the Company, and the Tax Representative has not caused the Company to make the election under Code Section 6226, then (i) the Members shall take such actions requested by the Tax Representative, including filing amended tax returns and paying any tax due in accordance with Code Section 6225(c)(2); (ii) the Tax Representative shall use commercially reasonable efforts to make any modifications available under Code Section 6225(c)(3), (4) and (5); and (iii) any "imputed underpayment" (as determined in accordance with Code Section 6225) or partnership adjustment that does not give rise to an imputed underpayment shall be apportioned among the Members of the Company for the taxable year in which the adjustment is finalized in such manner as may be necessary (as determined by the Tax Representative in good faith) so that, to the maximum extent possible, the tax and economic consequences of the partnership adjustment and any associated interest and penalties are borne by the Members based upon the Units they held in the Company for the reviewed year.</w:t>
      </w:r>
    </w:p>
    <w:p>
      <w:pPr>
        <w:spacing w:after="0" w:line="213" w:lineRule="exact"/>
        <w:rPr>
          <w:rFonts w:ascii="Times New Roman" w:cs="Times New Roman" w:eastAsia="Times New Roman" w:hAnsi="Times New Roman"/>
          <w:sz w:val="22"/>
          <w:szCs w:val="22"/>
          <w:color w:val="auto"/>
        </w:rPr>
      </w:pPr>
    </w:p>
    <w:p>
      <w:pPr>
        <w:ind w:left="120" w:firstLine="980"/>
        <w:spacing w:after="0" w:line="235" w:lineRule="auto"/>
        <w:tabs>
          <w:tab w:leader="none" w:pos="228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Subsidiary of the Company (i) pays any partnership adjustment under Code Section 6225; (ii) requires the Company to file an amended tax return and pay associated taxes to reduce the amount of a partnership adjustment imposed on the Subsidiary, or (iii) makes an election under Code Section 6226, the Tax Representative shall cause the Company to make the administrative adjustment request provided for in Code Section 6227 consistent with the principles and limitations set forth in Sections 10.4(d) through 10.4(e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above for partnership adjustments of the Company, and the Members shall take such actions reasonably requested by the Tax Representative in furtherance of such administrative adjustment request.</w:t>
      </w:r>
    </w:p>
    <w:p>
      <w:pPr>
        <w:spacing w:after="0" w:line="206" w:lineRule="exact"/>
        <w:rPr>
          <w:rFonts w:ascii="Times New Roman" w:cs="Times New Roman" w:eastAsia="Times New Roman" w:hAnsi="Times New Roman"/>
          <w:sz w:val="22"/>
          <w:szCs w:val="22"/>
          <w:color w:val="auto"/>
        </w:rPr>
      </w:pPr>
    </w:p>
    <w:p>
      <w:pPr>
        <w:ind w:left="120" w:firstLine="980"/>
        <w:spacing w:after="0" w:line="244" w:lineRule="auto"/>
        <w:tabs>
          <w:tab w:leader="none" w:pos="225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Member or former Member under this Section 10.4 shall survive the transfer or redemption by such Member of its Units and the termination of this Agreement or the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-943610</wp:posOffset>
            </wp:positionV>
            <wp:extent cx="4318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80010</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480"/>
          </w:cols>
          <w:pgMar w:left="1440" w:top="328" w:right="97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TRANSFER OF UNITS</w:t>
      </w:r>
    </w:p>
    <w:p>
      <w:pPr>
        <w:spacing w:after="0" w:line="209" w:lineRule="exact"/>
        <w:rPr>
          <w:sz w:val="20"/>
          <w:szCs w:val="20"/>
          <w:color w:val="auto"/>
        </w:rPr>
      </w:pPr>
    </w:p>
    <w:p>
      <w:pPr>
        <w:ind w:left="620"/>
        <w:spacing w:after="0"/>
        <w:tabs>
          <w:tab w:leader="none" w:pos="15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Transfers by Members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right="20" w:firstLine="1620"/>
        <w:spacing w:after="0" w:line="234" w:lineRule="auto"/>
        <w:tabs>
          <w:tab w:leader="none" w:pos="232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Member shall Transfer any interest in any Units other than (i) to a Permitted Transferee, (ii) in connection with an Approved Sale or a Public Offering, (iii) pursuant to and in compliance with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11.2(h)</w:t>
      </w:r>
      <w:r>
        <w:rPr>
          <w:rFonts w:ascii="Times New Roman" w:cs="Times New Roman" w:eastAsia="Times New Roman" w:hAnsi="Times New Roman"/>
          <w:sz w:val="22"/>
          <w:szCs w:val="22"/>
          <w:color w:val="auto"/>
        </w:rPr>
        <w:t xml:space="preserve">, (iv) to Calavo or other Members under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or pursuant to the Promissory Notes or (v) with the prior written consent of the Board, which consent may be withheld in the Board’s sole discretion. Furthermore, no Member who is an Initial Service Provider shall Transfer any interest in any Initial Units until May 1, 2018 and only then if his Promissory Note is repaid in full, except for Transfers to Calavo or other Members under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or pursuant to the Promissory Notes, or in connection with an Approved Sale or a Public Offering. Any Transfer or attempted Transfer in violation of this </w:t>
      </w:r>
      <w:r>
        <w:rPr>
          <w:rFonts w:ascii="Times New Roman" w:cs="Times New Roman" w:eastAsia="Times New Roman" w:hAnsi="Times New Roman"/>
          <w:sz w:val="22"/>
          <w:szCs w:val="22"/>
          <w:u w:val="single" w:color="auto"/>
          <w:color w:val="auto"/>
        </w:rPr>
        <w:t>Section 11.1(a)</w:t>
      </w:r>
      <w:r>
        <w:rPr>
          <w:rFonts w:ascii="Times New Roman" w:cs="Times New Roman" w:eastAsia="Times New Roman" w:hAnsi="Times New Roman"/>
          <w:sz w:val="22"/>
          <w:szCs w:val="22"/>
          <w:color w:val="auto"/>
        </w:rPr>
        <w:t xml:space="preserve"> shall be void.</w:t>
      </w:r>
    </w:p>
    <w:p>
      <w:pPr>
        <w:spacing w:after="0" w:line="211" w:lineRule="exact"/>
        <w:rPr>
          <w:rFonts w:ascii="Times New Roman" w:cs="Times New Roman" w:eastAsia="Times New Roman" w:hAnsi="Times New Roman"/>
          <w:sz w:val="22"/>
          <w:szCs w:val="22"/>
          <w:color w:val="auto"/>
        </w:rPr>
      </w:pPr>
    </w:p>
    <w:p>
      <w:pPr>
        <w:ind w:left="-20" w:right="220" w:firstLine="1620"/>
        <w:spacing w:after="0" w:line="238" w:lineRule="auto"/>
        <w:tabs>
          <w:tab w:leader="none" w:pos="23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connection with an Approved Sale, each Transferee of Units or other interest(s) in the Company, including any beneficiary of a deceased Service Provider whose Initial Units have vested pursuant to this Agreement, shall, as conditions precedent to such Transfer, be admitted as a Member pursuant to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and execute and deliver a counterpart or joinder to this Agreement pursuant to which such Transferee shall agree to be bound by the provisions of this Agreement.</w:t>
      </w:r>
    </w:p>
    <w:p>
      <w:pPr>
        <w:spacing w:after="0" w:line="204" w:lineRule="exact"/>
        <w:rPr>
          <w:sz w:val="20"/>
          <w:szCs w:val="20"/>
          <w:color w:val="auto"/>
        </w:rPr>
      </w:pPr>
    </w:p>
    <w:p>
      <w:pPr>
        <w:ind w:left="620"/>
        <w:spacing w:after="0"/>
        <w:tabs>
          <w:tab w:leader="none" w:pos="15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Right of First Refusal</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20" w:firstLine="1620"/>
        <w:spacing w:after="0" w:line="244" w:lineRule="auto"/>
        <w:tabs>
          <w:tab w:leader="none" w:pos="2327"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Offered Units</w:t>
      </w:r>
      <w:r>
        <w:rPr>
          <w:rFonts w:ascii="Times New Roman" w:cs="Times New Roman" w:eastAsia="Times New Roman" w:hAnsi="Times New Roman"/>
          <w:sz w:val="21"/>
          <w:szCs w:val="21"/>
          <w:color w:val="auto"/>
        </w:rPr>
        <w:t xml:space="preserve">. At any time prior to the consummation of a Public Offering or an Approved Sale, and subject to the terms and conditions specified in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(including, without limitation,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the Company, first, and each Member holding Units other than Calavo, second, shall have a right of first refusal if any Member other than Calavo (the “</w:t>
      </w:r>
      <w:r>
        <w:rPr>
          <w:rFonts w:ascii="Times New Roman" w:cs="Times New Roman" w:eastAsia="Times New Roman" w:hAnsi="Times New Roman"/>
          <w:sz w:val="21"/>
          <w:szCs w:val="21"/>
          <w:u w:val="single" w:color="auto"/>
          <w:color w:val="auto"/>
        </w:rPr>
        <w:t>Offering Member</w:t>
      </w:r>
      <w:r>
        <w:rPr>
          <w:rFonts w:ascii="Times New Roman" w:cs="Times New Roman" w:eastAsia="Times New Roman" w:hAnsi="Times New Roman"/>
          <w:sz w:val="21"/>
          <w:szCs w:val="21"/>
          <w:color w:val="auto"/>
        </w:rPr>
        <w:t>”) receives a bona fide offer that the Offering Member desires to accept to Transfer all or any portion of the Units (the “</w:t>
      </w:r>
      <w:r>
        <w:rPr>
          <w:rFonts w:ascii="Times New Roman" w:cs="Times New Roman" w:eastAsia="Times New Roman" w:hAnsi="Times New Roman"/>
          <w:sz w:val="21"/>
          <w:szCs w:val="21"/>
          <w:u w:val="single" w:color="auto"/>
          <w:color w:val="auto"/>
        </w:rPr>
        <w:t>Offered Units</w:t>
      </w:r>
      <w:r>
        <w:rPr>
          <w:rFonts w:ascii="Times New Roman" w:cs="Times New Roman" w:eastAsia="Times New Roman" w:hAnsi="Times New Roman"/>
          <w:sz w:val="21"/>
          <w:szCs w:val="21"/>
          <w:color w:val="auto"/>
        </w:rPr>
        <w:t>”) it or he owns. As used herein, the term “</w:t>
      </w:r>
      <w:r>
        <w:rPr>
          <w:rFonts w:ascii="Times New Roman" w:cs="Times New Roman" w:eastAsia="Times New Roman" w:hAnsi="Times New Roman"/>
          <w:sz w:val="21"/>
          <w:szCs w:val="21"/>
          <w:u w:val="single" w:color="auto"/>
          <w:color w:val="auto"/>
        </w:rPr>
        <w:t>Applicable ROFR Rightholders</w:t>
      </w:r>
      <w:r>
        <w:rPr>
          <w:rFonts w:ascii="Times New Roman" w:cs="Times New Roman" w:eastAsia="Times New Roman" w:hAnsi="Times New Roman"/>
          <w:sz w:val="21"/>
          <w:szCs w:val="21"/>
          <w:color w:val="auto"/>
        </w:rPr>
        <w:t>” shall mean, in the case of a proposed Transfer of the Offered Units, all Members other than Calavo and the Offering Member holding Units, and the term “</w:t>
      </w:r>
      <w:r>
        <w:rPr>
          <w:rFonts w:ascii="Times New Roman" w:cs="Times New Roman" w:eastAsia="Times New Roman" w:hAnsi="Times New Roman"/>
          <w:sz w:val="21"/>
          <w:szCs w:val="21"/>
          <w:u w:val="single" w:color="auto"/>
          <w:color w:val="auto"/>
        </w:rPr>
        <w:t>Offering Member</w:t>
      </w:r>
      <w:r>
        <w:rPr>
          <w:rFonts w:ascii="Times New Roman" w:cs="Times New Roman" w:eastAsia="Times New Roman" w:hAnsi="Times New Roman"/>
          <w:sz w:val="21"/>
          <w:szCs w:val="21"/>
          <w:color w:val="auto"/>
        </w:rPr>
        <w:t>” shall exclude Calavo. In the event that Impermanence receives a bona fide offer that Impermanence desires to accept to Transfer a majority of the ownership interests of Impermanence (“</w:t>
      </w:r>
      <w:r>
        <w:rPr>
          <w:rFonts w:ascii="Times New Roman" w:cs="Times New Roman" w:eastAsia="Times New Roman" w:hAnsi="Times New Roman"/>
          <w:sz w:val="21"/>
          <w:szCs w:val="21"/>
          <w:u w:val="single" w:color="auto"/>
          <w:color w:val="auto"/>
        </w:rPr>
        <w:t>Impermanence Interests</w:t>
      </w:r>
      <w:r>
        <w:rPr>
          <w:rFonts w:ascii="Times New Roman" w:cs="Times New Roman" w:eastAsia="Times New Roman" w:hAnsi="Times New Roman"/>
          <w:sz w:val="21"/>
          <w:szCs w:val="21"/>
          <w:color w:val="auto"/>
        </w:rPr>
        <w:t xml:space="preserve">”), so long as Impermanence owns Units, the term (as used in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(i) “</w:t>
      </w:r>
      <w:r>
        <w:rPr>
          <w:rFonts w:ascii="Times New Roman" w:cs="Times New Roman" w:eastAsia="Times New Roman" w:hAnsi="Times New Roman"/>
          <w:sz w:val="21"/>
          <w:szCs w:val="21"/>
          <w:u w:val="single" w:color="auto"/>
          <w:color w:val="auto"/>
        </w:rPr>
        <w:t>Offered Units</w:t>
      </w:r>
      <w:r>
        <w:rPr>
          <w:rFonts w:ascii="Times New Roman" w:cs="Times New Roman" w:eastAsia="Times New Roman" w:hAnsi="Times New Roman"/>
          <w:sz w:val="21"/>
          <w:szCs w:val="21"/>
          <w:color w:val="auto"/>
        </w:rPr>
        <w:t>” shall be deemed to refer to Impermanence Interests, and (ii) “</w:t>
      </w:r>
      <w:r>
        <w:rPr>
          <w:rFonts w:ascii="Times New Roman" w:cs="Times New Roman" w:eastAsia="Times New Roman" w:hAnsi="Times New Roman"/>
          <w:sz w:val="21"/>
          <w:szCs w:val="21"/>
          <w:u w:val="single" w:color="auto"/>
          <w:color w:val="auto"/>
        </w:rPr>
        <w:t>Units</w:t>
      </w:r>
      <w:r>
        <w:rPr>
          <w:rFonts w:ascii="Times New Roman" w:cs="Times New Roman" w:eastAsia="Times New Roman" w:hAnsi="Times New Roman"/>
          <w:sz w:val="21"/>
          <w:szCs w:val="21"/>
          <w:color w:val="auto"/>
        </w:rPr>
        <w:t xml:space="preserve">” shall refer to Impermanence Interests when the context requires; provided, however, that notwithstanding anything to the contrary contained herein, the right of first refusal provided under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as to Impermanence Units shall extend solely to the Applicable ROFR Rightholders (and not to the Company) and the following provisions of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shall be interpreted accordingly.</w:t>
      </w:r>
    </w:p>
    <w:p>
      <w:pPr>
        <w:spacing w:after="0" w:line="209" w:lineRule="exact"/>
        <w:rPr>
          <w:rFonts w:ascii="Times New Roman" w:cs="Times New Roman" w:eastAsia="Times New Roman" w:hAnsi="Times New Roman"/>
          <w:sz w:val="21"/>
          <w:szCs w:val="21"/>
          <w:color w:val="auto"/>
        </w:rPr>
      </w:pPr>
    </w:p>
    <w:p>
      <w:pPr>
        <w:ind w:left="-20" w:right="60" w:firstLine="1620"/>
        <w:spacing w:after="0" w:line="239" w:lineRule="auto"/>
        <w:tabs>
          <w:tab w:leader="none" w:pos="23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Exceptions</w:t>
      </w:r>
      <w:r>
        <w:rPr>
          <w:rFonts w:ascii="Times New Roman" w:cs="Times New Roman" w:eastAsia="Times New Roman" w:hAnsi="Times New Roman"/>
          <w:sz w:val="22"/>
          <w:szCs w:val="22"/>
          <w:color w:val="auto"/>
        </w:rPr>
        <w:t xml:space="preserve">. Each time the Offering Member receives an offer for a Transfer of any of its or his Units, other than Transfers that (i) are Permitted Transfers, or (ii) are proposed to be made by a dragging Member or required to be made by a Member dragged along pursuant to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in connection with an Approved Sale or a Public Offering,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80010</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40" w:top="351" w:right="919" w:bottom="1440" w:gutter="0" w:footer="0" w:header="0"/>
        </w:sectPr>
      </w:pPr>
    </w:p>
    <w:bookmarkStart w:id="75" w:name="page76"/>
    <w:bookmarkEnd w:id="75"/>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Offering Member shall first make an offering of the Offered Units to the Company, first, and the Applicable ROFR Rightholders, second, all in accordance with the following provisions of 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prior to Transferring such Offered Units to the proposed purchaser.</w:t>
      </w:r>
    </w:p>
    <w:p>
      <w:pPr>
        <w:spacing w:after="0" w:line="201" w:lineRule="exact"/>
        <w:rPr>
          <w:sz w:val="20"/>
          <w:szCs w:val="20"/>
          <w:color w:val="auto"/>
        </w:rPr>
      </w:pPr>
    </w:p>
    <w:p>
      <w:pPr>
        <w:ind w:left="2300" w:hanging="680"/>
        <w:spacing w:after="0"/>
        <w:tabs>
          <w:tab w:leader="none" w:pos="2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 Notice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100" w:firstLine="2268"/>
        <w:spacing w:after="0" w:line="247" w:lineRule="auto"/>
        <w:tabs>
          <w:tab w:leader="none" w:pos="2955"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Offering Member shall, within five business days of receipt of the Transfer offer, give written notice (the “</w:t>
      </w:r>
      <w:r>
        <w:rPr>
          <w:rFonts w:ascii="Times New Roman" w:cs="Times New Roman" w:eastAsia="Times New Roman" w:hAnsi="Times New Roman"/>
          <w:sz w:val="21"/>
          <w:szCs w:val="21"/>
          <w:u w:val="single" w:color="auto"/>
          <w:color w:val="auto"/>
        </w:rPr>
        <w:t>Offering Member Notice</w:t>
      </w:r>
      <w:r>
        <w:rPr>
          <w:rFonts w:ascii="Times New Roman" w:cs="Times New Roman" w:eastAsia="Times New Roman" w:hAnsi="Times New Roman"/>
          <w:sz w:val="21"/>
          <w:szCs w:val="21"/>
          <w:color w:val="auto"/>
        </w:rPr>
        <w:t>”) to the Company and the Applicable ROFR Rightholders stating that it has received a signed, bona fide offer for a Transfer of its or his Units and specifying: (A) the number of Offered Units to be Transferred by the Offering Member; (B) the proposed date, time and location of the closing of the Transfer, which shall not be less than sixty business days from the date of the Offering Member Notice; (C) the purchase price per Offered Unit (which shall be payable solely in cash) and the other material terms and conditions of the Transfer; and (D) the name of the Person who has offered to purchase such Offered Units. The Offering Member Notice shall be accompanied by a copy of the signed offer from the proposed purchaser.</w:t>
      </w:r>
    </w:p>
    <w:p>
      <w:pPr>
        <w:spacing w:after="0" w:line="199" w:lineRule="exact"/>
        <w:rPr>
          <w:rFonts w:ascii="Times New Roman" w:cs="Times New Roman" w:eastAsia="Times New Roman" w:hAnsi="Times New Roman"/>
          <w:sz w:val="21"/>
          <w:szCs w:val="21"/>
          <w:color w:val="auto"/>
        </w:rPr>
      </w:pPr>
    </w:p>
    <w:p>
      <w:pPr>
        <w:ind w:right="20" w:firstLine="2268"/>
        <w:spacing w:after="0" w:line="244" w:lineRule="auto"/>
        <w:tabs>
          <w:tab w:leader="none" w:pos="296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Offering Member Notice shall constitute the Offering Member’s offer to Transfer the Offered Units to the Company and the Applicable ROFR Rightholders, which offer shall be irrevocable until the end of the ROFR Rightholder Option Period described in </w:t>
      </w:r>
      <w:r>
        <w:rPr>
          <w:rFonts w:ascii="Times New Roman" w:cs="Times New Roman" w:eastAsia="Times New Roman" w:hAnsi="Times New Roman"/>
          <w:sz w:val="22"/>
          <w:szCs w:val="22"/>
          <w:u w:val="single" w:color="auto"/>
          <w:color w:val="auto"/>
        </w:rPr>
        <w:t>Section 11.2(d)(iii)</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ind w:right="60" w:firstLine="2268"/>
        <w:spacing w:after="0" w:line="249" w:lineRule="auto"/>
        <w:tabs>
          <w:tab w:leader="none" w:pos="2971"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delivering the Offering Member Notice, the Offering Member represents and warrants to the Company and each Applicable ROFR Rightholder that: (A) the Offering Member has full right, title and interest in and to the Offered Units; (B) the Offering Member has all the necessary power and authority and has taken all necessary action to Transfer such Offered Units as contemplated by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(C) the Offered Units are free and clear of any and all liens other than those arising as a result of or under the terms of this Agreement; and (D) the Offered Units are the subject of a bona fide offer from the proposed purchaser.</w:t>
      </w:r>
    </w:p>
    <w:p>
      <w:pPr>
        <w:spacing w:after="0" w:line="198" w:lineRule="exact"/>
        <w:rPr>
          <w:rFonts w:ascii="Times New Roman" w:cs="Times New Roman" w:eastAsia="Times New Roman" w:hAnsi="Times New Roman"/>
          <w:sz w:val="21"/>
          <w:szCs w:val="21"/>
          <w:color w:val="auto"/>
        </w:rPr>
      </w:pPr>
    </w:p>
    <w:p>
      <w:pPr>
        <w:ind w:left="2300" w:hanging="680"/>
        <w:spacing w:after="0"/>
        <w:tabs>
          <w:tab w:leader="none" w:pos="2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Right of First Refusal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120" w:firstLine="2268"/>
        <w:spacing w:after="0" w:line="234" w:lineRule="auto"/>
        <w:tabs>
          <w:tab w:leader="none" w:pos="2959"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receipt of the Offering Member Notice, the Company and each Applicable ROFR Rightholder shall have the right to purchase the Offered Units in the following order of priority: first, the Company shall have the right to purchase all or any portion of the Offered Units in accordance with the procedures set forth in </w:t>
      </w:r>
      <w:r>
        <w:rPr>
          <w:rFonts w:ascii="Times New Roman" w:cs="Times New Roman" w:eastAsia="Times New Roman" w:hAnsi="Times New Roman"/>
          <w:sz w:val="22"/>
          <w:szCs w:val="22"/>
          <w:u w:val="single" w:color="auto"/>
          <w:color w:val="auto"/>
        </w:rPr>
        <w:t>Section 11.2(d)(ii)</w:t>
      </w:r>
      <w:r>
        <w:rPr>
          <w:rFonts w:ascii="Times New Roman" w:cs="Times New Roman" w:eastAsia="Times New Roman" w:hAnsi="Times New Roman"/>
          <w:sz w:val="22"/>
          <w:szCs w:val="22"/>
          <w:color w:val="auto"/>
        </w:rPr>
        <w:t xml:space="preserve">, and thereafter, the Applicable ROFR Rightholders shall have the right to purchase the Offered Units, in accordance with the procedures set forth in </w:t>
      </w:r>
      <w:r>
        <w:rPr>
          <w:rFonts w:ascii="Times New Roman" w:cs="Times New Roman" w:eastAsia="Times New Roman" w:hAnsi="Times New Roman"/>
          <w:sz w:val="22"/>
          <w:szCs w:val="22"/>
          <w:u w:val="single" w:color="auto"/>
          <w:color w:val="auto"/>
        </w:rPr>
        <w:t>Section 11.2(d)(iii)</w:t>
      </w:r>
      <w:r>
        <w:rPr>
          <w:rFonts w:ascii="Times New Roman" w:cs="Times New Roman" w:eastAsia="Times New Roman" w:hAnsi="Times New Roman"/>
          <w:sz w:val="22"/>
          <w:szCs w:val="22"/>
          <w:color w:val="auto"/>
        </w:rPr>
        <w:t xml:space="preserve">, to the extent the Company does not exercise its right in full. Notwithstanding the foregoing, the Company and the Applicable ROFR Rightholders may only exercise their right to purchase the Offered Units if, after giving effect to all elections made under this </w:t>
      </w:r>
      <w:r>
        <w:rPr>
          <w:rFonts w:ascii="Times New Roman" w:cs="Times New Roman" w:eastAsia="Times New Roman" w:hAnsi="Times New Roman"/>
          <w:sz w:val="22"/>
          <w:szCs w:val="22"/>
          <w:u w:val="single" w:color="auto"/>
          <w:color w:val="auto"/>
        </w:rPr>
        <w:t>Section 11.2(d)</w:t>
      </w:r>
      <w:r>
        <w:rPr>
          <w:rFonts w:ascii="Times New Roman" w:cs="Times New Roman" w:eastAsia="Times New Roman" w:hAnsi="Times New Roman"/>
          <w:sz w:val="22"/>
          <w:szCs w:val="22"/>
          <w:color w:val="auto"/>
        </w:rPr>
        <w:t>, no less than all of the Offered Units will be purchased by the Company and/or the Applicable ROFR Rightholders.</w:t>
      </w:r>
    </w:p>
    <w:p>
      <w:pPr>
        <w:spacing w:after="0" w:line="211" w:lineRule="exact"/>
        <w:rPr>
          <w:rFonts w:ascii="Times New Roman" w:cs="Times New Roman" w:eastAsia="Times New Roman" w:hAnsi="Times New Roman"/>
          <w:sz w:val="22"/>
          <w:szCs w:val="22"/>
          <w:color w:val="auto"/>
        </w:rPr>
      </w:pPr>
    </w:p>
    <w:p>
      <w:pPr>
        <w:ind w:right="320" w:firstLine="2268"/>
        <w:spacing w:after="0" w:line="239" w:lineRule="auto"/>
        <w:tabs>
          <w:tab w:leader="none" w:pos="296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right of the Company to purchase any Offered Units shall be exercisable with the delivery of a written notice (the “</w:t>
      </w:r>
      <w:r>
        <w:rPr>
          <w:rFonts w:ascii="Times New Roman" w:cs="Times New Roman" w:eastAsia="Times New Roman" w:hAnsi="Times New Roman"/>
          <w:sz w:val="22"/>
          <w:szCs w:val="22"/>
          <w:u w:val="single" w:color="auto"/>
          <w:color w:val="auto"/>
        </w:rPr>
        <w:t>Company ROFR Exercise Notice</w:t>
      </w:r>
      <w:r>
        <w:rPr>
          <w:rFonts w:ascii="Times New Roman" w:cs="Times New Roman" w:eastAsia="Times New Roman" w:hAnsi="Times New Roman"/>
          <w:sz w:val="22"/>
          <w:szCs w:val="22"/>
          <w:color w:val="auto"/>
        </w:rPr>
        <w:t>”) by the Company to the Offering Member and the Applicable ROFR Rightholders within ten business days of receipt of the Offering Member Notice (the “</w:t>
      </w:r>
      <w:r>
        <w:rPr>
          <w:rFonts w:ascii="Times New Roman" w:cs="Times New Roman" w:eastAsia="Times New Roman" w:hAnsi="Times New Roman"/>
          <w:sz w:val="22"/>
          <w:szCs w:val="22"/>
          <w:u w:val="single" w:color="auto"/>
          <w:color w:val="auto"/>
        </w:rPr>
        <w:t>Company Option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76" w:name="page77"/>
    <w:bookmarkEnd w:id="76"/>
    <w:p>
      <w:pPr>
        <w:ind w:right="200"/>
        <w:spacing w:after="0" w:line="244" w:lineRule="auto"/>
        <w:rPr>
          <w:sz w:val="20"/>
          <w:szCs w:val="20"/>
          <w:color w:val="auto"/>
        </w:rPr>
      </w:pP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stating the number (including where such number is zero) of Offered Units the Company elects irrevocably to purchase on the terms and respective purchase prices set forth in the Offering Member Notice. The Company ROFR Exercise Notice shall be binding upon delivery and irrevocable by the Company.</w:t>
      </w:r>
    </w:p>
    <w:p>
      <w:pPr>
        <w:spacing w:after="0" w:line="201" w:lineRule="exact"/>
        <w:rPr>
          <w:sz w:val="20"/>
          <w:szCs w:val="20"/>
          <w:color w:val="auto"/>
        </w:rPr>
      </w:pPr>
    </w:p>
    <w:p>
      <w:pPr>
        <w:ind w:firstLine="2268"/>
        <w:spacing w:after="0" w:line="233" w:lineRule="auto"/>
        <w:tabs>
          <w:tab w:leader="none" w:pos="297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shall have indicated an intent to purchase any less than all of the Offered Units, the Applicable ROFR Rightholders shall have the right to purchase the remaining Offered Units not selected by the Company. For a period of fifteen business days following the receipt of a Company ROFR Exercise Notice in which the Company has elected to purchase less than all the Offered Units (such period, the “</w:t>
      </w:r>
      <w:r>
        <w:rPr>
          <w:rFonts w:ascii="Times New Roman" w:cs="Times New Roman" w:eastAsia="Times New Roman" w:hAnsi="Times New Roman"/>
          <w:sz w:val="22"/>
          <w:szCs w:val="22"/>
          <w:u w:val="single" w:color="auto"/>
          <w:color w:val="auto"/>
        </w:rPr>
        <w:t>ROFR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Rightholder Option Period</w:t>
      </w:r>
      <w:r>
        <w:rPr>
          <w:rFonts w:ascii="Times New Roman" w:cs="Times New Roman" w:eastAsia="Times New Roman" w:hAnsi="Times New Roman"/>
          <w:sz w:val="22"/>
          <w:szCs w:val="22"/>
          <w:color w:val="auto"/>
        </w:rPr>
        <w:t>”), each Applicable ROFR Rightholder shall have the right to elect irrevocably to purchase all or none of its Percentage Interest of the remaining Offered Units by delivering a written notice to the Company and the Offering Member (a “</w:t>
      </w:r>
      <w:r>
        <w:rPr>
          <w:rFonts w:ascii="Times New Roman" w:cs="Times New Roman" w:eastAsia="Times New Roman" w:hAnsi="Times New Roman"/>
          <w:sz w:val="22"/>
          <w:szCs w:val="22"/>
          <w:u w:val="single" w:color="auto"/>
          <w:color w:val="auto"/>
        </w:rPr>
        <w:t>Member ROFR Exercise Notice</w:t>
      </w:r>
      <w:r>
        <w:rPr>
          <w:rFonts w:ascii="Times New Roman" w:cs="Times New Roman" w:eastAsia="Times New Roman" w:hAnsi="Times New Roman"/>
          <w:sz w:val="22"/>
          <w:szCs w:val="22"/>
          <w:color w:val="auto"/>
        </w:rPr>
        <w:t>”) specifying its desire to purchase its Percentage Interest of the remaining Offered Units, on the terms and respective purchase prices set forth in the Offering Member Notice. In addition, each Applicable ROFR Rightholder shall include in its Member ROFR Exercise Notice the number of remaining Offered Units that it wishes to purchase if any other Applicable ROFR Rightholders do not exercise their rights to purchase their entire Percentage Interest of the remaining Offered Units. Any Member ROFR Exercise Notice shall be binding upon delivery and irrevocable by the Applicable ROFR Rightholder.</w:t>
      </w:r>
    </w:p>
    <w:p>
      <w:pPr>
        <w:spacing w:after="0" w:line="210" w:lineRule="exact"/>
        <w:rPr>
          <w:rFonts w:ascii="Times New Roman" w:cs="Times New Roman" w:eastAsia="Times New Roman" w:hAnsi="Times New Roman"/>
          <w:sz w:val="22"/>
          <w:szCs w:val="22"/>
          <w:color w:val="auto"/>
        </w:rPr>
      </w:pPr>
    </w:p>
    <w:p>
      <w:pPr>
        <w:ind w:right="80" w:firstLine="2268"/>
        <w:spacing w:after="0" w:line="238" w:lineRule="auto"/>
        <w:tabs>
          <w:tab w:leader="none" w:pos="295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failure of the Company or any Applicable ROFR Rightholder to deliver a Company ROFR Exercise Notice or Member ROFR Exercise Notice, respectively, by the end of the Company Option Period or ROFR Rightholder Option Period, respectively, shall constitute a waiver of their respective rights of first refusal under this </w:t>
      </w:r>
      <w:r>
        <w:rPr>
          <w:rFonts w:ascii="Times New Roman" w:cs="Times New Roman" w:eastAsia="Times New Roman" w:hAnsi="Times New Roman"/>
          <w:sz w:val="22"/>
          <w:szCs w:val="22"/>
          <w:u w:val="single" w:color="auto"/>
          <w:color w:val="auto"/>
        </w:rPr>
        <w:t>Section 11.2(d)(iv)</w:t>
      </w:r>
      <w:r>
        <w:rPr>
          <w:rFonts w:ascii="Times New Roman" w:cs="Times New Roman" w:eastAsia="Times New Roman" w:hAnsi="Times New Roman"/>
          <w:sz w:val="22"/>
          <w:szCs w:val="22"/>
          <w:color w:val="auto"/>
        </w:rPr>
        <w:t xml:space="preserve"> with respect to the Transfer of Offered Units, but shall not affect their respective rights with respect to any future Transfers.</w:t>
      </w:r>
    </w:p>
    <w:p>
      <w:pPr>
        <w:spacing w:after="0" w:line="204" w:lineRule="exact"/>
        <w:rPr>
          <w:rFonts w:ascii="Times New Roman" w:cs="Times New Roman" w:eastAsia="Times New Roman" w:hAnsi="Times New Roman"/>
          <w:sz w:val="22"/>
          <w:szCs w:val="22"/>
          <w:color w:val="auto"/>
        </w:rPr>
      </w:pPr>
    </w:p>
    <w:p>
      <w:pPr>
        <w:ind w:right="520" w:firstLine="1620"/>
        <w:spacing w:after="0" w:line="244" w:lineRule="auto"/>
        <w:tabs>
          <w:tab w:leader="none" w:pos="234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 of Offered Units</w:t>
      </w:r>
      <w:r>
        <w:rPr>
          <w:rFonts w:ascii="Times New Roman" w:cs="Times New Roman" w:eastAsia="Times New Roman" w:hAnsi="Times New Roman"/>
          <w:sz w:val="22"/>
          <w:szCs w:val="22"/>
          <w:color w:val="auto"/>
        </w:rPr>
        <w:t xml:space="preserve">. Upon the expiration of the ROFR Rightholder Option Period, the Offered Units not selected for purchase by the Company pursuant to </w:t>
      </w:r>
      <w:r>
        <w:rPr>
          <w:rFonts w:ascii="Times New Roman" w:cs="Times New Roman" w:eastAsia="Times New Roman" w:hAnsi="Times New Roman"/>
          <w:sz w:val="22"/>
          <w:szCs w:val="22"/>
          <w:u w:val="single" w:color="auto"/>
          <w:color w:val="auto"/>
        </w:rPr>
        <w:t>Section 11.2(d)(ii)</w:t>
      </w:r>
      <w:r>
        <w:rPr>
          <w:rFonts w:ascii="Times New Roman" w:cs="Times New Roman" w:eastAsia="Times New Roman" w:hAnsi="Times New Roman"/>
          <w:sz w:val="22"/>
          <w:szCs w:val="22"/>
          <w:color w:val="auto"/>
        </w:rPr>
        <w:t xml:space="preserve"> shall be allocated for purchase among the Applicable ROFR Rightholders as follows:</w:t>
      </w:r>
    </w:p>
    <w:p>
      <w:pPr>
        <w:spacing w:after="0" w:line="200" w:lineRule="exact"/>
        <w:rPr>
          <w:rFonts w:ascii="Times New Roman" w:cs="Times New Roman" w:eastAsia="Times New Roman" w:hAnsi="Times New Roman"/>
          <w:sz w:val="22"/>
          <w:szCs w:val="22"/>
          <w:color w:val="auto"/>
        </w:rPr>
      </w:pPr>
    </w:p>
    <w:p>
      <w:pPr>
        <w:ind w:right="60" w:firstLine="2268"/>
        <w:spacing w:after="0" w:line="282" w:lineRule="auto"/>
        <w:tabs>
          <w:tab w:leader="none" w:pos="2959"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to each Applicable ROFR Rightholder having elected to purchase its entire Percentage Interest of such Units, such Applicable ROFR Rightholder’s Percentage Interest of such Units; and</w:t>
      </w:r>
    </w:p>
    <w:p>
      <w:pPr>
        <w:spacing w:after="0" w:line="161" w:lineRule="exact"/>
        <w:rPr>
          <w:rFonts w:ascii="Times New Roman" w:cs="Times New Roman" w:eastAsia="Times New Roman" w:hAnsi="Times New Roman"/>
          <w:sz w:val="21"/>
          <w:szCs w:val="21"/>
          <w:color w:val="auto"/>
        </w:rPr>
      </w:pPr>
    </w:p>
    <w:p>
      <w:pPr>
        <w:ind w:right="20" w:firstLine="2268"/>
        <w:spacing w:after="0" w:line="234" w:lineRule="auto"/>
        <w:tabs>
          <w:tab w:leader="none" w:pos="2965"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Second, the balance, if any, not allocated under clause (i) above (and not purchased by the Company pursuant to </w:t>
      </w:r>
      <w:r>
        <w:rPr>
          <w:rFonts w:ascii="Times New Roman" w:cs="Times New Roman" w:eastAsia="Times New Roman" w:hAnsi="Times New Roman"/>
          <w:sz w:val="22"/>
          <w:szCs w:val="22"/>
          <w:u w:val="single" w:color="auto"/>
          <w:color w:val="auto"/>
        </w:rPr>
        <w:t>Section 11.2(d)(ii)</w:t>
      </w:r>
      <w:r>
        <w:rPr>
          <w:rFonts w:ascii="Times New Roman" w:cs="Times New Roman" w:eastAsia="Times New Roman" w:hAnsi="Times New Roman"/>
          <w:sz w:val="22"/>
          <w:szCs w:val="22"/>
          <w:color w:val="auto"/>
        </w:rPr>
        <w:t>), shall be allocated to those Applicable ROFR Rightholders who set forth in their Member ROFR Exercise Notices a number of Offered Units that exceeded their respective Percentage Interest (the “</w:t>
      </w:r>
      <w:r>
        <w:rPr>
          <w:rFonts w:ascii="Times New Roman" w:cs="Times New Roman" w:eastAsia="Times New Roman" w:hAnsi="Times New Roman"/>
          <w:sz w:val="22"/>
          <w:szCs w:val="22"/>
          <w:u w:val="single" w:color="auto"/>
          <w:color w:val="auto"/>
        </w:rPr>
        <w:t>Purchasing Rightholders</w:t>
      </w:r>
      <w:r>
        <w:rPr>
          <w:rFonts w:ascii="Times New Roman" w:cs="Times New Roman" w:eastAsia="Times New Roman" w:hAnsi="Times New Roman"/>
          <w:sz w:val="22"/>
          <w:szCs w:val="22"/>
          <w:color w:val="auto"/>
        </w:rPr>
        <w:t xml:space="preserve">”), in an amount, with respect to each such Purchasing Rightholder, that is equal to the lesser of (A) the number of Offered Units that such Purchasing Rightholder elected to purchase in excess of its Percentage Interest; or (B) the product of (x) the number of Offered Units not allocated under clause (i) (and not purchased by the Company pursuant to </w:t>
      </w:r>
      <w:r>
        <w:rPr>
          <w:rFonts w:ascii="Times New Roman" w:cs="Times New Roman" w:eastAsia="Times New Roman" w:hAnsi="Times New Roman"/>
          <w:sz w:val="22"/>
          <w:szCs w:val="22"/>
          <w:u w:val="single" w:color="auto"/>
          <w:color w:val="auto"/>
        </w:rPr>
        <w:t>Section 11.2(d)(ii)</w:t>
      </w:r>
      <w:r>
        <w:rPr>
          <w:rFonts w:ascii="Times New Roman" w:cs="Times New Roman" w:eastAsia="Times New Roman" w:hAnsi="Times New Roman"/>
          <w:sz w:val="22"/>
          <w:szCs w:val="22"/>
          <w:color w:val="auto"/>
        </w:rPr>
        <w:t>), multiplied by (y) a fraction, the numerator of which is the number of Offered Units that such Purchasing Rightholder was permitted to purchase pursuant to clause (i),</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355" w:right="979" w:bottom="1440" w:gutter="0" w:footer="0" w:header="0"/>
        </w:sectPr>
      </w:pPr>
    </w:p>
    <w:bookmarkStart w:id="77" w:name="page78"/>
    <w:bookmarkEnd w:id="77"/>
    <w:p>
      <w:pPr>
        <w:ind w:right="560"/>
        <w:spacing w:after="0" w:line="258" w:lineRule="auto"/>
        <w:rPr>
          <w:sz w:val="20"/>
          <w:szCs w:val="20"/>
          <w:color w:val="auto"/>
        </w:rPr>
      </w:pPr>
      <w:r>
        <w:rPr>
          <w:rFonts w:ascii="Times New Roman" w:cs="Times New Roman" w:eastAsia="Times New Roman" w:hAnsi="Times New Roman"/>
          <w:sz w:val="22"/>
          <w:szCs w:val="22"/>
          <w:color w:val="auto"/>
        </w:rPr>
        <w:t>and the denominator of which is the aggregate number of Offered Units that all Purchasing Rightholders were permitted to purchase pursuant to clause (i).</w:t>
      </w:r>
    </w:p>
    <w:p>
      <w:pPr>
        <w:spacing w:after="0" w:line="185" w:lineRule="exact"/>
        <w:rPr>
          <w:sz w:val="20"/>
          <w:szCs w:val="20"/>
          <w:color w:val="auto"/>
        </w:rPr>
      </w:pPr>
    </w:p>
    <w:p>
      <w:pPr>
        <w:ind w:right="40" w:firstLine="2268"/>
        <w:spacing w:after="0" w:line="244" w:lineRule="auto"/>
        <w:tabs>
          <w:tab w:leader="none" w:pos="2967"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process described in clause (ii) shall be repeated until no Offered Units remain or until such time as all Purchasing Rightholders have been permitted to purchase all Offered Units that they desire to purchase.</w:t>
      </w:r>
    </w:p>
    <w:p>
      <w:pPr>
        <w:spacing w:after="0" w:line="200" w:lineRule="exact"/>
        <w:rPr>
          <w:rFonts w:ascii="Times New Roman" w:cs="Times New Roman" w:eastAsia="Times New Roman" w:hAnsi="Times New Roman"/>
          <w:sz w:val="22"/>
          <w:szCs w:val="22"/>
          <w:color w:val="auto"/>
        </w:rPr>
      </w:pPr>
    </w:p>
    <w:p>
      <w:pPr>
        <w:ind w:firstLine="1620"/>
        <w:spacing w:after="0" w:line="233" w:lineRule="auto"/>
        <w:tabs>
          <w:tab w:leader="none" w:pos="232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Consummation of Sale</w:t>
      </w:r>
      <w:r>
        <w:rPr>
          <w:rFonts w:ascii="Times New Roman" w:cs="Times New Roman" w:eastAsia="Times New Roman" w:hAnsi="Times New Roman"/>
          <w:sz w:val="22"/>
          <w:szCs w:val="22"/>
          <w:color w:val="auto"/>
        </w:rPr>
        <w:t xml:space="preserve">. In the event that the Company and/or the Applicable ROFR Rightholders shall have, in the aggregate, exercised their respective rights to purchase all and not less than all of the Offered Units, then the Offering Member shall sell such Offered Units to the Company and/or the Applicable ROFR Rightholders, and the Company and/or the Applicable ROFR Rightholders, as the case may be, shall purchase such Offered Units, within sixty days following the expiration of the ROFR Rightholder Option Period (which period may be extended for a reasonable time not to exceed ninety days to the extent reasonably necessary to obtain required approvals or consents from any Governmental Authority). Each Member shall take all actions as may be reasonably necessary to consummate the sale contemplated by this </w:t>
      </w:r>
      <w:r>
        <w:rPr>
          <w:rFonts w:ascii="Times New Roman" w:cs="Times New Roman" w:eastAsia="Times New Roman" w:hAnsi="Times New Roman"/>
          <w:sz w:val="22"/>
          <w:szCs w:val="22"/>
          <w:u w:val="single" w:color="auto"/>
          <w:color w:val="auto"/>
        </w:rPr>
        <w:t>Section 11.2(f)</w:t>
      </w:r>
      <w:r>
        <w:rPr>
          <w:rFonts w:ascii="Times New Roman" w:cs="Times New Roman" w:eastAsia="Times New Roman" w:hAnsi="Times New Roman"/>
          <w:sz w:val="22"/>
          <w:szCs w:val="22"/>
          <w:color w:val="auto"/>
        </w:rPr>
        <w:t xml:space="preserve">, including, without limitation, entering into agreements and delivering certificates and instruments and consents as may be deemed necessary or appropriate. At the closing of any sale and purchase pursuant to this </w:t>
      </w:r>
      <w:r>
        <w:rPr>
          <w:rFonts w:ascii="Times New Roman" w:cs="Times New Roman" w:eastAsia="Times New Roman" w:hAnsi="Times New Roman"/>
          <w:sz w:val="22"/>
          <w:szCs w:val="22"/>
          <w:u w:val="single" w:color="auto"/>
          <w:color w:val="auto"/>
        </w:rPr>
        <w:t>Section 11.2(f)</w:t>
      </w:r>
      <w:r>
        <w:rPr>
          <w:rFonts w:ascii="Times New Roman" w:cs="Times New Roman" w:eastAsia="Times New Roman" w:hAnsi="Times New Roman"/>
          <w:sz w:val="22"/>
          <w:szCs w:val="22"/>
          <w:color w:val="auto"/>
        </w:rPr>
        <w:t>, the Offering Member shall deliver to the Company and/or the participating Applicable ROFR Rightholders certificates (if any) representing the Offered Units to be sold, free and clear of any liens or encumbrances (other than those contained in this Agreement), accompanied by evidence of transfer and all necessary transfer taxes paid and stamps affixed, if necessary, against receipt of the purchase price therefor from the Company and/or such Applicable ROFR Rightholders by certified or official bank check or by wire transfer of immediately available funds.</w:t>
      </w:r>
    </w:p>
    <w:p>
      <w:pPr>
        <w:spacing w:after="0" w:line="205" w:lineRule="exact"/>
        <w:rPr>
          <w:rFonts w:ascii="Times New Roman" w:cs="Times New Roman" w:eastAsia="Times New Roman" w:hAnsi="Times New Roman"/>
          <w:sz w:val="22"/>
          <w:szCs w:val="22"/>
          <w:color w:val="auto"/>
        </w:rPr>
      </w:pPr>
    </w:p>
    <w:p>
      <w:pPr>
        <w:ind w:right="20" w:firstLine="1620"/>
        <w:spacing w:after="0" w:line="248" w:lineRule="auto"/>
        <w:tabs>
          <w:tab w:leader="none" w:pos="235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 to Proposed Purchaser</w:t>
      </w:r>
      <w:r>
        <w:rPr>
          <w:rFonts w:ascii="Times New Roman" w:cs="Times New Roman" w:eastAsia="Times New Roman" w:hAnsi="Times New Roman"/>
          <w:sz w:val="21"/>
          <w:szCs w:val="21"/>
          <w:color w:val="auto"/>
        </w:rPr>
        <w:t xml:space="preserve">. In the event that the Company and/or the Applicable ROFR Rightholders shall not have collectively elected to purchase all of the Offered Units, then the Offering Member may Transfer all of such Offered Units, at a price per Offered Unit not less than specified in the Offering Member Notice and on other terms and conditions which are not materially more favorable in the aggregate to the proposed purchaser than those specified in the Offering Member Notice, but only to the extent that such Transfer occurs within sixty days after expiration of the ROFR Rightholder Option Period. Any Offered Units not Transferred within such 60-day period will be subject to the provisions of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upon subsequent Transfer.</w:t>
      </w:r>
    </w:p>
    <w:p>
      <w:pPr>
        <w:spacing w:after="0" w:line="198" w:lineRule="exact"/>
        <w:rPr>
          <w:rFonts w:ascii="Times New Roman" w:cs="Times New Roman" w:eastAsia="Times New Roman" w:hAnsi="Times New Roman"/>
          <w:sz w:val="21"/>
          <w:szCs w:val="21"/>
          <w:color w:val="auto"/>
        </w:rPr>
      </w:pPr>
    </w:p>
    <w:p>
      <w:pPr>
        <w:ind w:right="100" w:firstLine="1620"/>
        <w:spacing w:after="0" w:line="239" w:lineRule="auto"/>
        <w:tabs>
          <w:tab w:leader="none" w:pos="235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 to Right of First Refusal</w:t>
      </w:r>
      <w:r>
        <w:rPr>
          <w:rFonts w:ascii="Times New Roman" w:cs="Times New Roman" w:eastAsia="Times New Roman" w:hAnsi="Times New Roman"/>
          <w:sz w:val="22"/>
          <w:szCs w:val="22"/>
          <w:color w:val="auto"/>
        </w:rPr>
        <w:t xml:space="preserve">. Notwithstanding anything to the contrary in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or in any other provision of this Agreement, Calavo (i) may Transfer at any time after the Effective Date all or any portion of the Units it owns, and (ii) is not obligated to provide the Company or any other Member with the right of first refusal described in 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in connection with any such Transfer.</w:t>
      </w:r>
    </w:p>
    <w:p>
      <w:pPr>
        <w:spacing w:after="0" w:line="208"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u w:val="single" w:color="auto"/>
          <w:color w:val="auto"/>
        </w:rPr>
        <w:t>Approved Sale; Drag Along Obligations; Tag Along Rights; Public Offering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80" w:firstLine="1620"/>
        <w:spacing w:after="0" w:line="244" w:lineRule="auto"/>
        <w:tabs>
          <w:tab w:leader="none" w:pos="234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Board approves a Sale of the Company (an “</w:t>
      </w:r>
      <w:r>
        <w:rPr>
          <w:rFonts w:ascii="Times New Roman" w:cs="Times New Roman" w:eastAsia="Times New Roman" w:hAnsi="Times New Roman"/>
          <w:sz w:val="22"/>
          <w:szCs w:val="22"/>
          <w:u w:val="single" w:color="auto"/>
          <w:color w:val="auto"/>
        </w:rPr>
        <w:t>Approved Sale</w:t>
      </w:r>
      <w:r>
        <w:rPr>
          <w:rFonts w:ascii="Times New Roman" w:cs="Times New Roman" w:eastAsia="Times New Roman" w:hAnsi="Times New Roman"/>
          <w:sz w:val="22"/>
          <w:szCs w:val="22"/>
          <w:color w:val="auto"/>
        </w:rPr>
        <w:t>”), each Member, on ten days’ written notice from the Board, shall vote for, consent to and raise no objections against such Approved Sale. If the Approved Sale is structured as a (i) merger 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78" w:name="page79"/>
    <w:bookmarkEnd w:id="78"/>
    <w:p>
      <w:pPr>
        <w:ind w:right="60"/>
        <w:spacing w:after="0" w:line="238" w:lineRule="auto"/>
        <w:rPr>
          <w:sz w:val="20"/>
          <w:szCs w:val="20"/>
          <w:color w:val="auto"/>
        </w:rPr>
      </w:pPr>
      <w:r>
        <w:rPr>
          <w:rFonts w:ascii="Times New Roman" w:cs="Times New Roman" w:eastAsia="Times New Roman" w:hAnsi="Times New Roman"/>
          <w:sz w:val="22"/>
          <w:szCs w:val="22"/>
          <w:color w:val="auto"/>
        </w:rPr>
        <w:t>consolidation, each Member holding Units shall waive any dissenters rights, appraisal rights or similar rights in connection with such merger or consolidation or (ii) sale of Units, each Member holding Units shall agree to sell all of its or his Units and rights to acquire Units on the terms and conditions approved by the Board. Each Member holding Units shall take all necessary or desirable actions in connection with the consummation of the Approved Sale as requested by the Board.</w:t>
      </w:r>
    </w:p>
    <w:p>
      <w:pPr>
        <w:spacing w:after="0" w:line="204" w:lineRule="exact"/>
        <w:rPr>
          <w:sz w:val="20"/>
          <w:szCs w:val="20"/>
          <w:color w:val="auto"/>
        </w:rPr>
      </w:pPr>
    </w:p>
    <w:p>
      <w:pPr>
        <w:jc w:val="both"/>
        <w:ind w:firstLine="1620"/>
        <w:spacing w:after="0" w:line="234" w:lineRule="auto"/>
        <w:tabs>
          <w:tab w:leader="none" w:pos="249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each Member holding Units with respect to the Approved Sale are subject to the satisfaction of the following conditions: (i) the consideration payable upon consummation of such Approved Sale to all Members shall be allocated among the Members as if distributed pursuant to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(except to the extent that Tax Advances required to have been made by the Company pursuant to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xml:space="preserve"> have not been made, in which case such consideration shall first be distributed in respect of all Tax Advances which were not made as required by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xml:space="preserve"> and then in accordance with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and (ii) upon the consummation of the Approved Sale, all of the Members holding a particular class of Units shall receive the same amount of consideration per Unit of such class (with any noncash consideration valued in good faith by the Board), as reduced for any Member by the aggregate principal amount plus all accrued and unpaid interest on any debt or other obligations of such Member to the Company.</w:t>
      </w:r>
    </w:p>
    <w:p>
      <w:pPr>
        <w:spacing w:after="0" w:line="207" w:lineRule="exact"/>
        <w:rPr>
          <w:rFonts w:ascii="Times New Roman" w:cs="Times New Roman" w:eastAsia="Times New Roman" w:hAnsi="Times New Roman"/>
          <w:sz w:val="22"/>
          <w:szCs w:val="22"/>
          <w:color w:val="auto"/>
        </w:rPr>
      </w:pPr>
    </w:p>
    <w:p>
      <w:pPr>
        <w:ind w:firstLine="1620"/>
        <w:spacing w:after="0" w:line="232" w:lineRule="auto"/>
        <w:tabs>
          <w:tab w:leader="none" w:pos="234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Agreement to the contrary, in connection with an Approved Sale, (i) no Member will be required to make affirmative representations or warranties except as to such Member’s due power and authority, non-contravention and ownership of Units, free and clear of all liens, and (ii) each Member may be severally (and not jointly) obligated to join on a pro rata basis in any customary indemnification obligation agreed to by the Board in connection with such Approved Sale, except that each Member may be fully liable for obligations that relate specifically to such Member, such as indemnification with respect to representations and warranties given by such Member regarding such Member’s title to and ownership of Units; provided that no Member shall be obligated in connection with such Approved Sale to agree to indemnify or hold harmless the Transferees with respect to any amount in excess of the cash proceeds to which such Member is entitled in such Approved Sale or to make indemnity payments in excess of the net cash proceeds paid to such holder in connection with such Approved Sale; provided further that any escrow of proceeds of any such transaction shall be withheld on a pro rata basis among all Members. Each Member shall enter into any customary indemnification or contribution agreement reasonably requested by the Board to ensure compliance with this </w:t>
      </w:r>
      <w:r>
        <w:rPr>
          <w:rFonts w:ascii="Times New Roman" w:cs="Times New Roman" w:eastAsia="Times New Roman" w:hAnsi="Times New Roman"/>
          <w:sz w:val="22"/>
          <w:szCs w:val="22"/>
          <w:u w:val="single" w:color="auto"/>
          <w:color w:val="auto"/>
        </w:rPr>
        <w:t>Section 11.3(c)</w:t>
      </w:r>
      <w:r>
        <w:rPr>
          <w:rFonts w:ascii="Times New Roman" w:cs="Times New Roman" w:eastAsia="Times New Roman" w:hAnsi="Times New Roman"/>
          <w:sz w:val="22"/>
          <w:szCs w:val="22"/>
          <w:color w:val="auto"/>
        </w:rPr>
        <w:t xml:space="preserve"> and the provisions of this </w:t>
      </w:r>
      <w:r>
        <w:rPr>
          <w:rFonts w:ascii="Times New Roman" w:cs="Times New Roman" w:eastAsia="Times New Roman" w:hAnsi="Times New Roman"/>
          <w:sz w:val="22"/>
          <w:szCs w:val="22"/>
          <w:u w:val="single" w:color="auto"/>
          <w:color w:val="auto"/>
        </w:rPr>
        <w:t>Section 11.3(c)</w:t>
      </w:r>
      <w:r>
        <w:rPr>
          <w:rFonts w:ascii="Times New Roman" w:cs="Times New Roman" w:eastAsia="Times New Roman" w:hAnsi="Times New Roman"/>
          <w:sz w:val="22"/>
          <w:szCs w:val="22"/>
          <w:color w:val="auto"/>
        </w:rPr>
        <w:t xml:space="preserve"> shall be deemed complied with if the requirement for several liability is addressed through such agreement, even if the purchase and sale agreement or merger agreement related to the Approved Sale provides for joint and several liability.</w:t>
      </w:r>
    </w:p>
    <w:p>
      <w:pPr>
        <w:spacing w:after="0" w:line="219" w:lineRule="exact"/>
        <w:rPr>
          <w:rFonts w:ascii="Times New Roman" w:cs="Times New Roman" w:eastAsia="Times New Roman" w:hAnsi="Times New Roman"/>
          <w:sz w:val="22"/>
          <w:szCs w:val="22"/>
          <w:color w:val="auto"/>
        </w:rPr>
      </w:pPr>
    </w:p>
    <w:p>
      <w:pPr>
        <w:ind w:right="180" w:firstLine="1620"/>
        <w:spacing w:after="0" w:line="249" w:lineRule="auto"/>
        <w:tabs>
          <w:tab w:leader="none" w:pos="235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or holders of a majority of the Units enter into any negotiation or transaction for which Rule 506 (or any similar rule then in effect) promulgated by the Securities and Exchange Commission under the Securities Act may be available with respect to such negotiation or transaction (including a merger, consolidation or other reorganization), any Member who is not an “</w:t>
      </w:r>
      <w:r>
        <w:rPr>
          <w:rFonts w:ascii="Times New Roman" w:cs="Times New Roman" w:eastAsia="Times New Roman" w:hAnsi="Times New Roman"/>
          <w:sz w:val="21"/>
          <w:szCs w:val="21"/>
          <w:u w:val="single" w:color="auto"/>
          <w:color w:val="auto"/>
        </w:rPr>
        <w:t>accredited investor</w:t>
      </w:r>
      <w:r>
        <w:rPr>
          <w:rFonts w:ascii="Times New Roman" w:cs="Times New Roman" w:eastAsia="Times New Roman" w:hAnsi="Times New Roman"/>
          <w:sz w:val="21"/>
          <w:szCs w:val="21"/>
          <w:color w:val="auto"/>
        </w:rPr>
        <w:t>” under Rule 501 under the Securities Act shall, at the request of the holders of a majority of the Units, appoint a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representative</w:t>
      </w:r>
      <w:r>
        <w:rPr>
          <w:rFonts w:ascii="Times New Roman" w:cs="Times New Roman" w:eastAsia="Times New Roman" w:hAnsi="Times New Roman"/>
          <w:sz w:val="21"/>
          <w:szCs w:val="21"/>
          <w:color w:val="auto"/>
        </w:rPr>
        <w:t>” (as such term is defined in Rule 501 promulgated under the Securities Act) designated by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79" w:name="page80"/>
    <w:bookmarkEnd w:id="79"/>
    <w:p>
      <w:pPr>
        <w:spacing w:after="0" w:line="238" w:lineRule="auto"/>
        <w:rPr>
          <w:sz w:val="20"/>
          <w:szCs w:val="20"/>
          <w:color w:val="auto"/>
        </w:rPr>
      </w:pPr>
      <w:r>
        <w:rPr>
          <w:rFonts w:ascii="Times New Roman" w:cs="Times New Roman" w:eastAsia="Times New Roman" w:hAnsi="Times New Roman"/>
          <w:sz w:val="22"/>
          <w:szCs w:val="22"/>
          <w:color w:val="auto"/>
        </w:rPr>
        <w:t>Company and reasonably acceptable to the holders of a majority of the Units. If any Member so appoints a purchaser representative, the Company shall pay the fees of such purchaser representative. However, if any Member declines to appoint the purchaser representative designated by the Company, such Member shall appoint another purchaser representative (reasonably acceptable to the holders of a majority of the Units), and such Member shall be responsible for the fees of the purchaser representative so appointed.</w:t>
      </w:r>
    </w:p>
    <w:p>
      <w:pPr>
        <w:spacing w:after="0" w:line="204" w:lineRule="exact"/>
        <w:rPr>
          <w:sz w:val="20"/>
          <w:szCs w:val="20"/>
          <w:color w:val="auto"/>
        </w:rPr>
      </w:pPr>
    </w:p>
    <w:p>
      <w:pPr>
        <w:ind w:right="20" w:firstLine="1620"/>
        <w:spacing w:after="0" w:line="239" w:lineRule="auto"/>
        <w:tabs>
          <w:tab w:leader="none" w:pos="234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u w:val="single" w:color="auto"/>
          <w:color w:val="auto"/>
        </w:rPr>
        <w:t>Section 11.3(d)</w:t>
      </w:r>
      <w:r>
        <w:rPr>
          <w:rFonts w:ascii="Times New Roman" w:cs="Times New Roman" w:eastAsia="Times New Roman" w:hAnsi="Times New Roman"/>
          <w:sz w:val="22"/>
          <w:szCs w:val="22"/>
          <w:color w:val="auto"/>
        </w:rPr>
        <w:t xml:space="preserve">, each Member Transferring Units pursuant to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shall pay a share of the expenses incurred by the Members in connection with such Transfer on a pro rata basis among all Transferring Members (including by reducing the portion of the consideration to which such Member would be entitled in such Approved Sale).</w:t>
      </w:r>
    </w:p>
    <w:p>
      <w:pPr>
        <w:spacing w:after="0" w:line="207" w:lineRule="exact"/>
        <w:rPr>
          <w:rFonts w:ascii="Times New Roman" w:cs="Times New Roman" w:eastAsia="Times New Roman" w:hAnsi="Times New Roman"/>
          <w:sz w:val="22"/>
          <w:szCs w:val="22"/>
          <w:color w:val="auto"/>
        </w:rPr>
      </w:pPr>
    </w:p>
    <w:p>
      <w:pPr>
        <w:ind w:firstLine="1620"/>
        <w:spacing w:after="0" w:line="232" w:lineRule="auto"/>
        <w:tabs>
          <w:tab w:leader="none" w:pos="232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Members owning a majority of the outstanding Units of the Company (“</w:t>
      </w:r>
      <w:r>
        <w:rPr>
          <w:rFonts w:ascii="Times New Roman" w:cs="Times New Roman" w:eastAsia="Times New Roman" w:hAnsi="Times New Roman"/>
          <w:sz w:val="22"/>
          <w:szCs w:val="22"/>
          <w:u w:val="single" w:color="auto"/>
          <w:color w:val="auto"/>
        </w:rPr>
        <w:t>Majority Members</w:t>
      </w:r>
      <w:r>
        <w:rPr>
          <w:rFonts w:ascii="Times New Roman" w:cs="Times New Roman" w:eastAsia="Times New Roman" w:hAnsi="Times New Roman"/>
          <w:sz w:val="22"/>
          <w:szCs w:val="22"/>
          <w:color w:val="auto"/>
        </w:rPr>
        <w:t>”) desire or propose to sell a majority of the issued and outstanding Units of the Company for consideration but the foregoing is not an Approved Sale, the Majority Members shall first notify the remaining Members (the “</w:t>
      </w:r>
      <w:r>
        <w:rPr>
          <w:rFonts w:ascii="Times New Roman" w:cs="Times New Roman" w:eastAsia="Times New Roman" w:hAnsi="Times New Roman"/>
          <w:sz w:val="22"/>
          <w:szCs w:val="22"/>
          <w:u w:val="single" w:color="auto"/>
          <w:color w:val="auto"/>
        </w:rPr>
        <w:t>Minority Members</w:t>
      </w:r>
      <w:r>
        <w:rPr>
          <w:rFonts w:ascii="Times New Roman" w:cs="Times New Roman" w:eastAsia="Times New Roman" w:hAnsi="Times New Roman"/>
          <w:sz w:val="22"/>
          <w:szCs w:val="22"/>
          <w:color w:val="auto"/>
        </w:rPr>
        <w:t>”) in writing of the proposed sale within at least ten (10) business days prior to the closing of such sale and detail its principal terms, including but not limited to the proposed price and purchaser. Upon the Minority Members’ receipt of such notice, each Minority Member shall have a period of fifteen (15) days within which to notify the Majority Members in writing of his desire to sell to the prospective purchaser (or, at the Majority Members’ option, to the Majority Members, who hereby agree to purchase in the event they exercise such option and the proposed sale is consummated) the Minority Members’ Units for the price and on the terms specified in the notice. If a Minority Member elects to sell to the prospective purchaser (and the Majority Members do not exercise the foregoing option to purchase), then the Majority Members shall assign to the Minority Members making such election as much of their interest in the agreement with the prospective purchaser as such Minority Members shall be entitled to and shall accept hereunder (allocating in accordance with each participating Member’s Percentage Interest). If, within fifteen (15) days following their receipt of the notice from the Majority Members, none of the Minority Members elects to sell such Minority Members' Units to the prospective purchaser, the Majority Members shall have a period of sixty (60) days thereafter to sell their Units to the prospective purchaser, but only on terms and conditions no more favorable to the Majority Members than those contained in the notice sent to the Minority Members.</w:t>
      </w:r>
    </w:p>
    <w:p>
      <w:pPr>
        <w:spacing w:after="0" w:line="216" w:lineRule="exact"/>
        <w:rPr>
          <w:rFonts w:ascii="Times New Roman" w:cs="Times New Roman" w:eastAsia="Times New Roman" w:hAnsi="Times New Roman"/>
          <w:sz w:val="22"/>
          <w:szCs w:val="22"/>
          <w:color w:val="auto"/>
        </w:rPr>
      </w:pPr>
    </w:p>
    <w:p>
      <w:pPr>
        <w:ind w:right="60" w:firstLine="1620"/>
        <w:spacing w:after="0" w:line="236" w:lineRule="auto"/>
        <w:tabs>
          <w:tab w:leader="none" w:pos="235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if the Board approves a Public Offering, each Member shall, and shall cause its representatives to, vote for, consent to (to the extent it has any voting or consenting rights) and raise no objections against any such transaction, and the Company, the Board and each Member shall take all reasonable actions in connection with the consummation of any such transaction as requested by the Board, including without limitation executing a market stand-off agreement and lock-up agreement as may be required by the representative of the underwriters.</w:t>
      </w:r>
    </w:p>
    <w:p>
      <w:pPr>
        <w:spacing w:after="0" w:line="209" w:lineRule="exact"/>
        <w:rPr>
          <w:rFonts w:ascii="Times New Roman" w:cs="Times New Roman" w:eastAsia="Times New Roman" w:hAnsi="Times New Roman"/>
          <w:sz w:val="22"/>
          <w:szCs w:val="22"/>
          <w:color w:val="auto"/>
        </w:rPr>
      </w:pPr>
    </w:p>
    <w:p>
      <w:pPr>
        <w:ind w:firstLine="1620"/>
        <w:spacing w:after="0" w:line="239" w:lineRule="auto"/>
        <w:tabs>
          <w:tab w:leader="none" w:pos="235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manner shall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be construed to grant to any Member any dissenters’ rights or appraisal rights or give any Member any right to vote in any transaction structured as a merger or consolidation (it being understood that the Members have expressly waived rights under Section 18-210 of the Delaware Act and any other dissenters rights,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80" w:name="page81"/>
    <w:bookmarkEnd w:id="80"/>
    <w:p>
      <w:pPr>
        <w:ind w:right="480"/>
        <w:spacing w:after="0" w:line="258" w:lineRule="auto"/>
        <w:rPr>
          <w:sz w:val="20"/>
          <w:szCs w:val="20"/>
          <w:color w:val="auto"/>
        </w:rPr>
      </w:pPr>
      <w:r>
        <w:rPr>
          <w:rFonts w:ascii="Times New Roman" w:cs="Times New Roman" w:eastAsia="Times New Roman" w:hAnsi="Times New Roman"/>
          <w:sz w:val="22"/>
          <w:szCs w:val="22"/>
          <w:color w:val="auto"/>
        </w:rPr>
        <w:t>appraisal rights or similar rights (if any) and have granted to the Board the sole right to approve or consent to a merger or consolidation of the Company without approval or consent of the Members).</w:t>
      </w:r>
    </w:p>
    <w:p>
      <w:pPr>
        <w:spacing w:after="0" w:line="185"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u w:val="single" w:color="auto"/>
          <w:color w:val="auto"/>
        </w:rPr>
        <w:t>Void Transfers</w:t>
      </w:r>
      <w:r>
        <w:rPr>
          <w:rFonts w:ascii="Times New Roman" w:cs="Times New Roman" w:eastAsia="Times New Roman" w:hAnsi="Times New Roman"/>
          <w:sz w:val="21"/>
          <w:szCs w:val="21"/>
          <w:color w:val="auto"/>
        </w:rPr>
        <w:t>. Any Transfer by any Member of any Units or other interest in the Company in contravention of this Agreement in any respect (including the failure of the Transferee to execute and deliver a counterpart or joinder to this Agreement) or which would cause the Company to not be treated as a partnership for U.S. federal income tax purposes shall be void and ineffectual and shall not bind or be recognized by the Company or any other party. No purported assignee shall have any right to any profits, losses or distributions of the Company.</w:t>
      </w:r>
    </w:p>
    <w:p>
      <w:pPr>
        <w:spacing w:after="0" w:line="196" w:lineRule="exact"/>
        <w:rPr>
          <w:sz w:val="20"/>
          <w:szCs w:val="20"/>
          <w:color w:val="auto"/>
        </w:rPr>
      </w:pPr>
    </w:p>
    <w:p>
      <w:pPr>
        <w:ind w:left="640"/>
        <w:spacing w:after="0"/>
        <w:tabs>
          <w:tab w:leader="none" w:pos="164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u w:val="single" w:color="auto"/>
          <w:color w:val="auto"/>
        </w:rPr>
        <w:t>Additional Restrictions on Transfer</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620"/>
        <w:spacing w:after="0" w:line="236" w:lineRule="auto"/>
        <w:tabs>
          <w:tab w:leader="none" w:pos="234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no Transfer of Units or any other interest in the Company may be made unless in the opinion of counsel (who may be counsel for the Company), reasonably satisfactory in form and substance to the Board and counsel for the Company (which opinion may be waived, in whole or in part, at the sole discretion of the Board), such Transfer would be exempt from registration under the Securities Act. Such opinion of counsel shall be delivered in writing to the Company prior to the date of the Transfer.</w:t>
      </w:r>
    </w:p>
    <w:p>
      <w:pPr>
        <w:spacing w:after="0" w:line="209" w:lineRule="exact"/>
        <w:rPr>
          <w:rFonts w:ascii="Times New Roman" w:cs="Times New Roman" w:eastAsia="Times New Roman" w:hAnsi="Times New Roman"/>
          <w:sz w:val="22"/>
          <w:szCs w:val="22"/>
          <w:color w:val="auto"/>
        </w:rPr>
      </w:pPr>
    </w:p>
    <w:p>
      <w:pPr>
        <w:ind w:right="120" w:firstLine="1620"/>
        <w:spacing w:after="0" w:line="236" w:lineRule="auto"/>
        <w:tabs>
          <w:tab w:leader="none" w:pos="235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permit the Company to qualify for the benefit of a “</w:t>
      </w:r>
      <w:r>
        <w:rPr>
          <w:rFonts w:ascii="Times New Roman" w:cs="Times New Roman" w:eastAsia="Times New Roman" w:hAnsi="Times New Roman"/>
          <w:sz w:val="22"/>
          <w:szCs w:val="22"/>
          <w:u w:val="single" w:color="auto"/>
          <w:color w:val="auto"/>
        </w:rPr>
        <w:t>safe harbor</w:t>
      </w:r>
      <w:r>
        <w:rPr>
          <w:rFonts w:ascii="Times New Roman" w:cs="Times New Roman" w:eastAsia="Times New Roman" w:hAnsi="Times New Roman"/>
          <w:sz w:val="22"/>
          <w:szCs w:val="22"/>
          <w:color w:val="auto"/>
        </w:rPr>
        <w:t>” under Code Section 7704, notwithstanding anything to the contrary in this Agreement, no Transfer of any Unit or economic interest shall be permitted or recognized by the Company or the Board (within the meaning of Treasury Regulation Section 1.7704-1(d)) if and to the extent that such Transfer would cause the Company to have more than 100 partners (within the meaning of Treasury Regulation Section 1.7704-1(h), including the look-through rule in Treasury Regulation Section 1.7704-1(h)(3)).</w:t>
      </w:r>
    </w:p>
    <w:p>
      <w:pPr>
        <w:spacing w:after="0" w:line="209"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Legend</w:t>
      </w:r>
      <w:r>
        <w:rPr>
          <w:rFonts w:ascii="Times New Roman" w:cs="Times New Roman" w:eastAsia="Times New Roman" w:hAnsi="Times New Roman"/>
          <w:sz w:val="22"/>
          <w:szCs w:val="22"/>
          <w:color w:val="auto"/>
        </w:rPr>
        <w:t>. In the event that certificates representing the Units are issued (“</w:t>
      </w:r>
      <w:r>
        <w:rPr>
          <w:rFonts w:ascii="Times New Roman" w:cs="Times New Roman" w:eastAsia="Times New Roman" w:hAnsi="Times New Roman"/>
          <w:sz w:val="22"/>
          <w:szCs w:val="22"/>
          <w:u w:val="single" w:color="auto"/>
          <w:color w:val="auto"/>
        </w:rPr>
        <w:t>Certificated Units</w:t>
      </w:r>
      <w:r>
        <w:rPr>
          <w:rFonts w:ascii="Times New Roman" w:cs="Times New Roman" w:eastAsia="Times New Roman" w:hAnsi="Times New Roman"/>
          <w:sz w:val="22"/>
          <w:szCs w:val="22"/>
          <w:color w:val="auto"/>
        </w:rPr>
        <w:t>”), such certificates will bear the following legend:</w:t>
      </w:r>
    </w:p>
    <w:p>
      <w:pPr>
        <w:spacing w:after="0" w:line="185"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“THE UNITS REPRESENTED BY THIS CERTIFICATE HAVE NOT BEEN REGISTERED UNDER THE SECURITIES ACT OF 1933, AS AMENDED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OR APPLICABLE STATE SECURITIES LAWS (“</w:t>
      </w:r>
      <w:r>
        <w:rPr>
          <w:rFonts w:ascii="Times New Roman" w:cs="Times New Roman" w:eastAsia="Times New Roman" w:hAnsi="Times New Roman"/>
          <w:sz w:val="22"/>
          <w:szCs w:val="22"/>
          <w:u w:val="single" w:color="auto"/>
          <w:color w:val="auto"/>
        </w:rPr>
        <w:t>STATE ACTS</w:t>
      </w:r>
      <w:r>
        <w:rPr>
          <w:rFonts w:ascii="Times New Roman" w:cs="Times New Roman" w:eastAsia="Times New Roman" w:hAnsi="Times New Roman"/>
          <w:sz w:val="22"/>
          <w:szCs w:val="22"/>
          <w:color w:val="auto"/>
        </w:rPr>
        <w:t>”) AND MAY NOT BE SOLD, ASSIGNED, PLEDGED OR TRANSFERRED OR OTHERWISE DISPOSED OF IN THE ABSENCE OF AN EFFECTIVE REGISTRATION STATEMENT UNDER THE ACT OR STATE ACTS OR AN EXEMPTION FROM REGISTRATION THEREUNDER. THE TRANSFER OF THE UNITS REPRESENTED BY THIS CERTIFICATE IS SUBJECT TO THE CONDITIONS SPECIFIED IN A LIMITED LIABILITY COMPANY AGREEMENT, AS AMENDED AND MODIFIED FROM TIME TO TIME, GOVERNING THE ISSUER AND BY AND AMONG CERTAIN INVESTORS THEREIN. A COPY OF SUCH CONDITIONS SHALL BE FURNISHED BY THE ISSUER TO THE HOLDER HEREOF UPON WRITTEN REQUEST AND WITHOUT CHARGE.”</w:t>
      </w:r>
    </w:p>
    <w:p>
      <w:pPr>
        <w:spacing w:after="0" w:line="207"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Transfer Fees and Expenses</w:t>
      </w:r>
      <w:r>
        <w:rPr>
          <w:rFonts w:ascii="Times New Roman" w:cs="Times New Roman" w:eastAsia="Times New Roman" w:hAnsi="Times New Roman"/>
          <w:sz w:val="22"/>
          <w:szCs w:val="22"/>
          <w:color w:val="auto"/>
        </w:rPr>
        <w:t xml:space="preserve">. Except as provided in </w:t>
      </w:r>
      <w:r>
        <w:rPr>
          <w:rFonts w:ascii="Times New Roman" w:cs="Times New Roman" w:eastAsia="Times New Roman" w:hAnsi="Times New Roman"/>
          <w:sz w:val="22"/>
          <w:szCs w:val="22"/>
          <w:u w:val="single" w:color="auto"/>
          <w:color w:val="auto"/>
        </w:rPr>
        <w:t>Sections 11.2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11.3</w:t>
      </w:r>
      <w:r>
        <w:rPr>
          <w:rFonts w:ascii="Times New Roman" w:cs="Times New Roman" w:eastAsia="Times New Roman" w:hAnsi="Times New Roman"/>
          <w:sz w:val="22"/>
          <w:szCs w:val="22"/>
          <w:color w:val="auto"/>
        </w:rPr>
        <w:t>, unless waived in writing by the Board in its sole discretion, the Transferor and Transferee of any Units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81" w:name="page82"/>
    <w:bookmarkEnd w:id="81"/>
    <w:p>
      <w:pPr>
        <w:ind w:right="140"/>
        <w:spacing w:after="0" w:line="244" w:lineRule="auto"/>
        <w:rPr>
          <w:sz w:val="20"/>
          <w:szCs w:val="20"/>
          <w:color w:val="auto"/>
        </w:rPr>
      </w:pPr>
      <w:r>
        <w:rPr>
          <w:rFonts w:ascii="Times New Roman" w:cs="Times New Roman" w:eastAsia="Times New Roman" w:hAnsi="Times New Roman"/>
          <w:sz w:val="22"/>
          <w:szCs w:val="22"/>
          <w:color w:val="auto"/>
        </w:rPr>
        <w:t>or other interest in the Company shall be jointly and severally obligated to reimburse the Company for all reasonable expenses (including attorneys’ fees and expenses) of any Transfer or proposed Transfer, whether or not consummated.</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WITHDRAWAL AND RESIGNATION OF MEMBERS</w:t>
      </w:r>
    </w:p>
    <w:p>
      <w:pPr>
        <w:spacing w:after="0" w:line="209"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21"/>
          <w:szCs w:val="21"/>
          <w:color w:val="auto"/>
        </w:rPr>
        <w:t xml:space="preserve">12.1 </w:t>
      </w:r>
      <w:r>
        <w:rPr>
          <w:rFonts w:ascii="Times New Roman" w:cs="Times New Roman" w:eastAsia="Times New Roman" w:hAnsi="Times New Roman"/>
          <w:sz w:val="21"/>
          <w:szCs w:val="21"/>
          <w:u w:val="single" w:color="auto"/>
          <w:color w:val="auto"/>
        </w:rPr>
        <w:t>Withdrawal and Resignation of Member</w:t>
      </w:r>
      <w:r>
        <w:rPr>
          <w:rFonts w:ascii="Times New Roman" w:cs="Times New Roman" w:eastAsia="Times New Roman" w:hAnsi="Times New Roman"/>
          <w:sz w:val="21"/>
          <w:szCs w:val="21"/>
          <w:color w:val="auto"/>
        </w:rPr>
        <w:t xml:space="preserve">. No Member shall have the power or right to withdraw or otherwise resign as a Member prior to the dissolution and winding up of the Company pursuant to </w:t>
      </w:r>
      <w:r>
        <w:rPr>
          <w:rFonts w:ascii="Times New Roman" w:cs="Times New Roman" w:eastAsia="Times New Roman" w:hAnsi="Times New Roman"/>
          <w:sz w:val="21"/>
          <w:szCs w:val="21"/>
          <w:u w:val="single" w:color="auto"/>
          <w:color w:val="auto"/>
        </w:rPr>
        <w:t>Article XIII</w:t>
      </w:r>
      <w:r>
        <w:rPr>
          <w:rFonts w:ascii="Times New Roman" w:cs="Times New Roman" w:eastAsia="Times New Roman" w:hAnsi="Times New Roman"/>
          <w:sz w:val="21"/>
          <w:szCs w:val="21"/>
          <w:color w:val="auto"/>
        </w:rPr>
        <w:t xml:space="preserve"> without the prior written consent of the Board (which consent may be withheld by the Board in its sole discretion), except as otherwise expressly permitted by this Agreement. Upon a Transfer of all of a Member’s Units in a Transfer permitted by this Agreement, such Member shall cease to be a Member. Notwithstanding that payment on account of a withdrawal may be made after the effective time of such withdrawal, any completely withdrawing Member will not be considered a Member for any purpose after the effective time of such complete withdrawal, and, in the case of a partial withdrawal, such Member’s Capital Account (and corresponding voting and other rights) shall be reduced for all other purposes hereunder upon the effective time of such partial withdrawal.</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DISSOLUTION AND LIQUIDATION</w:t>
      </w:r>
    </w:p>
    <w:p>
      <w:pPr>
        <w:spacing w:after="0" w:line="209"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Dissolution</w:t>
      </w:r>
      <w:r>
        <w:rPr>
          <w:rFonts w:ascii="Times New Roman" w:cs="Times New Roman" w:eastAsia="Times New Roman" w:hAnsi="Times New Roman"/>
          <w:sz w:val="22"/>
          <w:szCs w:val="22"/>
          <w:color w:val="auto"/>
        </w:rPr>
        <w:t>. The Company shall not be dissolved by the admission of Additional Members or Substituted Members. The Company shall dissolve, and its affairs shall be wound up only upon the first to occur of the following:</w:t>
      </w:r>
    </w:p>
    <w:p>
      <w:pPr>
        <w:spacing w:after="0" w:line="201" w:lineRule="exact"/>
        <w:rPr>
          <w:sz w:val="20"/>
          <w:szCs w:val="20"/>
          <w:color w:val="auto"/>
        </w:rPr>
      </w:pPr>
    </w:p>
    <w:p>
      <w:pPr>
        <w:ind w:left="2340" w:hanging="720"/>
        <w:spacing w:after="0"/>
        <w:tabs>
          <w:tab w:leader="none" w:pos="23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approval at any time of the Board; or</w:t>
      </w:r>
    </w:p>
    <w:p>
      <w:pPr>
        <w:spacing w:after="0" w:line="233" w:lineRule="exact"/>
        <w:rPr>
          <w:rFonts w:ascii="Times New Roman" w:cs="Times New Roman" w:eastAsia="Times New Roman" w:hAnsi="Times New Roman"/>
          <w:sz w:val="22"/>
          <w:szCs w:val="22"/>
          <w:color w:val="auto"/>
        </w:rPr>
      </w:pPr>
    </w:p>
    <w:p>
      <w:pPr>
        <w:ind w:right="240" w:firstLine="1620"/>
        <w:spacing w:after="0" w:line="258" w:lineRule="auto"/>
        <w:tabs>
          <w:tab w:leader="none" w:pos="230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of a decree of judicial dissolution of the Company under Section 35-5 of the Delaware Act or an administrative dissolution under Section 18-802 of the Delaware Act.</w:t>
      </w:r>
    </w:p>
    <w:p>
      <w:pPr>
        <w:spacing w:after="0" w:line="18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21"/>
          <w:szCs w:val="21"/>
          <w:color w:val="auto"/>
        </w:rPr>
        <w:t xml:space="preserve">Except as otherwise set forth in this </w:t>
      </w:r>
      <w:r>
        <w:rPr>
          <w:rFonts w:ascii="Times New Roman" w:cs="Times New Roman" w:eastAsia="Times New Roman" w:hAnsi="Times New Roman"/>
          <w:sz w:val="21"/>
          <w:szCs w:val="21"/>
          <w:u w:val="single" w:color="auto"/>
          <w:color w:val="auto"/>
        </w:rPr>
        <w:t>Article XIII</w:t>
      </w:r>
      <w:r>
        <w:rPr>
          <w:rFonts w:ascii="Times New Roman" w:cs="Times New Roman" w:eastAsia="Times New Roman" w:hAnsi="Times New Roman"/>
          <w:sz w:val="21"/>
          <w:szCs w:val="21"/>
          <w:color w:val="auto"/>
        </w:rPr>
        <w:t>, the Company is intended to have perpetual existence. The death, retirement, resignation, expulsion, bankruptcy or dissolution of a Member or the occurrence of any other event that terminates the continued membership of a Member in the Company shall not cause a dissolution of the Company, and the Company shall continue in existence subject to the terms and conditions of this Agreement.</w:t>
      </w:r>
    </w:p>
    <w:p>
      <w:pPr>
        <w:spacing w:after="0" w:line="189" w:lineRule="exact"/>
        <w:rPr>
          <w:sz w:val="20"/>
          <w:szCs w:val="20"/>
          <w:color w:val="auto"/>
        </w:rPr>
      </w:pPr>
    </w:p>
    <w:p>
      <w:pPr>
        <w:ind w:left="640"/>
        <w:spacing w:after="0"/>
        <w:tabs>
          <w:tab w:leader="none" w:pos="166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u w:val="single" w:color="auto"/>
          <w:color w:val="auto"/>
        </w:rPr>
        <w:t>Liquidation and Termination</w:t>
      </w:r>
      <w:r>
        <w:rPr>
          <w:rFonts w:ascii="Times New Roman" w:cs="Times New Roman" w:eastAsia="Times New Roman" w:hAnsi="Times New Roman"/>
          <w:sz w:val="21"/>
          <w:szCs w:val="21"/>
          <w:color w:val="auto"/>
        </w:rPr>
        <w:t>. On the dissolution of the Company, the Board shall act as</w:t>
      </w:r>
    </w:p>
    <w:p>
      <w:pPr>
        <w:spacing w:after="0" w:line="14"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liquidator or may appoint one or more representatives, Members or other Persons as liquidator(s). The liquidators shall pay, satisfy or discharge from Company funds all of the debts, liabilities and obligations of the Company (including all expenses incurred in liquidation) or otherwise make adequate provision for payment and discharge thereof (including the establishment of a cash fund for contingent liabilities in such amount and for such term as the liquidators may reasonably determine) and proceed diligently to wind up the affairs of the Company and make final distributions as provided herein and in the Delaware Act. The costs of liquidation shall be borne as a Company expense. The Fair Market Value (as determined by the liquidators) of any remaining assets of the Company shall, following payment, satisfaction 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355" w:right="959" w:bottom="1440" w:gutter="0" w:footer="0" w:header="0"/>
        </w:sectPr>
      </w:pPr>
    </w:p>
    <w:bookmarkStart w:id="82" w:name="page83"/>
    <w:bookmarkEnd w:id="82"/>
    <w:p>
      <w:pPr>
        <w:ind w:right="100"/>
        <w:spacing w:after="0" w:line="236" w:lineRule="auto"/>
        <w:rPr>
          <w:sz w:val="20"/>
          <w:szCs w:val="20"/>
          <w:color w:val="auto"/>
        </w:rPr>
      </w:pPr>
      <w:r>
        <w:rPr>
          <w:rFonts w:ascii="Times New Roman" w:cs="Times New Roman" w:eastAsia="Times New Roman" w:hAnsi="Times New Roman"/>
          <w:sz w:val="22"/>
          <w:szCs w:val="22"/>
          <w:color w:val="auto"/>
        </w:rPr>
        <w:t>discharge of all liabilities as determined by the liquidators, be distributed as liquidating Distributions to the holders of Units in accordance with their Percentage Interests until any such holder has a Capital Account balance of zero; additional assets shall be distributed to the other holders of Units in accordance with their remaining Capital Account balances and to the extent thereof; and additional assets, if any, shall be distributed to all holders of Units in accordance with their Percentage Interests. Until final distribution, the liquidators shall continue to operate the Company properties with all of the power and authority of the Board.</w:t>
      </w:r>
    </w:p>
    <w:p>
      <w:pPr>
        <w:spacing w:after="0" w:line="209"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Cancellation of Certificate</w:t>
      </w:r>
      <w:r>
        <w:rPr>
          <w:rFonts w:ascii="Times New Roman" w:cs="Times New Roman" w:eastAsia="Times New Roman" w:hAnsi="Times New Roman"/>
          <w:sz w:val="22"/>
          <w:szCs w:val="22"/>
          <w:color w:val="auto"/>
        </w:rPr>
        <w:t xml:space="preserve">. On completion of the distribution of Company assets as provided herein, the Company shall be terminated (and the Company shall not be terminated prior to such time), and the Board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jc w:val="both"/>
        <w:ind w:right="2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Reasonable Time for Winding Up</w:t>
      </w:r>
      <w:r>
        <w:rPr>
          <w:rFonts w:ascii="Times New Roman" w:cs="Times New Roman" w:eastAsia="Times New Roman" w:hAnsi="Times New Roman"/>
          <w:sz w:val="22"/>
          <w:szCs w:val="22"/>
          <w:color w:val="auto"/>
        </w:rPr>
        <w:t xml:space="preserve">. A reasonable time shall be allowed for the orderly winding up of the business and affairs of the Company and the liquidation of its assets pursuant to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xml:space="preserve"> in order to minimize any losses otherwise attendant upon such winding up.</w:t>
      </w:r>
    </w:p>
    <w:p>
      <w:pPr>
        <w:spacing w:after="0" w:line="20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u w:val="single" w:color="auto"/>
          <w:color w:val="auto"/>
        </w:rPr>
        <w:t>Return of Capital</w:t>
      </w:r>
      <w:r>
        <w:rPr>
          <w:rFonts w:ascii="Times New Roman" w:cs="Times New Roman" w:eastAsia="Times New Roman" w:hAnsi="Times New Roman"/>
          <w:sz w:val="22"/>
          <w:szCs w:val="22"/>
          <w:color w:val="auto"/>
        </w:rPr>
        <w:t>. The Board, Members or other liquidators shall not be personally liable for the return of Capital Contributions or any portion thereof to the Members (it being understood that any such return shall be made solely from Company assets).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209"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u w:val="single" w:color="auto"/>
          <w:color w:val="auto"/>
        </w:rPr>
        <w:t>Power of Attorney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1620"/>
        <w:spacing w:after="0" w:line="245" w:lineRule="auto"/>
        <w:tabs>
          <w:tab w:leader="none" w:pos="2347"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Member hereby constitutes and appoints the Board, with full power of substitution, as its or his true and lawful agent and attorney-in-fact, with full power and authority in its name, place and stead, to execute, swear to, acknowledge, deliver, file and record in the appropriate public offices (i) this Agreement, all certificates and other instruments and all amendments thereof in accordance with the terms hereof which the Board deems appropriate or necessary to form, qualify, or continue the qualification of, the Company as a limited liability company in the State of Delaware and in all other jurisdictions in which the Company may conduct business or own property; (ii) all instruments which the Board deems appropriate or necessary to reflect any amendment, change, modification or restatement of this Agreement in accordance with its terms; (iii) all conveyances and other instruments or documents which the Board deems appropriate or necessary to reflect the dissolution and liquidation of the Company pursuant to the terms of this Agreement, including a certificate of cancellation; and (iv) all instruments relating to the admission, withdrawal or substitution of any Member pursuant to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XII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55" w:right="939" w:bottom="1440" w:gutter="0" w:footer="0" w:header="0"/>
        </w:sectPr>
      </w:pPr>
    </w:p>
    <w:bookmarkStart w:id="83" w:name="page84"/>
    <w:bookmarkEnd w:id="83"/>
    <w:p>
      <w:pPr>
        <w:ind w:right="180" w:firstLine="1620"/>
        <w:spacing w:after="0" w:line="239" w:lineRule="auto"/>
        <w:tabs>
          <w:tab w:leader="none" w:pos="235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power of attorney is irrevocable and coupled with an interest, and shall survive the death, disability, incapacity, dissolution, bankruptcy, insolvency or termination of any Member and the Transfer of all or any portion of his or its Units and shall extend to such Member’s heirs, successors, assigns and personal representatives.</w:t>
      </w:r>
    </w:p>
    <w:p>
      <w:pPr>
        <w:spacing w:after="0" w:line="208"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Subject to the right and power of the Board to amend this Agreement to the limited extent expressly provided in the last sentence of this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including in connection with the issuance of new or additional Equity Securities, or any class or series thereof, this Agreement may be amended, modified, or waived only by a Super-Majority Vote of the Units; provided that: (a) if, after the Effective Date of this Agreement at least one additional class of Units is issued by the Company, any such amendment, modification, or waiver would adversely affect in any material respect the rights, preferences or privileges of any class of Units relative to another class of Units, such amendment, modification, or waiver shall also require the affirmative vote of at least two-thirds of the outstanding Units of the class of Units so adversely affected; (b) if any such amendment, modification or waiver would materially change the rights or obligations as between members of the same class of Units with respect to such Units (e.g. grant some but not all Members of a class certain material rights with respect to their Units), such amendment, modification, or waiver shall also require the approval of at least eighty percent of the outstanding Units of that class of Units and/or (c) if such amendment, modification or waiver would require a Member to make a mandatory capital contribution in the Company, or would otherwise subject a Member to increased personal liability other than as provided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then such amendment, modification or waiver shall also require the approval of such Member. In connection with any amendment, modification or waiver, or other approval hereunder, the Board will have no obligation to provide any information to any Person unless the consent of such Person is required to be obtained in order to effectuate such amendment, modification or waiver; and provided that the Board shall be required to inform the holders of Units of the substance and occurrence of any amendment. Notwithstanding anything to the contrary in this Agreement, the Board may, without the consent of any Member, amend the Schedule of Members attached hereto to reflect the admission of any Member or Members, the creation or issuance of any other Units or interests in the Company and the corresponding adjustments to Percentage Interests or the making of any Capital Contributions, and may amend the Schedule of Members and this Agreement in the manner described in </w:t>
      </w:r>
      <w:r>
        <w:rPr>
          <w:rFonts w:ascii="Times New Roman" w:cs="Times New Roman" w:eastAsia="Times New Roman" w:hAnsi="Times New Roman"/>
          <w:sz w:val="22"/>
          <w:szCs w:val="22"/>
          <w:u w:val="single" w:color="auto"/>
          <w:color w:val="auto"/>
        </w:rPr>
        <w:t>Section 14.20</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Title to Company Assets</w:t>
      </w:r>
      <w:r>
        <w:rPr>
          <w:rFonts w:ascii="Times New Roman" w:cs="Times New Roman" w:eastAsia="Times New Roman" w:hAnsi="Times New Roman"/>
          <w:sz w:val="22"/>
          <w:szCs w:val="22"/>
          <w:color w:val="auto"/>
        </w:rPr>
        <w:t>. Company assets shall be deemed to be owned by the Company as an entity, and no Member, individually or collectively, shall have any ownership interest in such Company assets or any portion thereof. Legal title to any or all Company assets may be held in the name of the Company or one or more nominees, as the Board may determine. The Board hereby declares and warrants that any Company assets for which legal title is held in the name of any nominee shall be held in trust by such nominee for the use and benefit of the Company in accordance with the provisions of this Agreement. All Company assets shall be recorded as the property of the Company on its books and records, irrespective of the name in which legal title to such Company assets is held.</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84" w:name="page85"/>
    <w:bookmarkEnd w:id="84"/>
    <w:p>
      <w:pPr>
        <w:jc w:val="both"/>
        <w:ind w:right="2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All covenants and agreements contained in this Agreement shall bind and inure to the benefit of the parties hereto and their respective heirs, executors, administrators, successors, legal representatives and permitted assigns, whether so expressed or not.</w:t>
      </w:r>
    </w:p>
    <w:p>
      <w:pPr>
        <w:spacing w:after="0" w:line="201"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14.6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20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14.7 </w:t>
      </w:r>
      <w:r>
        <w:rPr>
          <w:rFonts w:ascii="Times New Roman" w:cs="Times New Roman" w:eastAsia="Times New Roman" w:hAnsi="Times New Roman"/>
          <w:sz w:val="22"/>
          <w:szCs w:val="22"/>
          <w:u w:val="single" w:color="auto"/>
          <w:color w:val="auto"/>
        </w:rPr>
        <w:t>Execution</w:t>
      </w:r>
      <w:r>
        <w:rPr>
          <w:rFonts w:ascii="Times New Roman" w:cs="Times New Roman" w:eastAsia="Times New Roman" w:hAnsi="Times New Roman"/>
          <w:sz w:val="22"/>
          <w:szCs w:val="22"/>
          <w:color w:val="auto"/>
        </w:rPr>
        <w:t>. This Agreement may be executed in two or more counterparts, each of which shall be deemed an original but all of which together shall constitute one and the same instrument.</w:t>
      </w:r>
    </w:p>
    <w:p>
      <w:pPr>
        <w:spacing w:after="0" w:line="18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1"/>
          <w:szCs w:val="21"/>
          <w:color w:val="auto"/>
        </w:rPr>
        <w:t xml:space="preserve">14.8 </w:t>
      </w:r>
      <w:r>
        <w:rPr>
          <w:rFonts w:ascii="Times New Roman" w:cs="Times New Roman" w:eastAsia="Times New Roman" w:hAnsi="Times New Roman"/>
          <w:sz w:val="21"/>
          <w:szCs w:val="21"/>
          <w:u w:val="single" w:color="auto"/>
          <w:color w:val="auto"/>
        </w:rPr>
        <w:t>Descriptive Headings; Interpretation</w:t>
      </w:r>
      <w:r>
        <w:rPr>
          <w:rFonts w:ascii="Times New Roman" w:cs="Times New Roman" w:eastAsia="Times New Roman" w:hAnsi="Times New Roman"/>
          <w:sz w:val="21"/>
          <w:szCs w:val="21"/>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words “including” or “include”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99" w:lineRule="exact"/>
        <w:rPr>
          <w:sz w:val="20"/>
          <w:szCs w:val="20"/>
          <w:color w:val="auto"/>
        </w:rPr>
      </w:pPr>
    </w:p>
    <w:p>
      <w:pPr>
        <w:ind w:right="28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14.9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208"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14.10 </w:t>
      </w:r>
      <w:r>
        <w:rPr>
          <w:rFonts w:ascii="Times New Roman" w:cs="Times New Roman" w:eastAsia="Times New Roman" w:hAnsi="Times New Roman"/>
          <w:sz w:val="22"/>
          <w:szCs w:val="22"/>
          <w:u w:val="single" w:color="auto"/>
          <w:color w:val="auto"/>
        </w:rPr>
        <w:t>Addresses and Notices</w:t>
      </w:r>
      <w:r>
        <w:rPr>
          <w:rFonts w:ascii="Times New Roman" w:cs="Times New Roman" w:eastAsia="Times New Roman" w:hAnsi="Times New Roman"/>
          <w:sz w:val="22"/>
          <w:szCs w:val="22"/>
          <w:color w:val="auto"/>
        </w:rPr>
        <w:t>. All notices, demands or other communications to be given or delivered under or by reason of the provisions of this Agreement shall be in writing and shall be deemed to have been given or made when (a) delivered personally to the recipient, (b) telecopied to the recipient (with hard copy sent to the recipient by reputable overnight courier service (charges prepaid) that same day) if telecopied before 2:00 p.m. Los Angeles, California time on a business day, and otherwise on the next business day, or (c) one business day after being sent to the recipient by reputable overnight courier service (charges prepaid). Such notices, demands and other communications shall be sent to the address for such recipient set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85" w:name="page86"/>
    <w:bookmarkEnd w:id="85"/>
    <w:p>
      <w:pPr>
        <w:ind w:right="20"/>
        <w:spacing w:after="0" w:line="251" w:lineRule="auto"/>
        <w:rPr>
          <w:sz w:val="20"/>
          <w:szCs w:val="20"/>
          <w:color w:val="auto"/>
        </w:rPr>
      </w:pPr>
      <w:r>
        <w:rPr>
          <w:rFonts w:ascii="Times New Roman" w:cs="Times New Roman" w:eastAsia="Times New Roman" w:hAnsi="Times New Roman"/>
          <w:sz w:val="21"/>
          <w:szCs w:val="21"/>
          <w:color w:val="auto"/>
        </w:rPr>
        <w:t xml:space="preserve">forth in the Company’s books and records (which shall initially be the addresses set forth on the signature pages of this Agreement), or to such other address or to the attention of such other person as the recipient party has specified by prior written notice to the sending party. Any notice to the Board or the Company shall be deemed given if received by the Board at the principal office of the Company designated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with a copy delivered to Calavo’s Chief Executive Officer at Calavo’s address set forth below its signature on this Agreement.</w:t>
      </w:r>
    </w:p>
    <w:p>
      <w:pPr>
        <w:spacing w:after="0" w:line="196"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1"/>
          <w:szCs w:val="21"/>
          <w:color w:val="auto"/>
        </w:rPr>
        <w:t xml:space="preserve">14.11 </w:t>
      </w:r>
      <w:r>
        <w:rPr>
          <w:rFonts w:ascii="Times New Roman" w:cs="Times New Roman" w:eastAsia="Times New Roman" w:hAnsi="Times New Roman"/>
          <w:sz w:val="21"/>
          <w:szCs w:val="21"/>
          <w:u w:val="single" w:color="auto"/>
          <w:color w:val="auto"/>
        </w:rPr>
        <w:t>Creditors</w:t>
      </w:r>
      <w:r>
        <w:rPr>
          <w:rFonts w:ascii="Times New Roman" w:cs="Times New Roman" w:eastAsia="Times New Roman" w:hAnsi="Times New Roman"/>
          <w:sz w:val="21"/>
          <w:szCs w:val="21"/>
          <w:color w:val="auto"/>
        </w:rPr>
        <w:t>. None of the provisions of this Agreement shall be for the benefit of or enforceable by any non-Member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Company Net Income, Net Loss, Distributions, capital or property other than as a secured creditor.</w:t>
      </w:r>
    </w:p>
    <w:p>
      <w:pPr>
        <w:spacing w:after="0" w:line="19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14.12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201"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14.13 </w:t>
      </w:r>
      <w:r>
        <w:rPr>
          <w:rFonts w:ascii="Times New Roman" w:cs="Times New Roman" w:eastAsia="Times New Roman" w:hAnsi="Times New Roman"/>
          <w:sz w:val="22"/>
          <w:szCs w:val="22"/>
          <w:u w:val="single" w:color="auto"/>
          <w:color w:val="auto"/>
        </w:rPr>
        <w:t>Further Action</w:t>
      </w:r>
      <w:r>
        <w:rPr>
          <w:rFonts w:ascii="Times New Roman" w:cs="Times New Roman" w:eastAsia="Times New Roman" w:hAnsi="Times New Roman"/>
          <w:sz w:val="22"/>
          <w:szCs w:val="22"/>
          <w:color w:val="auto"/>
        </w:rPr>
        <w:t>. The parties agree to execute and deliver all documents, provide all information and take or refrain from taking such actions as may be necessary or appropriate to achieve the purposes of this Agreement.</w:t>
      </w:r>
    </w:p>
    <w:p>
      <w:pPr>
        <w:spacing w:after="0" w:line="201"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14.14 </w:t>
      </w:r>
      <w:r>
        <w:rPr>
          <w:rFonts w:ascii="Times New Roman" w:cs="Times New Roman" w:eastAsia="Times New Roman" w:hAnsi="Times New Roman"/>
          <w:sz w:val="22"/>
          <w:szCs w:val="22"/>
          <w:u w:val="single" w:color="auto"/>
          <w:color w:val="auto"/>
        </w:rPr>
        <w:t>Offset</w:t>
      </w:r>
      <w:r>
        <w:rPr>
          <w:rFonts w:ascii="Times New Roman" w:cs="Times New Roman" w:eastAsia="Times New Roman" w:hAnsi="Times New Roman"/>
          <w:sz w:val="22"/>
          <w:szCs w:val="22"/>
          <w:color w:val="auto"/>
        </w:rPr>
        <w:t>. Whenever the Company is to pay any sum to any Member, any amounts that such Member owes to the Company under this Agreement may, to the extent permitted pursuant to applicable law, be deducted from that owed sum before such payment.</w:t>
      </w:r>
    </w:p>
    <w:p>
      <w:pPr>
        <w:spacing w:after="0" w:line="201"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14.15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those documents expressly referred to herein and other documents dated as of even date herewith or of the Original Agreement, including the Line of Credit Agreement, the Promissory Notes, the Units Pledge and Security Agreements between Calavo and the Initial Service Providers, and the Service Provider Agreement between the Company and David Ominsky,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211"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 xml:space="preserve">14.16 </w:t>
      </w:r>
      <w:r>
        <w:rPr>
          <w:rFonts w:ascii="Times New Roman" w:cs="Times New Roman" w:eastAsia="Times New Roman" w:hAnsi="Times New Roman"/>
          <w:sz w:val="22"/>
          <w:szCs w:val="22"/>
          <w:u w:val="single" w:color="auto"/>
          <w:color w:val="auto"/>
        </w:rPr>
        <w:t>Delivery by Facsimile or E-Mail</w:t>
      </w:r>
      <w:r>
        <w:rPr>
          <w:rFonts w:ascii="Times New Roman" w:cs="Times New Roman" w:eastAsia="Times New Roman" w:hAnsi="Times New Roman"/>
          <w:sz w:val="22"/>
          <w:szCs w:val="22"/>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e-mail to deliver a signature or the fact that any signature or agreement or instrument was transmitted 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355" w:right="959" w:bottom="1440" w:gutter="0" w:footer="0" w:header="0"/>
        </w:sectPr>
      </w:pPr>
    </w:p>
    <w:bookmarkStart w:id="86" w:name="page87"/>
    <w:bookmarkEnd w:id="86"/>
    <w:p>
      <w:pPr>
        <w:ind w:right="100"/>
        <w:spacing w:after="0" w:line="258" w:lineRule="auto"/>
        <w:rPr>
          <w:sz w:val="20"/>
          <w:szCs w:val="20"/>
          <w:color w:val="auto"/>
        </w:rPr>
      </w:pPr>
      <w:r>
        <w:rPr>
          <w:rFonts w:ascii="Times New Roman" w:cs="Times New Roman" w:eastAsia="Times New Roman" w:hAnsi="Times New Roman"/>
          <w:sz w:val="22"/>
          <w:szCs w:val="22"/>
          <w:color w:val="auto"/>
        </w:rPr>
        <w:t>communicated through the use of a facsimile machine or e-mail as a defense to the formation or enforceability of a contract and each such party forever waives any such defense.</w:t>
      </w:r>
    </w:p>
    <w:p>
      <w:pPr>
        <w:spacing w:after="0" w:line="185" w:lineRule="exact"/>
        <w:rPr>
          <w:sz w:val="20"/>
          <w:szCs w:val="20"/>
          <w:color w:val="auto"/>
        </w:rPr>
      </w:pPr>
    </w:p>
    <w:p>
      <w:pPr>
        <w:ind w:right="140" w:firstLine="648"/>
        <w:spacing w:after="0" w:line="234" w:lineRule="auto"/>
        <w:rPr>
          <w:sz w:val="20"/>
          <w:szCs w:val="20"/>
          <w:color w:val="auto"/>
        </w:rPr>
      </w:pPr>
      <w:r>
        <w:rPr>
          <w:rFonts w:ascii="Times New Roman" w:cs="Times New Roman" w:eastAsia="Times New Roman" w:hAnsi="Times New Roman"/>
          <w:sz w:val="22"/>
          <w:szCs w:val="22"/>
          <w:color w:val="auto"/>
        </w:rPr>
        <w:t xml:space="preserve">14.17 </w:t>
      </w: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xml:space="preserve">. Any Action seeking to enforce any provision of, or based on any matter arising out of or in connection with, this Agreement or the transactions contemplated by this Agreement may be brought against any of the parties only in any federal or state court located in Los Angeles, California and each of the parties hereto hereby consents to the exclusive jurisdiction of such courts (and of the appropriate appellate courts) in any such Action and waives any objection to venue laid therein. Process in any such Action may be served on any party anywhere in the world, whether within or without the State of California. Without limiting the generality of the foregoing, each party hereto agrees that service of process upon such party at the address referred to in </w:t>
      </w:r>
      <w:r>
        <w:rPr>
          <w:rFonts w:ascii="Times New Roman" w:cs="Times New Roman" w:eastAsia="Times New Roman" w:hAnsi="Times New Roman"/>
          <w:sz w:val="22"/>
          <w:szCs w:val="22"/>
          <w:u w:val="single" w:color="auto"/>
          <w:color w:val="auto"/>
        </w:rPr>
        <w:t>Section 14.10</w:t>
      </w:r>
      <w:r>
        <w:rPr>
          <w:rFonts w:ascii="Times New Roman" w:cs="Times New Roman" w:eastAsia="Times New Roman" w:hAnsi="Times New Roman"/>
          <w:sz w:val="22"/>
          <w:szCs w:val="22"/>
          <w:color w:val="auto"/>
        </w:rPr>
        <w:t>, together with written notice of such service to such party, shall be deemed effective service of process upon such party.</w:t>
      </w:r>
    </w:p>
    <w:p>
      <w:pPr>
        <w:spacing w:after="0" w:line="21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14.18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Article XIV</w:t>
      </w:r>
      <w:r>
        <w:rPr>
          <w:rFonts w:ascii="Times New Roman" w:cs="Times New Roman" w:eastAsia="Times New Roman" w:hAnsi="Times New Roman"/>
          <w:sz w:val="22"/>
          <w:szCs w:val="22"/>
          <w:color w:val="auto"/>
        </w:rPr>
        <w:t xml:space="preserve"> shall survive and continue in full force in accordance with its terms notwithstanding any termination of this Agreement or the dissolution of the Company.</w:t>
      </w:r>
    </w:p>
    <w:p>
      <w:pPr>
        <w:spacing w:after="0" w:line="185"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 xml:space="preserve">14.19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pay and hold Calavo harmless against liability for the payment of the reasonable out-of-pocket expenses of Calavo (including the reasonable fees and expenses of legal counsel or other advisors) in connection with (a) start-up and organizational costs in connection with the formation of the Company and the commencement of its business and operations and (b) the preparation, negotiation and execution of this Agreement and each other agreement executed in connection herewith and the consummation of the transactions contemplated hereby. Nothing in this Agreement shall require reimbursement of expenses of any Member except as described in the preceding sentence.</w:t>
      </w:r>
    </w:p>
    <w:p>
      <w:pPr>
        <w:spacing w:after="0" w:line="211"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14.20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Agreement shall be in full force and effect, as of April 18</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2017 following its execution and approval as provided for herein. In that connection, (a) the Percentage Interests set forth in Schedule A assume that each party whose name is listed on the signature pages of this Agreement as of the Effective Date has executed and delivered this Agreement, (b) the Board has the right and power, without the consent of any Member, to make technical changes to this Agreement and to add references to any Additional Member or Substituted Member approved for admission as provided in this Agreement.</w:t>
      </w:r>
    </w:p>
    <w:p>
      <w:pPr>
        <w:spacing w:after="0" w:line="20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14.21 </w:t>
      </w: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 Upon execution and delivery of a counterpart to this Agreement or a joinder to this Agreement, each Member and Additional Member shall be deemed to acknowledge to, and agree with, Calavo and every other Member as follows: (a) the determination of such Member or Additional Member to acquire Units pursuant to this Agreement and any other agreement referenced herein has been made by such Member or Additional Member independent of any other Member and independent of any statements or opinions as to the advisability of such purchase or as to the properties, business, prospects or condition (financial or otherwise) of the Company which may have been made or given by the Board or by any agent or employee of the Board; (b) the Board has not acted as an agent of such Member or Additional Member in connection with making its investment hereunder, and the Board shall not serve as an agent of such Member or Additional Member in connection with monitoring its investment hereunder; (c) TroyGould PC is not counsel to any Members other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55" w:right="939" w:bottom="1440" w:gutter="0" w:footer="0" w:header="0"/>
        </w:sectPr>
      </w:pPr>
    </w:p>
    <w:bookmarkStart w:id="87" w:name="page88"/>
    <w:bookmarkEnd w:id="87"/>
    <w:p>
      <w:pPr>
        <w:spacing w:after="0" w:line="248" w:lineRule="auto"/>
        <w:rPr>
          <w:sz w:val="20"/>
          <w:szCs w:val="20"/>
          <w:color w:val="auto"/>
        </w:rPr>
      </w:pPr>
      <w:r>
        <w:rPr>
          <w:rFonts w:ascii="Times New Roman" w:cs="Times New Roman" w:eastAsia="Times New Roman" w:hAnsi="Times New Roman"/>
          <w:sz w:val="21"/>
          <w:szCs w:val="21"/>
          <w:color w:val="auto"/>
        </w:rPr>
        <w:t>than Calavo and is not representing and will not represent any other Member or Additional Member in connection with this Agreement or any dispute which may arise between Calavo, on the one hand, and any other Member or Additional Member, on the other hand; (d) such Member or Additional Member will, if it desires legal advice with respect to this Agreement, retain its own independent counsel; and (e) TroyGould PC may represent Calavo in connection with any and all matters contemplated hereby (including any dispute between Calavo, on the one hand, and any other Member or Additional Member, on the other hand) and each other Member or Additional Member waives any conflict of interest in connection with such representation by TroyGould PC.</w:t>
      </w:r>
    </w:p>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00"/>
          </w:cols>
          <w:pgMar w:left="920" w:top="355" w:right="1079" w:bottom="1440" w:gutter="0" w:footer="0" w:header="0"/>
        </w:sectPr>
      </w:pPr>
    </w:p>
    <w:bookmarkStart w:id="88" w:name="page89"/>
    <w:bookmarkEnd w:id="88"/>
    <w:p>
      <w:pPr>
        <w:ind w:left="120"/>
        <w:spacing w:after="0"/>
        <w:rPr>
          <w:sz w:val="20"/>
          <w:szCs w:val="20"/>
          <w:color w:val="auto"/>
        </w:rPr>
      </w:pPr>
      <w:r>
        <w:rPr>
          <w:rFonts w:ascii="Times New Roman" w:cs="Times New Roman" w:eastAsia="Times New Roman" w:hAnsi="Times New Roman"/>
          <w:sz w:val="21"/>
          <w:szCs w:val="21"/>
          <w:color w:val="3D3D3D"/>
        </w:rPr>
        <w:t>IN WITNESS WHEREOF, the parties have executed and delivered this Agreement as of the Effective Date.</w:t>
      </w: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APPROVING MEMBERS</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CALAVO GROWERS,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13970</wp:posOffset>
            </wp:positionV>
            <wp:extent cx="29673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Name: Lecil E. Cole</w:t>
      </w:r>
    </w:p>
    <w:p>
      <w:pPr>
        <w:spacing w:after="0" w:line="6" w:lineRule="exact"/>
        <w:rPr>
          <w:sz w:val="20"/>
          <w:szCs w:val="20"/>
          <w:color w:val="auto"/>
        </w:rPr>
      </w:pPr>
    </w:p>
    <w:p>
      <w:pPr>
        <w:ind w:left="4860"/>
        <w:spacing w:after="0"/>
        <w:tabs>
          <w:tab w:leader="none" w:pos="5480" w:val="left"/>
        </w:tabs>
        <w:rPr>
          <w:sz w:val="20"/>
          <w:szCs w:val="20"/>
          <w:color w:val="auto"/>
        </w:rPr>
      </w:pPr>
      <w:r>
        <w:rPr>
          <w:rFonts w:ascii="Times New Roman" w:cs="Times New Roman" w:eastAsia="Times New Roman" w:hAnsi="Times New Roman"/>
          <w:sz w:val="20"/>
          <w:szCs w:val="20"/>
          <w:color w:val="auto"/>
        </w:rPr>
        <w:t>Title:</w:t>
        <w:tab/>
        <w:t>Chief Executive Officer and</w:t>
      </w:r>
    </w:p>
    <w:p>
      <w:pPr>
        <w:ind w:left="5500"/>
        <w:spacing w:after="0"/>
        <w:rPr>
          <w:sz w:val="20"/>
          <w:szCs w:val="20"/>
          <w:color w:val="auto"/>
        </w:rPr>
      </w:pPr>
      <w:r>
        <w:rPr>
          <w:rFonts w:ascii="Times New Roman" w:cs="Times New Roman" w:eastAsia="Times New Roman" w:hAnsi="Times New Roman"/>
          <w:sz w:val="20"/>
          <w:szCs w:val="20"/>
          <w:color w:val="auto"/>
        </w:rPr>
        <w:t>President</w:t>
      </w: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IMPERMANENCE LLC</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13970</wp:posOffset>
            </wp:positionV>
            <wp:extent cx="29673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Name: Michael R. Lippold</w:t>
      </w:r>
    </w:p>
    <w:p>
      <w:pPr>
        <w:spacing w:after="0" w:line="4" w:lineRule="exact"/>
        <w:rPr>
          <w:sz w:val="20"/>
          <w:szCs w:val="20"/>
          <w:color w:val="auto"/>
        </w:rPr>
      </w:pPr>
    </w:p>
    <w:p>
      <w:pPr>
        <w:ind w:left="4860"/>
        <w:spacing w:after="0"/>
        <w:tabs>
          <w:tab w:leader="none" w:pos="54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2"/>
          <w:szCs w:val="22"/>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Peter S. Hajas,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-139700</wp:posOffset>
            </wp:positionV>
            <wp:extent cx="31902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1"/>
          <w:szCs w:val="21"/>
          <w:color w:val="auto"/>
        </w:rPr>
        <w:t>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18415</wp:posOffset>
            </wp:positionV>
            <wp:extent cx="31902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Michael R. Lippold, Individually</w:t>
      </w:r>
    </w:p>
    <w:p>
      <w:pPr>
        <w:spacing w:after="0" w:line="200" w:lineRule="exact"/>
        <w:rPr>
          <w:sz w:val="20"/>
          <w:szCs w:val="20"/>
          <w:color w:val="auto"/>
        </w:rPr>
      </w:pPr>
    </w:p>
    <w:p>
      <w:pPr>
        <w:spacing w:after="0" w:line="2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FRESHREALM, LLC</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Michael R.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13970</wp:posOffset>
            </wp:positionV>
            <wp:extent cx="29673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Name: Michael R. Lippold</w:t>
      </w:r>
    </w:p>
    <w:p>
      <w:pPr>
        <w:spacing w:after="0" w:line="6" w:lineRule="exact"/>
        <w:rPr>
          <w:sz w:val="20"/>
          <w:szCs w:val="20"/>
          <w:color w:val="auto"/>
        </w:rPr>
      </w:pPr>
    </w:p>
    <w:p>
      <w:pPr>
        <w:ind w:left="4860"/>
        <w:spacing w:after="0"/>
        <w:tabs>
          <w:tab w:leader="none" w:pos="5480" w:val="left"/>
        </w:tabs>
        <w:rPr>
          <w:sz w:val="20"/>
          <w:szCs w:val="20"/>
          <w:color w:val="auto"/>
        </w:rPr>
      </w:pPr>
      <w:r>
        <w:rPr>
          <w:rFonts w:ascii="Times New Roman" w:cs="Times New Roman" w:eastAsia="Times New Roman" w:hAnsi="Times New Roman"/>
          <w:sz w:val="20"/>
          <w:szCs w:val="20"/>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80010</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460"/>
          </w:cols>
          <w:pgMar w:left="1440" w:top="355" w:right="999" w:bottom="1440" w:gutter="0" w:footer="0" w:header="0"/>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of Members as of April 18</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22"/>
          <w:szCs w:val="22"/>
          <w:b w:val="1"/>
          <w:bCs w:val="1"/>
          <w:color w:val="auto"/>
        </w:rPr>
        <w:t>, 2017</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56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jc w:val="right"/>
              <w:ind w:right="181"/>
              <w:spacing w:after="0" w:line="216" w:lineRule="exact"/>
              <w:rPr>
                <w:sz w:val="20"/>
                <w:szCs w:val="20"/>
                <w:color w:val="auto"/>
              </w:rPr>
            </w:pPr>
            <w:r>
              <w:rPr>
                <w:rFonts w:ascii="Times New Roman" w:cs="Times New Roman" w:eastAsia="Times New Roman" w:hAnsi="Times New Roman"/>
                <w:sz w:val="20"/>
                <w:szCs w:val="20"/>
                <w:b w:val="1"/>
                <w:bCs w:val="1"/>
                <w:color w:val="auto"/>
              </w:rPr>
              <w:t>Profit</w:t>
            </w:r>
          </w:p>
        </w:tc>
        <w:tc>
          <w:tcPr>
            <w:tcW w:w="112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r>
      <w:tr>
        <w:trPr>
          <w:trHeight w:val="256"/>
        </w:trPr>
        <w:tc>
          <w:tcPr>
            <w:tcW w:w="5560" w:type="dxa"/>
            <w:vAlign w:val="bottom"/>
            <w:tcBorders>
              <w:left w:val="single" w:sz="8" w:color="auto"/>
              <w:bottom w:val="single" w:sz="8" w:color="auto"/>
              <w:right w:val="single" w:sz="8" w:color="auto"/>
            </w:tcBorders>
          </w:tcPr>
          <w:p>
            <w:pPr>
              <w:ind w:left="2420"/>
              <w:spacing w:after="0"/>
              <w:rPr>
                <w:sz w:val="20"/>
                <w:szCs w:val="20"/>
                <w:color w:val="auto"/>
              </w:rPr>
            </w:pPr>
            <w:r>
              <w:rPr>
                <w:rFonts w:ascii="Times New Roman" w:cs="Times New Roman" w:eastAsia="Times New Roman" w:hAnsi="Times New Roman"/>
                <w:sz w:val="20"/>
                <w:szCs w:val="20"/>
                <w:b w:val="1"/>
                <w:bCs w:val="1"/>
                <w:color w:val="auto"/>
              </w:rPr>
              <w:t>Member</w:t>
            </w:r>
          </w:p>
        </w:tc>
        <w:tc>
          <w:tcPr>
            <w:tcW w:w="1360" w:type="dxa"/>
            <w:vAlign w:val="bottom"/>
            <w:tcBorders>
              <w:bottom w:val="single" w:sz="8" w:color="auto"/>
              <w:right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Units</w:t>
            </w:r>
          </w:p>
        </w:tc>
        <w:tc>
          <w:tcPr>
            <w:tcW w:w="100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Interests</w:t>
            </w:r>
          </w:p>
        </w:tc>
        <w:tc>
          <w:tcPr>
            <w:tcW w:w="1120" w:type="dxa"/>
            <w:vAlign w:val="bottom"/>
            <w:tcBorders>
              <w:bottom w:val="single" w:sz="8" w:color="auto"/>
              <w:right w:val="single" w:sz="8" w:color="auto"/>
            </w:tcBorders>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0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Unit %</w:t>
            </w:r>
          </w:p>
        </w:tc>
        <w:tc>
          <w:tcPr>
            <w:tcW w:w="20" w:type="dxa"/>
            <w:vAlign w:val="bottom"/>
            <w:tcBorders>
              <w:bottom w:val="single" w:sz="8" w:color="auto"/>
            </w:tcBorders>
            <w:shd w:val="clear" w:color="auto" w:fill="000000"/>
          </w:tcPr>
          <w:p>
            <w:pPr>
              <w:spacing w:after="0"/>
              <w:rPr>
                <w:sz w:val="22"/>
                <w:szCs w:val="22"/>
                <w:color w:val="auto"/>
              </w:rPr>
            </w:pPr>
          </w:p>
        </w:tc>
      </w:tr>
      <w:tr>
        <w:trPr>
          <w:trHeight w:val="223"/>
        </w:trPr>
        <w:tc>
          <w:tcPr>
            <w:tcW w:w="5560" w:type="dxa"/>
            <w:vAlign w:val="bottom"/>
            <w:tcBorders>
              <w:left w:val="single" w:sz="8" w:color="CCEEFF"/>
              <w:right w:val="single" w:sz="8" w:color="CCEEFF"/>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color w:val="auto"/>
              </w:rPr>
              <w:t>Michael R. Lippold</w:t>
            </w:r>
          </w:p>
        </w:tc>
        <w:tc>
          <w:tcPr>
            <w:tcW w:w="1360" w:type="dxa"/>
            <w:vAlign w:val="bottom"/>
            <w:tcBorders>
              <w:right w:val="single" w:sz="8" w:color="CCEEFF"/>
            </w:tcBorders>
            <w:shd w:val="clear" w:color="auto" w:fill="CCEEF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130,285</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130,285</w:t>
            </w:r>
          </w:p>
        </w:tc>
        <w:tc>
          <w:tcPr>
            <w:tcW w:w="1020" w:type="dxa"/>
            <w:vAlign w:val="bottom"/>
            <w:shd w:val="clear" w:color="auto" w:fill="CCEEF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5.97%</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Nicole Lippold</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5,930</w:t>
            </w:r>
          </w:p>
        </w:tc>
        <w:tc>
          <w:tcPr>
            <w:tcW w:w="10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5,930</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0.27%</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Calavo Growers, Inc.</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1,004,483</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1,004,483</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46.00%</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Caito Foods Service, Inc.</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10,960</w:t>
            </w:r>
          </w:p>
        </w:tc>
        <w:tc>
          <w:tcPr>
            <w:tcW w:w="10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10,960</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0.50%</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Salvatore A. Pipitone, Jr.</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10,960</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10,960</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0.50%</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Teresa J. Spada</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2,965</w:t>
            </w:r>
          </w:p>
        </w:tc>
        <w:tc>
          <w:tcPr>
            <w:tcW w:w="10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2,965</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0.14%</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Ernest Spada, Jr</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2,966</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2,966</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0.14%</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Charisse M. Spada</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2,966</w:t>
            </w:r>
          </w:p>
        </w:tc>
        <w:tc>
          <w:tcPr>
            <w:tcW w:w="10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2,966</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0.14%</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Peter Hajas</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79,442</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79,442</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3.64%</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Lori Hajas</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13,040</w:t>
            </w:r>
          </w:p>
        </w:tc>
        <w:tc>
          <w:tcPr>
            <w:tcW w:w="10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13,040</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0.60%</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Robert Philipps</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34,955</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34,955</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1.60%</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Elaine Philipps</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1,482</w:t>
            </w:r>
          </w:p>
        </w:tc>
        <w:tc>
          <w:tcPr>
            <w:tcW w:w="10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1,482</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0.07%</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William Farrell III</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34,955</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34,955</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1.60%</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Sheldon Scott Hoyt</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21,481</w:t>
            </w:r>
          </w:p>
        </w:tc>
        <w:tc>
          <w:tcPr>
            <w:tcW w:w="10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21,481</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0.98%</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David Ominsky</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6,355</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6,355</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0.29%</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John Grogg</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1,589</w:t>
            </w:r>
          </w:p>
        </w:tc>
        <w:tc>
          <w:tcPr>
            <w:tcW w:w="10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1,589</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0.07%</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Ondrej Nebesky</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3,178</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3,178</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0.15%</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Leif Cederblom</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2,927</w:t>
            </w:r>
          </w:p>
        </w:tc>
        <w:tc>
          <w:tcPr>
            <w:tcW w:w="10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2,927</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0.13%</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Lenny Mann</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1,376</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1,376</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0.06%</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Impermanence, LLC</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500,803</w:t>
            </w:r>
          </w:p>
        </w:tc>
        <w:tc>
          <w:tcPr>
            <w:tcW w:w="10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500,803</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22.93%</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Jody Skenderian</w:t>
            </w:r>
          </w:p>
        </w:tc>
        <w:tc>
          <w:tcPr>
            <w:tcW w:w="1360" w:type="dxa"/>
            <w:vAlign w:val="bottom"/>
            <w:tcBorders>
              <w:right w:val="single" w:sz="8" w:color="CCEEFF"/>
            </w:tcBorders>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432</w:t>
            </w: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432</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0.02%</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Greg LaPoint</w:t>
            </w:r>
          </w:p>
        </w:tc>
        <w:tc>
          <w:tcPr>
            <w:tcW w:w="136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5,224</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5,224</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0.24%</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Brian Wallin</w:t>
            </w:r>
          </w:p>
        </w:tc>
        <w:tc>
          <w:tcPr>
            <w:tcW w:w="1360" w:type="dxa"/>
            <w:vAlign w:val="bottom"/>
            <w:tcBorders>
              <w:right w:val="single" w:sz="8" w:color="CCEEFF"/>
            </w:tcBorders>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2,224</w:t>
            </w: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2,224</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0.10%</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Heather Shaffer</w:t>
            </w:r>
          </w:p>
        </w:tc>
        <w:tc>
          <w:tcPr>
            <w:tcW w:w="136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1,211</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1,211</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0.06%</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Brandon Tuminaro</w:t>
            </w:r>
          </w:p>
        </w:tc>
        <w:tc>
          <w:tcPr>
            <w:tcW w:w="1360" w:type="dxa"/>
            <w:vAlign w:val="bottom"/>
            <w:tcBorders>
              <w:right w:val="single" w:sz="8" w:color="CCEEFF"/>
            </w:tcBorders>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1,335</w:t>
            </w: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1,335</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0.06%</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Hannah Garrett</w:t>
            </w:r>
          </w:p>
        </w:tc>
        <w:tc>
          <w:tcPr>
            <w:tcW w:w="136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445</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445</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0.02%</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Andrew Engebretson</w:t>
            </w:r>
          </w:p>
        </w:tc>
        <w:tc>
          <w:tcPr>
            <w:tcW w:w="1360" w:type="dxa"/>
            <w:vAlign w:val="bottom"/>
            <w:tcBorders>
              <w:right w:val="single" w:sz="8" w:color="CCEEFF"/>
            </w:tcBorders>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8,342</w:t>
            </w: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8,342</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0.38%</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Ersun Warncke</w:t>
            </w:r>
          </w:p>
        </w:tc>
        <w:tc>
          <w:tcPr>
            <w:tcW w:w="136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1,054</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1,054</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0.05%</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Dorice Kohanim</w:t>
            </w:r>
          </w:p>
        </w:tc>
        <w:tc>
          <w:tcPr>
            <w:tcW w:w="1360" w:type="dxa"/>
            <w:vAlign w:val="bottom"/>
            <w:tcBorders>
              <w:right w:val="single" w:sz="8" w:color="CCEEFF"/>
            </w:tcBorders>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309</w:t>
            </w: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309</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0.01%</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Jennifer A. Mojo</w:t>
            </w:r>
          </w:p>
        </w:tc>
        <w:tc>
          <w:tcPr>
            <w:tcW w:w="136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5,794</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5,794</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0.27%</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Elaine K. Salvatore</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711</w:t>
            </w:r>
          </w:p>
        </w:tc>
        <w:tc>
          <w:tcPr>
            <w:tcW w:w="100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1,711</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0.08%</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Kenneth &amp; Susan Catchot Family 2005 Revocable</w:t>
            </w: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Trust</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121,266</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121,266</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5.55%</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Marc L. Brown</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1,100</w:t>
            </w:r>
          </w:p>
        </w:tc>
        <w:tc>
          <w:tcPr>
            <w:tcW w:w="10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1,100</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0.05%</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Michael A. DiGregorio</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2,904</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2,904</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0.13%</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Barnes 2000 Family Trust</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6,570</w:t>
            </w:r>
          </w:p>
        </w:tc>
        <w:tc>
          <w:tcPr>
            <w:tcW w:w="10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6,570</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0.30%</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Jim Gibson</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9,805</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9,805</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0.45%</w:t>
            </w:r>
          </w:p>
        </w:tc>
        <w:tc>
          <w:tcPr>
            <w:tcW w:w="20" w:type="dxa"/>
            <w:vAlign w:val="bottom"/>
          </w:tcPr>
          <w:p>
            <w:pPr>
              <w:spacing w:after="0"/>
              <w:rPr>
                <w:sz w:val="19"/>
                <w:szCs w:val="19"/>
                <w:color w:val="auto"/>
              </w:rPr>
            </w:pPr>
          </w:p>
        </w:tc>
      </w:tr>
      <w:tr>
        <w:trPr>
          <w:trHeight w:val="230"/>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Jim Catchot</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7,110</w:t>
            </w:r>
          </w:p>
        </w:tc>
        <w:tc>
          <w:tcPr>
            <w:tcW w:w="100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7,110</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0.33%</w:t>
            </w:r>
          </w:p>
        </w:tc>
        <w:tc>
          <w:tcPr>
            <w:tcW w:w="20" w:type="dxa"/>
            <w:vAlign w:val="bottom"/>
          </w:tcPr>
          <w:p>
            <w:pPr>
              <w:spacing w:after="0"/>
              <w:rPr>
                <w:sz w:val="19"/>
                <w:szCs w:val="19"/>
                <w:color w:val="auto"/>
              </w:rPr>
            </w:pPr>
          </w:p>
        </w:tc>
      </w:tr>
      <w:tr>
        <w:trPr>
          <w:trHeight w:val="230"/>
        </w:trPr>
        <w:tc>
          <w:tcPr>
            <w:tcW w:w="5560" w:type="dxa"/>
            <w:vAlign w:val="bottom"/>
            <w:tcBorders>
              <w:left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Stuart Heath</w:t>
            </w:r>
          </w:p>
        </w:tc>
        <w:tc>
          <w:tcPr>
            <w:tcW w:w="136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9,784</w:t>
            </w:r>
          </w:p>
        </w:tc>
        <w:tc>
          <w:tcPr>
            <w:tcW w:w="1000" w:type="dxa"/>
            <w:vAlign w:val="bottom"/>
            <w:tcBorders>
              <w:right w:val="single" w:sz="8" w:color="CCEEFF"/>
            </w:tcBorders>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9,784</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0.45%</w:t>
            </w:r>
          </w:p>
        </w:tc>
        <w:tc>
          <w:tcPr>
            <w:tcW w:w="20" w:type="dxa"/>
            <w:vAlign w:val="bottom"/>
          </w:tcPr>
          <w:p>
            <w:pPr>
              <w:spacing w:after="0"/>
              <w:rPr>
                <w:sz w:val="19"/>
                <w:szCs w:val="19"/>
                <w:color w:val="auto"/>
              </w:rPr>
            </w:pPr>
          </w:p>
        </w:tc>
      </w:tr>
      <w:tr>
        <w:trPr>
          <w:trHeight w:val="258"/>
        </w:trPr>
        <w:tc>
          <w:tcPr>
            <w:tcW w:w="5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Gerard T. Ortner, Jr. Trust</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3,285</w:t>
            </w:r>
          </w:p>
        </w:tc>
        <w:tc>
          <w:tcPr>
            <w:tcW w:w="100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3,285</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0.15%</w:t>
            </w:r>
          </w:p>
        </w:tc>
        <w:tc>
          <w:tcPr>
            <w:tcW w:w="20" w:type="dxa"/>
            <w:vAlign w:val="bottom"/>
          </w:tcPr>
          <w:p>
            <w:pPr>
              <w:spacing w:after="0"/>
              <w:rPr>
                <w:sz w:val="22"/>
                <w:szCs w:val="22"/>
                <w:color w:val="auto"/>
              </w:rPr>
            </w:pPr>
          </w:p>
        </w:tc>
      </w:tr>
      <w:tr>
        <w:trPr>
          <w:trHeight w:val="424"/>
        </w:trPr>
        <w:tc>
          <w:tcPr>
            <w:tcW w:w="55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080"/>
          </w:cols>
          <w:pgMar w:left="920" w:top="108" w:right="89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Orora North America</w:t>
            </w:r>
          </w:p>
        </w:tc>
        <w:tc>
          <w:tcPr>
            <w:tcW w:w="2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99,597</w:t>
            </w:r>
          </w:p>
        </w:tc>
        <w:tc>
          <w:tcPr>
            <w:tcW w:w="2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99,597</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4.56%</w:t>
            </w:r>
          </w:p>
        </w:tc>
      </w:tr>
      <w:tr>
        <w:trPr>
          <w:trHeight w:val="230"/>
        </w:trPr>
        <w:tc>
          <w:tcPr>
            <w:tcW w:w="4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Ryan Gilbertson</w:t>
            </w:r>
          </w:p>
        </w:tc>
        <w:tc>
          <w:tcPr>
            <w:tcW w:w="28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7,110</w:t>
            </w:r>
          </w:p>
        </w:tc>
        <w:tc>
          <w:tcPr>
            <w:tcW w:w="20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7,110</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0.33%</w:t>
            </w:r>
          </w:p>
        </w:tc>
      </w:tr>
      <w:tr>
        <w:trPr>
          <w:trHeight w:val="230"/>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Rick Randall</w:t>
            </w:r>
          </w:p>
        </w:tc>
        <w:tc>
          <w:tcPr>
            <w:tcW w:w="2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100</w:t>
            </w:r>
          </w:p>
        </w:tc>
        <w:tc>
          <w:tcPr>
            <w:tcW w:w="2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100</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0.00%</w:t>
            </w:r>
          </w:p>
        </w:tc>
      </w:tr>
      <w:tr>
        <w:trPr>
          <w:trHeight w:val="230"/>
        </w:trPr>
        <w:tc>
          <w:tcPr>
            <w:tcW w:w="4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John D. Hurd</w:t>
            </w:r>
          </w:p>
        </w:tc>
        <w:tc>
          <w:tcPr>
            <w:tcW w:w="28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569</w:t>
            </w:r>
          </w:p>
        </w:tc>
        <w:tc>
          <w:tcPr>
            <w:tcW w:w="20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569</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0.03%</w:t>
            </w:r>
          </w:p>
        </w:tc>
      </w:tr>
      <w:tr>
        <w:trPr>
          <w:trHeight w:val="230"/>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L Maddalena (F&amp;S)</w:t>
            </w:r>
          </w:p>
        </w:tc>
        <w:tc>
          <w:tcPr>
            <w:tcW w:w="2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711</w:t>
            </w:r>
          </w:p>
        </w:tc>
        <w:tc>
          <w:tcPr>
            <w:tcW w:w="2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711</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0.03%</w:t>
            </w:r>
          </w:p>
        </w:tc>
      </w:tr>
      <w:tr>
        <w:trPr>
          <w:trHeight w:val="230"/>
        </w:trPr>
        <w:tc>
          <w:tcPr>
            <w:tcW w:w="4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PEO, LLC (P Hajas)</w:t>
            </w:r>
          </w:p>
        </w:tc>
        <w:tc>
          <w:tcPr>
            <w:tcW w:w="28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10,001</w:t>
            </w:r>
          </w:p>
        </w:tc>
        <w:tc>
          <w:tcPr>
            <w:tcW w:w="20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10,001</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0.46%</w:t>
            </w:r>
          </w:p>
        </w:tc>
      </w:tr>
      <w:tr>
        <w:trPr>
          <w:trHeight w:val="230"/>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Kenneth Catchot (individual)</w:t>
            </w:r>
          </w:p>
        </w:tc>
        <w:tc>
          <w:tcPr>
            <w:tcW w:w="28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rPr>
              <w:t>2,710</w:t>
            </w:r>
          </w:p>
        </w:tc>
        <w:tc>
          <w:tcPr>
            <w:tcW w:w="2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2,710</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0.12%</w:t>
            </w:r>
          </w:p>
        </w:tc>
      </w:tr>
      <w:tr>
        <w:trPr>
          <w:trHeight w:val="262"/>
        </w:trPr>
        <w:tc>
          <w:tcPr>
            <w:tcW w:w="42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820" w:type="dxa"/>
            <w:vAlign w:val="bottom"/>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2,156,431</w:t>
            </w:r>
          </w:p>
        </w:tc>
        <w:tc>
          <w:tcPr>
            <w:tcW w:w="204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27,370   2,183,801</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Profits Interest Grant Agreement</w:t>
      </w:r>
    </w:p>
    <w:p>
      <w:pPr>
        <w:spacing w:after="0" w:line="23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b w:val="1"/>
          <w:bCs w:val="1"/>
          <w:color w:val="auto"/>
        </w:rPr>
        <w:t>THE PROFITS INTEREST ISSUED HEREUNDER HAS NOT BEEN REGISTERED UNDER THE SECURITIES ACT OF 1933, AS AMENDED, OR THE SECURITIES LAWS OF ANY STATE. THE PROFITS INTEREST MAY NOT BE OFFERED FOR SALE, SOLD OR OTHERWISE TRANSFERRED EXCEPT PURSUANT TO AN EFFECTIVE REGISTRATION STATEMENT UNDER SUCH ACT AND APPLICABLE STATE SECURITIES LAWS OR PURSUANT TO AN APPLICABLE EXEMPTION FROM THE REGISTRATION REQUIREMENTS OF SUCH ACT AND SUCH LAWS OR PURSUANT TO A WRITTEN OPINION OF COUNSEL FOR THE COMPANY THAT REGISTRATION IS NOT REQUIRED.</w:t>
      </w:r>
    </w:p>
    <w:p>
      <w:pPr>
        <w:spacing w:after="0" w:line="20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THE SALE, ASSIGNMENT, HYPOTHECATION, PLEDGE, ENCUMBRANCE OR OTHER DISPOSITION (EACH, A “TRANSFER”) OF A PROFITS INTEREST ISSUED HEREUNDER IS RESTRICTED BY THE DELAWARE LIMITED LIABILITY COMPANY ACT (THE “ACT”) AND THE TERMS OF THE COMPANY’S OPERATING AGREEMENT (THE “OPERATING AGREEMENT”). THE COMPANY WILL NOT REGISTER THE TRANSFER OF SUCH PROFITS INTEREST ON THE BOOKS OF THE COMPANY UNLESS AND UNTIL THE TRANSFER HAS BEEN MADE IN COMPLIANCE WITH THE ACT AND THE OPERATING AGREEMENT, AND SUCH TRANSFER WILL NOT BE VALID UNLESS AND UNTIL SO REGISTERED.</w:t>
      </w:r>
    </w:p>
    <w:p>
      <w:pPr>
        <w:spacing w:after="0" w:line="206" w:lineRule="exact"/>
        <w:rPr>
          <w:sz w:val="20"/>
          <w:szCs w:val="20"/>
          <w:color w:val="auto"/>
        </w:rPr>
      </w:pPr>
    </w:p>
    <w:p>
      <w:pPr>
        <w:ind w:right="920"/>
        <w:spacing w:after="0" w:line="262" w:lineRule="auto"/>
        <w:rPr>
          <w:sz w:val="20"/>
          <w:szCs w:val="20"/>
          <w:color w:val="auto"/>
        </w:rPr>
      </w:pPr>
      <w:r>
        <w:rPr>
          <w:rFonts w:ascii="Times New Roman" w:cs="Times New Roman" w:eastAsia="Times New Roman" w:hAnsi="Times New Roman"/>
          <w:sz w:val="22"/>
          <w:szCs w:val="22"/>
          <w:b w:val="1"/>
          <w:bCs w:val="1"/>
          <w:color w:val="auto"/>
        </w:rPr>
        <w:t>THE EFFECTIVENESS OF THIS AGREEMENT AND THE OPTION CONTAINED HEREIN IS CONDITIONED ON THE PARTICIPANT’S COMPLIANCE WITH THIS AGREEMENT.</w:t>
      </w:r>
    </w:p>
    <w:p>
      <w:pPr>
        <w:spacing w:after="0" w:line="17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CAPITALIZED TERMS NOT DEFINED IN THIS AGREEMENT SHALL HAVE THE MEANINGS SET FORTH IN THE “GLOSSARY OF TERMS” ATTACHED TO THE COMPANY’S OPERATING AGREEMENT, WHICH IS HEREBY INCORPORATED BY THIS REFRENCE.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915035</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1" w:right="9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2"/>
          <w:szCs w:val="22"/>
          <w:b w:val="1"/>
          <w:bCs w:val="1"/>
          <w:color w:val="auto"/>
        </w:rPr>
        <w:t>PROFITS INTEREST GRANT AGREEMENT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THIS PROFITS INTEREST GRANT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as of</w:t>
      </w:r>
    </w:p>
    <w:p>
      <w:pPr>
        <w:spacing w:after="0" w:line="18" w:lineRule="exact"/>
        <w:rPr>
          <w:sz w:val="20"/>
          <w:szCs w:val="20"/>
          <w:color w:val="auto"/>
        </w:rPr>
      </w:pPr>
    </w:p>
    <w:p>
      <w:pPr>
        <w:ind w:right="360" w:firstLine="2376"/>
        <w:spacing w:after="0" w:line="235" w:lineRule="auto"/>
        <w:tabs>
          <w:tab w:leader="none" w:pos="2485"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20 by and between FRESHREALM, LLC, a Delaware limited liability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the individual executing this Agreement as 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xml:space="preserve"> with reference to the following:</w:t>
      </w:r>
    </w:p>
    <w:p>
      <w:pPr>
        <w:spacing w:after="0" w:line="205" w:lineRule="exact"/>
        <w:rPr>
          <w:rFonts w:ascii="Times New Roman" w:cs="Times New Roman" w:eastAsia="Times New Roman" w:hAnsi="Times New Roman"/>
          <w:sz w:val="22"/>
          <w:szCs w:val="22"/>
          <w:color w:val="auto"/>
        </w:rPr>
      </w:pPr>
    </w:p>
    <w:p>
      <w:pPr>
        <w:jc w:val="both"/>
        <w:ind w:firstLine="648"/>
        <w:spacing w:after="0" w:line="239" w:lineRule="auto"/>
        <w:tabs>
          <w:tab w:leader="none" w:pos="1736"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Members of the Company have adopted that certain Operating Agreement of the Company (the </w:t>
      </w:r>
      <w:r>
        <w:rPr>
          <w:rFonts w:ascii="Times New Roman" w:cs="Times New Roman" w:eastAsia="Times New Roman" w:hAnsi="Times New Roman"/>
          <w:sz w:val="22"/>
          <w:szCs w:val="22"/>
          <w:b w:val="1"/>
          <w:bCs w:val="1"/>
          <w:color w:val="auto"/>
        </w:rPr>
        <w:t>“Operating Agreement”</w:t>
      </w:r>
      <w:r>
        <w:rPr>
          <w:rFonts w:ascii="Times New Roman" w:cs="Times New Roman" w:eastAsia="Times New Roman" w:hAnsi="Times New Roman"/>
          <w:sz w:val="22"/>
          <w:szCs w:val="22"/>
          <w:color w:val="auto"/>
        </w:rPr>
        <w:t>) under which the Company may grant Profits Interest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of the Company to certain personnel of the Company such as Participant. Unless otherwise indicated, all capitalized terms used in this Agreement have the meanings set forth in the Operating Agreement.</w:t>
      </w:r>
    </w:p>
    <w:p>
      <w:pPr>
        <w:spacing w:after="0" w:line="207" w:lineRule="exact"/>
        <w:rPr>
          <w:rFonts w:ascii="Times New Roman" w:cs="Times New Roman" w:eastAsia="Times New Roman" w:hAnsi="Times New Roman"/>
          <w:sz w:val="22"/>
          <w:szCs w:val="22"/>
          <w:b w:val="1"/>
          <w:bCs w:val="1"/>
          <w:color w:val="auto"/>
        </w:rPr>
      </w:pPr>
    </w:p>
    <w:p>
      <w:pPr>
        <w:ind w:left="1660" w:hanging="1012"/>
        <w:spacing w:after="0"/>
        <w:tabs>
          <w:tab w:leader="none" w:pos="1660"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Pursuant to the Operating Agreement, the Board has authorized the award of Units to Participant.</w:t>
      </w:r>
    </w:p>
    <w:p>
      <w:pPr>
        <w:spacing w:after="0" w:line="244" w:lineRule="exact"/>
        <w:rPr>
          <w:rFonts w:ascii="Times New Roman" w:cs="Times New Roman" w:eastAsia="Times New Roman" w:hAnsi="Times New Roman"/>
          <w:sz w:val="21"/>
          <w:szCs w:val="21"/>
          <w:b w:val="1"/>
          <w:bCs w:val="1"/>
          <w:color w:val="auto"/>
        </w:rPr>
      </w:pPr>
    </w:p>
    <w:p>
      <w:pPr>
        <w:ind w:left="1800" w:hanging="1152"/>
        <w:spacing w:after="0"/>
        <w:tabs>
          <w:tab w:leader="none" w:pos="1800"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Participant has been furnished, and has had the opportunity to review, a copy of the Operating</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Agreement.</w:t>
      </w:r>
    </w:p>
    <w:p>
      <w:pPr>
        <w:spacing w:after="0" w:line="209" w:lineRule="exact"/>
        <w:rPr>
          <w:rFonts w:ascii="Times New Roman" w:cs="Times New Roman" w:eastAsia="Times New Roman" w:hAnsi="Times New Roman"/>
          <w:sz w:val="21"/>
          <w:szCs w:val="21"/>
          <w:b w:val="1"/>
          <w:bCs w:val="1"/>
          <w:color w:val="auto"/>
        </w:rPr>
      </w:pPr>
    </w:p>
    <w:p>
      <w:pPr>
        <w:jc w:val="both"/>
        <w:ind w:firstLine="648"/>
        <w:spacing w:after="0" w:line="244" w:lineRule="auto"/>
        <w:tabs>
          <w:tab w:leader="none" w:pos="1682"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and Participant wish to enter into this Agreement in order to provide for the terms and conditions of the foregoing grant of Units as well restrictions on transfer and other terms and conditions applicable to Units of the Company acquired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-2504440</wp:posOffset>
            </wp:positionV>
            <wp:extent cx="18865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agreements, representations and warranties herein set forth and for other good and valuable consideration, the receipt and sufficiency of which is hereby acknowledged, the parties hereto, intending to be legally bound hereby, agree as follows:</w:t>
      </w:r>
    </w:p>
    <w:p>
      <w:pPr>
        <w:spacing w:after="0" w:line="197" w:lineRule="exact"/>
        <w:rPr>
          <w:sz w:val="20"/>
          <w:szCs w:val="20"/>
          <w:color w:val="auto"/>
        </w:rPr>
      </w:pPr>
    </w:p>
    <w:p>
      <w:pPr>
        <w:ind w:left="1620" w:hanging="972"/>
        <w:spacing w:after="0"/>
        <w:tabs>
          <w:tab w:leader="none" w:pos="162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Profits Interest.</w:t>
      </w:r>
    </w:p>
    <w:p>
      <w:pPr>
        <w:spacing w:after="0" w:line="233" w:lineRule="exact"/>
        <w:rPr>
          <w:sz w:val="20"/>
          <w:szCs w:val="20"/>
          <w:color w:val="auto"/>
        </w:rPr>
      </w:pPr>
    </w:p>
    <w:p>
      <w:pPr>
        <w:ind w:left="1620"/>
        <w:spacing w:after="0"/>
        <w:tabs>
          <w:tab w:leader="none" w:pos="2280" w:val="left"/>
          <w:tab w:leader="none" w:pos="7840" w:val="left"/>
          <w:tab w:leader="none" w:pos="8340" w:val="left"/>
        </w:tabs>
        <w:rPr>
          <w:sz w:val="20"/>
          <w:szCs w:val="20"/>
          <w:color w:val="auto"/>
        </w:rPr>
      </w:pPr>
      <w:r>
        <w:rPr>
          <w:rFonts w:ascii="Times New Roman" w:cs="Times New Roman" w:eastAsia="Times New Roman" w:hAnsi="Times New Roman"/>
          <w:sz w:val="22"/>
          <w:szCs w:val="22"/>
          <w:b w:val="1"/>
          <w:bCs w:val="1"/>
          <w:color w:val="auto"/>
        </w:rPr>
        <w:t>(a)</w:t>
      </w:r>
      <w:r>
        <w:rPr>
          <w:sz w:val="20"/>
          <w:szCs w:val="20"/>
          <w:color w:val="auto"/>
        </w:rPr>
        <w:tab/>
      </w:r>
      <w:r>
        <w:rPr>
          <w:rFonts w:ascii="Times New Roman" w:cs="Times New Roman" w:eastAsia="Times New Roman" w:hAnsi="Times New Roman"/>
          <w:sz w:val="22"/>
          <w:szCs w:val="22"/>
          <w:color w:val="auto"/>
        </w:rPr>
        <w:t>The Company hereby grants to the Participant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 Profits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4027805</wp:posOffset>
            </wp:positionH>
            <wp:positionV relativeFrom="paragraph">
              <wp:posOffset>-11430</wp:posOffset>
            </wp:positionV>
            <wp:extent cx="12807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0795" cy="8890"/>
                    </a:xfrm>
                    <a:prstGeom prst="rect">
                      <a:avLst/>
                    </a:prstGeom>
                    <a:noFill/>
                  </pic:spPr>
                </pic:pic>
              </a:graphicData>
            </a:graphic>
          </wp:anchor>
        </w:drawing>
      </w:r>
    </w:p>
    <w:p>
      <w:pPr>
        <w:jc w:val="both"/>
        <w:ind w:right="200"/>
        <w:spacing w:after="0" w:line="235" w:lineRule="auto"/>
        <w:rPr>
          <w:sz w:val="20"/>
          <w:szCs w:val="20"/>
          <w:color w:val="auto"/>
        </w:rPr>
      </w:pPr>
      <w:r>
        <w:rPr>
          <w:rFonts w:ascii="Times New Roman" w:cs="Times New Roman" w:eastAsia="Times New Roman" w:hAnsi="Times New Roman"/>
          <w:sz w:val="22"/>
          <w:szCs w:val="22"/>
          <w:color w:val="auto"/>
        </w:rPr>
        <w:t xml:space="preserve">Units of the Company (the </w:t>
      </w:r>
      <w:r>
        <w:rPr>
          <w:rFonts w:ascii="Times New Roman" w:cs="Times New Roman" w:eastAsia="Times New Roman" w:hAnsi="Times New Roman"/>
          <w:sz w:val="22"/>
          <w:szCs w:val="22"/>
          <w:b w:val="1"/>
          <w:bCs w:val="1"/>
          <w:color w:val="auto"/>
        </w:rPr>
        <w:t>“Profits Interest Grant”</w:t>
      </w:r>
      <w:r>
        <w:rPr>
          <w:rFonts w:ascii="Times New Roman" w:cs="Times New Roman" w:eastAsia="Times New Roman" w:hAnsi="Times New Roman"/>
          <w:sz w:val="22"/>
          <w:szCs w:val="22"/>
          <w:color w:val="auto"/>
        </w:rPr>
        <w:t>) at the Purchase Price listed in Section 2 below (if any) and subject to the vesting schedule in Section 3 below. The Profits Interest Grant constitutes a “profits interest” within the meaning of Treasury Regulation § 1.721- 1(b)(1) and Revenue Procedures 93-27 and 2001-43.</w:t>
      </w:r>
    </w:p>
    <w:p>
      <w:pPr>
        <w:spacing w:after="0" w:line="205" w:lineRule="exact"/>
        <w:rPr>
          <w:sz w:val="20"/>
          <w:szCs w:val="20"/>
          <w:color w:val="auto"/>
        </w:rPr>
      </w:pPr>
    </w:p>
    <w:p>
      <w:pPr>
        <w:ind w:firstLine="1620"/>
        <w:spacing w:after="0" w:line="248" w:lineRule="auto"/>
        <w:tabs>
          <w:tab w:leader="none" w:pos="2317"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Participant recognizes that the Profits Interest Grant entitles the Participant to share in the future appreciation in value of the Company (not including debt financing, refinancing, or additional capital contributions to the Company by other Members) as of the Grant Date. Under the terms of the Company’s Operating Agreement, the holders of other membership interests in the Company existing prior to the Grant Date are entitled to the distribution, prior to any distribution to Participant, of an amount as determined by the Company in its sole discretion (the </w:t>
      </w:r>
      <w:r>
        <w:rPr>
          <w:rFonts w:ascii="Times New Roman" w:cs="Times New Roman" w:eastAsia="Times New Roman" w:hAnsi="Times New Roman"/>
          <w:sz w:val="21"/>
          <w:szCs w:val="21"/>
          <w:b w:val="1"/>
          <w:bCs w:val="1"/>
          <w:color w:val="auto"/>
        </w:rPr>
        <w:t>“Floor Value”</w:t>
      </w:r>
      <w:r>
        <w:rPr>
          <w:rFonts w:ascii="Times New Roman" w:cs="Times New Roman" w:eastAsia="Times New Roman" w:hAnsi="Times New Roman"/>
          <w:sz w:val="21"/>
          <w:szCs w:val="21"/>
          <w:color w:val="auto"/>
        </w:rPr>
        <w:t xml:space="preserve"> as indicated below), which shall not be less than the fair market value of the Company as of the Grant Date. Accordingly, the Profits Interest Units have no value on the Grant Date.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1" w:right="919" w:bottom="1440" w:gutter="0" w:footer="0" w:header="0"/>
        </w:sectPr>
      </w:pPr>
    </w:p>
    <w:bookmarkStart w:id="93" w:name="page94"/>
    <w:bookmarkEnd w:id="93"/>
    <w:p>
      <w:pPr>
        <w:ind w:right="360" w:firstLine="1620"/>
        <w:spacing w:after="0" w:line="258" w:lineRule="auto"/>
        <w:tabs>
          <w:tab w:leader="none" w:pos="2347" w:val="left"/>
        </w:tabs>
        <w:numPr>
          <w:ilvl w:val="1"/>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Floor Value for purposes of this Profits Interest Grant is hereby established to be Fifty Million Dollars ($50,000,000).</w:t>
      </w:r>
    </w:p>
    <w:p>
      <w:pPr>
        <w:spacing w:after="0" w:line="181" w:lineRule="exact"/>
        <w:rPr>
          <w:rFonts w:ascii="Times New Roman" w:cs="Times New Roman" w:eastAsia="Times New Roman" w:hAnsi="Times New Roman"/>
          <w:sz w:val="22"/>
          <w:szCs w:val="22"/>
          <w:b w:val="1"/>
          <w:bCs w:val="1"/>
          <w:color w:val="auto"/>
        </w:rPr>
      </w:pPr>
    </w:p>
    <w:p>
      <w:pPr>
        <w:ind w:right="60" w:firstLine="648"/>
        <w:spacing w:after="0" w:line="262" w:lineRule="auto"/>
        <w:tabs>
          <w:tab w:leader="none" w:pos="1621"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Purchase Price. </w:t>
      </w:r>
      <w:r>
        <w:rPr>
          <w:rFonts w:ascii="Times New Roman" w:cs="Times New Roman" w:eastAsia="Times New Roman" w:hAnsi="Times New Roman"/>
          <w:sz w:val="22"/>
          <w:szCs w:val="22"/>
          <w:color w:val="auto"/>
        </w:rPr>
        <w:t>There is no purchase price for the Profits Interest Units awarded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Profits Interest Grant.</w:t>
      </w:r>
    </w:p>
    <w:p>
      <w:pPr>
        <w:spacing w:after="0" w:line="176" w:lineRule="exact"/>
        <w:rPr>
          <w:rFonts w:ascii="Times New Roman" w:cs="Times New Roman" w:eastAsia="Times New Roman" w:hAnsi="Times New Roman"/>
          <w:sz w:val="22"/>
          <w:szCs w:val="22"/>
          <w:b w:val="1"/>
          <w:bCs w:val="1"/>
          <w:color w:val="auto"/>
        </w:rPr>
      </w:pPr>
    </w:p>
    <w:p>
      <w:pPr>
        <w:ind w:right="80" w:firstLine="648"/>
        <w:spacing w:after="0" w:line="246" w:lineRule="auto"/>
        <w:tabs>
          <w:tab w:leader="none" w:pos="1617"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The Profits Interest Units granted hereunder shall vest one thirty-sixth (1/36) per month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beginning from [ENTER DATE]. Participant shall, in respect of vested Profits Interest Units and not non-vested Profits Interest Units, have only those rights and privileges as provided in the Operating Agreement.</w:t>
      </w:r>
    </w:p>
    <w:p>
      <w:pPr>
        <w:spacing w:after="0" w:line="194" w:lineRule="exact"/>
        <w:rPr>
          <w:rFonts w:ascii="Times New Roman" w:cs="Times New Roman" w:eastAsia="Times New Roman" w:hAnsi="Times New Roman"/>
          <w:sz w:val="22"/>
          <w:szCs w:val="22"/>
          <w:b w:val="1"/>
          <w:bCs w:val="1"/>
          <w:color w:val="auto"/>
        </w:rPr>
      </w:pPr>
    </w:p>
    <w:p>
      <w:pPr>
        <w:ind w:firstLine="648"/>
        <w:spacing w:after="0" w:line="238" w:lineRule="auto"/>
        <w:tabs>
          <w:tab w:leader="none" w:pos="1621"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Forfeiture of Non-Vested Profits Interest Units upon Termination for Any Reason. </w:t>
      </w:r>
      <w:r>
        <w:rPr>
          <w:rFonts w:ascii="Times New Roman" w:cs="Times New Roman" w:eastAsia="Times New Roman" w:hAnsi="Times New Roman"/>
          <w:sz w:val="22"/>
          <w:szCs w:val="22"/>
          <w:color w:val="auto"/>
        </w:rPr>
        <w:t>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continuous service with the Company is terminated for any reason (including, without limitation, the Participant’s death, Disability, voluntary resignation or termination by the Company with or without Cause), then any and all non-vested Profits Interest Units shall be forfeited by Participant automatically, without further action by any person.</w:t>
      </w:r>
    </w:p>
    <w:p>
      <w:pPr>
        <w:spacing w:after="0" w:line="204" w:lineRule="exact"/>
        <w:rPr>
          <w:rFonts w:ascii="Times New Roman" w:cs="Times New Roman" w:eastAsia="Times New Roman" w:hAnsi="Times New Roman"/>
          <w:sz w:val="22"/>
          <w:szCs w:val="22"/>
          <w:b w:val="1"/>
          <w:bCs w:val="1"/>
          <w:color w:val="auto"/>
        </w:rPr>
      </w:pPr>
    </w:p>
    <w:p>
      <w:pPr>
        <w:ind w:right="60" w:firstLine="648"/>
        <w:spacing w:after="0" w:line="234" w:lineRule="auto"/>
        <w:tabs>
          <w:tab w:leader="none" w:pos="1621"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Company Option to Repurchase Vested Units. </w:t>
      </w:r>
      <w:r>
        <w:rPr>
          <w:rFonts w:ascii="Times New Roman" w:cs="Times New Roman" w:eastAsia="Times New Roman" w:hAnsi="Times New Roman"/>
          <w:sz w:val="22"/>
          <w:szCs w:val="22"/>
          <w:color w:val="auto"/>
        </w:rPr>
        <w:t>If Participant’s continuous service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is terminated for any reason other than Participant’s death or Disability (including, without limitation, the Participant’s voluntary resignation or termination by the Company with or without Cause), then the Company shall have the option, for a period of one hundred eighty (180) days following the date of termination, to provide written notice of its election to purchase all or a portion of Participant’s Profits Interest Units vested as of the date of termination. The purchase price of the vested Profits Interest Units acquired by the Company in accordance with this Section 5 shall be equal to the Participant’s capital account balance on the date the Company provides written notice to Participant of its election to repurchase such vested Profits Interest Units. Closing for any acquisition by the Company pursuant to this Section 5 shall take place within thirty (30) days after the date the Company gives Participant written notice of its intent to acquire the vest Profits Interest Units.</w:t>
      </w:r>
    </w:p>
    <w:p>
      <w:pPr>
        <w:spacing w:after="0" w:line="207" w:lineRule="exact"/>
        <w:rPr>
          <w:rFonts w:ascii="Times New Roman" w:cs="Times New Roman" w:eastAsia="Times New Roman" w:hAnsi="Times New Roman"/>
          <w:sz w:val="22"/>
          <w:szCs w:val="22"/>
          <w:b w:val="1"/>
          <w:bCs w:val="1"/>
          <w:color w:val="auto"/>
        </w:rPr>
      </w:pPr>
    </w:p>
    <w:p>
      <w:pPr>
        <w:ind w:right="20" w:firstLine="648"/>
        <w:spacing w:after="0" w:line="235" w:lineRule="auto"/>
        <w:tabs>
          <w:tab w:leader="none" w:pos="1621"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Joinder</w:t>
      </w:r>
      <w:r>
        <w:rPr>
          <w:rFonts w:ascii="Times New Roman" w:cs="Times New Roman" w:eastAsia="Times New Roman" w:hAnsi="Times New Roman"/>
          <w:sz w:val="22"/>
          <w:szCs w:val="22"/>
          <w:color w:val="auto"/>
        </w:rPr>
        <w:t>. As a condition of receiving this Profits Interest Grant, Participant shall execute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joinder to the Operating Agreement of the Company in the form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Participant understands that the rights granted to participant under the Operating Agreement are complex in nature, and have certain legal, tax and financial consequences to Participant. Participant has been advised by the Company to consult, and Participant has consulted to the extent Participant desired to do so, Participant’s own legal, tax and financial advisors with respect to these consequences. Participant understands, acknowledges and agrees that, upon execution of this Agreement and the joinder to the Operating Agreement, Participant shall, without further action or deed, thereupon be bound by the Operating Agreement, as it may thereafter be restated or amended, as though a direct signatory thereto.</w:t>
      </w:r>
    </w:p>
    <w:p>
      <w:pPr>
        <w:spacing w:after="0" w:line="201" w:lineRule="exact"/>
        <w:rPr>
          <w:rFonts w:ascii="Times New Roman" w:cs="Times New Roman" w:eastAsia="Times New Roman" w:hAnsi="Times New Roman"/>
          <w:sz w:val="22"/>
          <w:szCs w:val="22"/>
          <w:b w:val="1"/>
          <w:bCs w:val="1"/>
          <w:color w:val="auto"/>
        </w:rPr>
      </w:pPr>
    </w:p>
    <w:p>
      <w:pPr>
        <w:ind w:right="440" w:firstLine="648"/>
        <w:spacing w:after="0" w:line="246" w:lineRule="auto"/>
        <w:tabs>
          <w:tab w:leader="none" w:pos="1621"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Certification. </w:t>
      </w:r>
      <w:r>
        <w:rPr>
          <w:rFonts w:ascii="Times New Roman" w:cs="Times New Roman" w:eastAsia="Times New Roman" w:hAnsi="Times New Roman"/>
          <w:sz w:val="22"/>
          <w:szCs w:val="22"/>
          <w:color w:val="auto"/>
        </w:rPr>
        <w:t>The Participant acknowledges that the Profits Interest Units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uncertificated. The applicable Operating Agreement and this Agreement shall evidence the Participant’s Profits Interest Units.</w:t>
      </w:r>
    </w:p>
    <w:p>
      <w:pPr>
        <w:spacing w:after="0" w:line="194" w:lineRule="exact"/>
        <w:rPr>
          <w:rFonts w:ascii="Times New Roman" w:cs="Times New Roman" w:eastAsia="Times New Roman" w:hAnsi="Times New Roman"/>
          <w:sz w:val="22"/>
          <w:szCs w:val="22"/>
          <w:b w:val="1"/>
          <w:bCs w:val="1"/>
          <w:color w:val="auto"/>
        </w:rPr>
      </w:pPr>
    </w:p>
    <w:p>
      <w:pPr>
        <w:ind w:right="160" w:firstLine="648"/>
        <w:spacing w:after="0" w:line="262" w:lineRule="auto"/>
        <w:tabs>
          <w:tab w:leader="none" w:pos="1621"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Interest for Services; Safe Harbor Election. </w:t>
      </w:r>
      <w:r>
        <w:rPr>
          <w:rFonts w:ascii="Times New Roman" w:cs="Times New Roman" w:eastAsia="Times New Roman" w:hAnsi="Times New Roman"/>
          <w:sz w:val="22"/>
          <w:szCs w:val="22"/>
          <w:color w:val="auto"/>
        </w:rPr>
        <w:t>The Company and Participant each acknowledge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Internal Revenue Service (</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issued Internal Revenue Notice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94" w:name="page95"/>
    <w:bookmarkEnd w:id="94"/>
    <w:p>
      <w:pPr>
        <w:ind w:right="40"/>
        <w:spacing w:after="0" w:line="234" w:lineRule="auto"/>
        <w:rPr>
          <w:sz w:val="20"/>
          <w:szCs w:val="20"/>
          <w:color w:val="auto"/>
        </w:rPr>
      </w:pPr>
      <w:r>
        <w:rPr>
          <w:rFonts w:ascii="Times New Roman" w:cs="Times New Roman" w:eastAsia="Times New Roman" w:hAnsi="Times New Roman"/>
          <w:sz w:val="22"/>
          <w:szCs w:val="22"/>
          <w:color w:val="auto"/>
        </w:rPr>
        <w:t>2005-43, I.R.B. 2005-24 (June 13, 2005), proposing to create a safe harbor election for the issuance of “profits interests” to service providers of partnerships and limited liability companies (</w:t>
      </w:r>
      <w:r>
        <w:rPr>
          <w:rFonts w:ascii="Times New Roman" w:cs="Times New Roman" w:eastAsia="Times New Roman" w:hAnsi="Times New Roman"/>
          <w:sz w:val="22"/>
          <w:szCs w:val="22"/>
          <w:b w:val="1"/>
          <w:bCs w:val="1"/>
          <w:color w:val="auto"/>
        </w:rPr>
        <w:t>“Notice 2005-43”</w:t>
      </w:r>
      <w:r>
        <w:rPr>
          <w:rFonts w:ascii="Times New Roman" w:cs="Times New Roman" w:eastAsia="Times New Roman" w:hAnsi="Times New Roman"/>
          <w:sz w:val="22"/>
          <w:szCs w:val="22"/>
          <w:color w:val="auto"/>
        </w:rPr>
        <w:t xml:space="preserve">) (the safe harbor election referred to herein as the </w:t>
      </w:r>
      <w:r>
        <w:rPr>
          <w:rFonts w:ascii="Times New Roman" w:cs="Times New Roman" w:eastAsia="Times New Roman" w:hAnsi="Times New Roman"/>
          <w:sz w:val="22"/>
          <w:szCs w:val="22"/>
          <w:b w:val="1"/>
          <w:bCs w:val="1"/>
          <w:color w:val="auto"/>
        </w:rPr>
        <w:t>“Safe Harbor Election”</w:t>
      </w:r>
      <w:r>
        <w:rPr>
          <w:rFonts w:ascii="Times New Roman" w:cs="Times New Roman" w:eastAsia="Times New Roman" w:hAnsi="Times New Roman"/>
          <w:sz w:val="22"/>
          <w:szCs w:val="22"/>
          <w:color w:val="auto"/>
        </w:rPr>
        <w:t>). The IRS has not yet finalized the Safe Harbor Election. At any time after final guidance has been issued from the IRS and/or the Department of Treasury, and upon the request of Participant or the Company, the Company (i) shall cause an amendment to this Agreement to be executed modifying any provisions necessary for the Company to qualify for the Safe Harbor Election, and (ii) shall execute and file any other necessary forms or documents and take all other actions reasonably necessary to cause the Company and Participant to qualify for the Safe Harbor Election; provided, however, such Safe Harbor Election must be available to the Company and Participant under the terms of the final guidance. Participant agrees to execute any documents necessary to make this Safe Harbor Election effective.</w:t>
      </w:r>
    </w:p>
    <w:p>
      <w:pPr>
        <w:spacing w:after="0" w:line="203" w:lineRule="exact"/>
        <w:rPr>
          <w:sz w:val="20"/>
          <w:szCs w:val="20"/>
          <w:color w:val="auto"/>
        </w:rPr>
      </w:pPr>
    </w:p>
    <w:p>
      <w:pPr>
        <w:ind w:firstLine="648"/>
        <w:spacing w:after="0" w:line="236" w:lineRule="auto"/>
        <w:tabs>
          <w:tab w:leader="none" w:pos="1621"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Section 83(b) Election. </w:t>
      </w:r>
      <w:r>
        <w:rPr>
          <w:rFonts w:ascii="Times New Roman" w:cs="Times New Roman" w:eastAsia="Times New Roman" w:hAnsi="Times New Roman"/>
          <w:sz w:val="22"/>
          <w:szCs w:val="22"/>
          <w:color w:val="auto"/>
        </w:rPr>
        <w:t>The Participant understands that under Section 83 of the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Revenue Code of 1986, as amended, the excess of the fair market value of the Profits Interest Units on the date any forfeiture restrictions applicable to the Profits Interests Units lapse over the purchase price paid (if any) for the Profits Interest Units may be reportable as ordinary income at that time, and, to the extent that the Participant desires to file an election under Section 83(b) in the form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Participant acknowledges that it is the Participant’s sole responsibility, and not the Company’s, to file a timely election under Section 83(b), even if the Participant asks the Company or its representatives to make such filing on his behalf.</w:t>
      </w:r>
    </w:p>
    <w:p>
      <w:pPr>
        <w:spacing w:after="0" w:line="203" w:lineRule="exact"/>
        <w:rPr>
          <w:rFonts w:ascii="Times New Roman" w:cs="Times New Roman" w:eastAsia="Times New Roman" w:hAnsi="Times New Roman"/>
          <w:sz w:val="22"/>
          <w:szCs w:val="22"/>
          <w:b w:val="1"/>
          <w:bCs w:val="1"/>
          <w:color w:val="auto"/>
        </w:rPr>
      </w:pPr>
    </w:p>
    <w:p>
      <w:pPr>
        <w:ind w:left="1620" w:hanging="972"/>
        <w:spacing w:after="0"/>
        <w:tabs>
          <w:tab w:leader="none" w:pos="162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Participant’s Representations, Warranties and Acknowledgments.</w:t>
      </w:r>
    </w:p>
    <w:p>
      <w:pPr>
        <w:spacing w:after="0" w:line="233" w:lineRule="exact"/>
        <w:rPr>
          <w:rFonts w:ascii="Times New Roman" w:cs="Times New Roman" w:eastAsia="Times New Roman" w:hAnsi="Times New Roman"/>
          <w:sz w:val="22"/>
          <w:szCs w:val="22"/>
          <w:b w:val="1"/>
          <w:bCs w:val="1"/>
          <w:color w:val="auto"/>
        </w:rPr>
      </w:pPr>
    </w:p>
    <w:p>
      <w:pPr>
        <w:ind w:right="100" w:firstLine="1620"/>
        <w:spacing w:after="0" w:line="256" w:lineRule="auto"/>
        <w:tabs>
          <w:tab w:leader="none" w:pos="2305" w:val="left"/>
        </w:tabs>
        <w:numPr>
          <w:ilvl w:val="1"/>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Exemption to Registration. </w:t>
      </w:r>
      <w:r>
        <w:rPr>
          <w:rFonts w:ascii="Times New Roman" w:cs="Times New Roman" w:eastAsia="Times New Roman" w:hAnsi="Times New Roman"/>
          <w:sz w:val="21"/>
          <w:szCs w:val="21"/>
          <w:color w:val="auto"/>
        </w:rPr>
        <w:t>The Participant is receiving the Profits Interest Units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this Agreement based upon an exemption from registration under the Securities Act of 1933 (the </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under Securities and Exchange Commission Rule 701 promulgated under the Securities Act, and a comparable exemption from qualification under applicable state securities laws, as each may be amended from time to time.</w:t>
      </w:r>
    </w:p>
    <w:p>
      <w:pPr>
        <w:spacing w:after="0" w:line="185" w:lineRule="exact"/>
        <w:rPr>
          <w:rFonts w:ascii="Times New Roman" w:cs="Times New Roman" w:eastAsia="Times New Roman" w:hAnsi="Times New Roman"/>
          <w:sz w:val="21"/>
          <w:szCs w:val="21"/>
          <w:b w:val="1"/>
          <w:bCs w:val="1"/>
          <w:color w:val="auto"/>
        </w:rPr>
      </w:pPr>
    </w:p>
    <w:p>
      <w:pPr>
        <w:ind w:right="20" w:firstLine="1620"/>
        <w:spacing w:after="0" w:line="236" w:lineRule="auto"/>
        <w:tabs>
          <w:tab w:leader="none" w:pos="2317"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HIGH-RISK INVESTMENT. </w:t>
      </w:r>
      <w:r>
        <w:rPr>
          <w:rFonts w:ascii="Times New Roman" w:cs="Times New Roman" w:eastAsia="Times New Roman" w:hAnsi="Times New Roman"/>
          <w:sz w:val="22"/>
          <w:szCs w:val="22"/>
          <w:color w:val="auto"/>
        </w:rPr>
        <w:t>THE PARTICIPANT UNDERSTANDS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THAT THE ACQUISITION OF THE PROFITS INTEREST UNITS INVOLVES A HIGH DEGREE OF RISK, INCLUDING THE RISK THAT HE COULD LOSE ALL OR PART OF HIS INVESTMENT. THE PARTICIPANT SHOULD NOT ACQUIRE THE PROFITS INTEREST UNITS IF HE MIGHT HAVE NEED FOR THE FUNDS THAT WOULD OTHERWISE BE RECEIVED BY THE PARTICIPANT IN RESPECT OF THE SERVICES PERFORMED, AND SERVICES THAT WILL BE PERFORMED IN THE FUTURE, FOR THE COMPANY.</w:t>
      </w:r>
    </w:p>
    <w:p>
      <w:pPr>
        <w:spacing w:after="0" w:line="203" w:lineRule="exact"/>
        <w:rPr>
          <w:rFonts w:ascii="Times New Roman" w:cs="Times New Roman" w:eastAsia="Times New Roman" w:hAnsi="Times New Roman"/>
          <w:sz w:val="22"/>
          <w:szCs w:val="22"/>
          <w:b w:val="1"/>
          <w:bCs w:val="1"/>
          <w:color w:val="auto"/>
        </w:rPr>
      </w:pPr>
    </w:p>
    <w:p>
      <w:pPr>
        <w:ind w:right="60" w:firstLine="1620"/>
        <w:spacing w:after="0" w:line="246" w:lineRule="auto"/>
        <w:tabs>
          <w:tab w:leader="none" w:pos="2347"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Registration. </w:t>
      </w:r>
      <w:r>
        <w:rPr>
          <w:rFonts w:ascii="Times New Roman" w:cs="Times New Roman" w:eastAsia="Times New Roman" w:hAnsi="Times New Roman"/>
          <w:sz w:val="22"/>
          <w:szCs w:val="22"/>
          <w:color w:val="auto"/>
        </w:rPr>
        <w:t>The Participant acknowledges and understands that the Profits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have not been registered under the Securities Act, or the securities laws of any state, in each case pursuant to exemptions therefrom.</w:t>
      </w:r>
    </w:p>
    <w:p>
      <w:pPr>
        <w:spacing w:after="0" w:line="194" w:lineRule="exact"/>
        <w:rPr>
          <w:rFonts w:ascii="Times New Roman" w:cs="Times New Roman" w:eastAsia="Times New Roman" w:hAnsi="Times New Roman"/>
          <w:sz w:val="22"/>
          <w:szCs w:val="22"/>
          <w:b w:val="1"/>
          <w:bCs w:val="1"/>
          <w:color w:val="auto"/>
        </w:rPr>
      </w:pPr>
    </w:p>
    <w:p>
      <w:pPr>
        <w:ind w:right="600" w:firstLine="1620"/>
        <w:spacing w:after="0" w:line="246" w:lineRule="auto"/>
        <w:tabs>
          <w:tab w:leader="none" w:pos="2317"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Illiquid Investment. </w:t>
      </w:r>
      <w:r>
        <w:rPr>
          <w:rFonts w:ascii="Times New Roman" w:cs="Times New Roman" w:eastAsia="Times New Roman" w:hAnsi="Times New Roman"/>
          <w:sz w:val="22"/>
          <w:szCs w:val="22"/>
          <w:color w:val="auto"/>
        </w:rPr>
        <w:t>The Participant acknowledges and understands that a Profits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Unit is an illiquid investment, which means that the Participant must bear the economic risk of the investment for an indefinite period of time because: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95" w:name="page96"/>
    <w:bookmarkEnd w:id="95"/>
    <w:p>
      <w:pPr>
        <w:ind w:left="2961" w:hanging="692"/>
        <w:spacing w:after="0"/>
        <w:tabs>
          <w:tab w:leader="none" w:pos="2961"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there is no market for the Profits Interest Units and none is expected ever to</w:t>
      </w:r>
    </w:p>
    <w:p>
      <w:pPr>
        <w:spacing w:after="0" w:line="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develop,</w:t>
      </w:r>
    </w:p>
    <w:p>
      <w:pPr>
        <w:spacing w:after="0" w:line="209" w:lineRule="exact"/>
        <w:rPr>
          <w:sz w:val="20"/>
          <w:szCs w:val="20"/>
          <w:color w:val="auto"/>
        </w:rPr>
      </w:pPr>
    </w:p>
    <w:p>
      <w:pPr>
        <w:ind w:left="1" w:right="100" w:firstLine="2268"/>
        <w:spacing w:after="0" w:line="258" w:lineRule="auto"/>
        <w:tabs>
          <w:tab w:leader="none" w:pos="2966" w:val="left"/>
        </w:tabs>
        <w:numPr>
          <w:ilvl w:val="2"/>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transfer of the Profits Interest Units is subject to significant restrictions under applicable securities laws and the applicable Operating Agreement, and</w:t>
      </w:r>
    </w:p>
    <w:p>
      <w:pPr>
        <w:spacing w:after="0" w:line="185" w:lineRule="exact"/>
        <w:rPr>
          <w:rFonts w:ascii="Times New Roman" w:cs="Times New Roman" w:eastAsia="Times New Roman" w:hAnsi="Times New Roman"/>
          <w:sz w:val="22"/>
          <w:szCs w:val="22"/>
          <w:b w:val="1"/>
          <w:bCs w:val="1"/>
          <w:color w:val="auto"/>
        </w:rPr>
      </w:pPr>
    </w:p>
    <w:p>
      <w:pPr>
        <w:ind w:left="1" w:firstLine="2268"/>
        <w:spacing w:after="0" w:line="239" w:lineRule="auto"/>
        <w:tabs>
          <w:tab w:leader="none" w:pos="2972" w:val="left"/>
        </w:tabs>
        <w:numPr>
          <w:ilvl w:val="2"/>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addition to the transfer restrictions set forth in the applicable Operating Agreement, the Profits Interest may not be sold, transferred or otherwise disposed of in the absence of registration under the Securities Act and all applicable state securities laws or an opinion of counsel satisfactory to the Company that no such registrations are required.</w:t>
      </w:r>
    </w:p>
    <w:p>
      <w:pPr>
        <w:spacing w:after="0" w:line="203" w:lineRule="exact"/>
        <w:rPr>
          <w:rFonts w:ascii="Times New Roman" w:cs="Times New Roman" w:eastAsia="Times New Roman" w:hAnsi="Times New Roman"/>
          <w:sz w:val="22"/>
          <w:szCs w:val="22"/>
          <w:b w:val="1"/>
          <w:bCs w:val="1"/>
          <w:color w:val="auto"/>
        </w:rPr>
      </w:pPr>
    </w:p>
    <w:p>
      <w:pPr>
        <w:ind w:left="1" w:right="440" w:firstLine="1620"/>
        <w:spacing w:after="0" w:line="246" w:lineRule="auto"/>
        <w:tabs>
          <w:tab w:leader="none" w:pos="2348"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Register Profits Interest</w:t>
      </w:r>
      <w:r>
        <w:rPr>
          <w:rFonts w:ascii="Times New Roman" w:cs="Times New Roman" w:eastAsia="Times New Roman" w:hAnsi="Times New Roman"/>
          <w:sz w:val="22"/>
          <w:szCs w:val="22"/>
          <w:color w:val="auto"/>
        </w:rPr>
        <w:t>. The Participant understands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is under no obligation to register the Profits Interest Units under the Securities Act or under any state securities law.</w:t>
      </w:r>
    </w:p>
    <w:p>
      <w:pPr>
        <w:spacing w:after="0" w:line="194" w:lineRule="exact"/>
        <w:rPr>
          <w:rFonts w:ascii="Times New Roman" w:cs="Times New Roman" w:eastAsia="Times New Roman" w:hAnsi="Times New Roman"/>
          <w:sz w:val="22"/>
          <w:szCs w:val="22"/>
          <w:b w:val="1"/>
          <w:bCs w:val="1"/>
          <w:color w:val="auto"/>
        </w:rPr>
      </w:pPr>
    </w:p>
    <w:p>
      <w:pPr>
        <w:ind w:left="1" w:right="780" w:firstLine="1620"/>
        <w:spacing w:after="0" w:line="262" w:lineRule="auto"/>
        <w:tabs>
          <w:tab w:leader="none" w:pos="2324"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Investment Intent. </w:t>
      </w:r>
      <w:r>
        <w:rPr>
          <w:rFonts w:ascii="Times New Roman" w:cs="Times New Roman" w:eastAsia="Times New Roman" w:hAnsi="Times New Roman"/>
          <w:sz w:val="22"/>
          <w:szCs w:val="22"/>
          <w:color w:val="auto"/>
        </w:rPr>
        <w:t>The Participant is acquiring the Profits Interest Units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own account for investment only, and not with a view towards distribution or resale.</w:t>
      </w:r>
    </w:p>
    <w:p>
      <w:pPr>
        <w:spacing w:after="0" w:line="176" w:lineRule="exact"/>
        <w:rPr>
          <w:rFonts w:ascii="Times New Roman" w:cs="Times New Roman" w:eastAsia="Times New Roman" w:hAnsi="Times New Roman"/>
          <w:sz w:val="22"/>
          <w:szCs w:val="22"/>
          <w:b w:val="1"/>
          <w:bCs w:val="1"/>
          <w:color w:val="auto"/>
        </w:rPr>
      </w:pPr>
    </w:p>
    <w:p>
      <w:pPr>
        <w:ind w:left="1" w:right="180" w:firstLine="1620"/>
        <w:spacing w:after="0" w:line="241" w:lineRule="auto"/>
        <w:tabs>
          <w:tab w:leader="none" w:pos="2306"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Distribution. </w:t>
      </w:r>
      <w:r>
        <w:rPr>
          <w:rFonts w:ascii="Times New Roman" w:cs="Times New Roman" w:eastAsia="Times New Roman" w:hAnsi="Times New Roman"/>
          <w:sz w:val="22"/>
          <w:szCs w:val="22"/>
          <w:color w:val="auto"/>
        </w:rPr>
        <w:t>The Participant represents that he has not offered or sold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Profits Interest Units for which the Participant is hereby receiving to any other person and has no present intention of dividing such Profits Interest with others or reselling or otherwise disposing of any portion of such Profits Interest Units.</w:t>
      </w:r>
    </w:p>
    <w:p>
      <w:pPr>
        <w:spacing w:after="0" w:line="199" w:lineRule="exact"/>
        <w:rPr>
          <w:rFonts w:ascii="Times New Roman" w:cs="Times New Roman" w:eastAsia="Times New Roman" w:hAnsi="Times New Roman"/>
          <w:sz w:val="22"/>
          <w:szCs w:val="22"/>
          <w:b w:val="1"/>
          <w:bCs w:val="1"/>
          <w:color w:val="auto"/>
        </w:rPr>
      </w:pPr>
    </w:p>
    <w:p>
      <w:pPr>
        <w:ind w:left="1" w:firstLine="1620"/>
        <w:spacing w:after="0" w:line="262" w:lineRule="auto"/>
        <w:tabs>
          <w:tab w:leader="none" w:pos="2318"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Regulatory Review. </w:t>
      </w:r>
      <w:r>
        <w:rPr>
          <w:rFonts w:ascii="Times New Roman" w:cs="Times New Roman" w:eastAsia="Times New Roman" w:hAnsi="Times New Roman"/>
          <w:sz w:val="22"/>
          <w:szCs w:val="22"/>
          <w:color w:val="auto"/>
        </w:rPr>
        <w:t>The terms of this Agreement and the Operating Agreement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been submitted to or reviewed by any securities regulatory agency or any governmental agency.</w:t>
      </w:r>
    </w:p>
    <w:p>
      <w:pPr>
        <w:spacing w:after="0" w:line="176" w:lineRule="exact"/>
        <w:rPr>
          <w:rFonts w:ascii="Times New Roman" w:cs="Times New Roman" w:eastAsia="Times New Roman" w:hAnsi="Times New Roman"/>
          <w:sz w:val="22"/>
          <w:szCs w:val="22"/>
          <w:b w:val="1"/>
          <w:bCs w:val="1"/>
          <w:color w:val="auto"/>
        </w:rPr>
      </w:pPr>
    </w:p>
    <w:p>
      <w:pPr>
        <w:ind w:left="1" w:right="140" w:firstLine="1620"/>
        <w:spacing w:after="0" w:line="246" w:lineRule="auto"/>
        <w:tabs>
          <w:tab w:leader="none" w:pos="2312"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Financial Ability. </w:t>
      </w:r>
      <w:r>
        <w:rPr>
          <w:rFonts w:ascii="Times New Roman" w:cs="Times New Roman" w:eastAsia="Times New Roman" w:hAnsi="Times New Roman"/>
          <w:sz w:val="22"/>
          <w:szCs w:val="22"/>
          <w:color w:val="auto"/>
        </w:rPr>
        <w:t>The Participant represents that his/her financial commitment to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investments (including his proposed investment in the Profits Interest Units) is reasonable in relationship to his net worth.</w:t>
      </w:r>
    </w:p>
    <w:p>
      <w:pPr>
        <w:spacing w:after="0" w:line="194" w:lineRule="exact"/>
        <w:rPr>
          <w:rFonts w:ascii="Times New Roman" w:cs="Times New Roman" w:eastAsia="Times New Roman" w:hAnsi="Times New Roman"/>
          <w:sz w:val="22"/>
          <w:szCs w:val="22"/>
          <w:b w:val="1"/>
          <w:bCs w:val="1"/>
          <w:color w:val="auto"/>
        </w:rPr>
      </w:pPr>
    </w:p>
    <w:p>
      <w:pPr>
        <w:ind w:left="1" w:right="300" w:firstLine="1620"/>
        <w:spacing w:after="0" w:line="246" w:lineRule="auto"/>
        <w:tabs>
          <w:tab w:leader="none" w:pos="2324"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U.S. Person. </w:t>
      </w:r>
      <w:r>
        <w:rPr>
          <w:rFonts w:ascii="Times New Roman" w:cs="Times New Roman" w:eastAsia="Times New Roman" w:hAnsi="Times New Roman"/>
          <w:sz w:val="22"/>
          <w:szCs w:val="22"/>
          <w:color w:val="auto"/>
        </w:rPr>
        <w:t>The Participant is a “United States Person” for purposes of the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States Internal Revenue Code. The address set forth below is the true and correct residence of the Participant and the Participant has no present intention of moving his residence to any other state or jurisdiction.</w:t>
      </w:r>
    </w:p>
    <w:p>
      <w:pPr>
        <w:spacing w:after="0" w:line="194" w:lineRule="exact"/>
        <w:rPr>
          <w:rFonts w:ascii="Times New Roman" w:cs="Times New Roman" w:eastAsia="Times New Roman" w:hAnsi="Times New Roman"/>
          <w:sz w:val="22"/>
          <w:szCs w:val="22"/>
          <w:b w:val="1"/>
          <w:bCs w:val="1"/>
          <w:color w:val="auto"/>
        </w:rPr>
      </w:pPr>
    </w:p>
    <w:p>
      <w:pPr>
        <w:ind w:left="1" w:firstLine="1620"/>
        <w:spacing w:after="0" w:line="247" w:lineRule="auto"/>
        <w:tabs>
          <w:tab w:leader="none" w:pos="2306" w:val="left"/>
        </w:tabs>
        <w:numPr>
          <w:ilvl w:val="1"/>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Access to Information. </w:t>
      </w:r>
      <w:r>
        <w:rPr>
          <w:rFonts w:ascii="Times New Roman" w:cs="Times New Roman" w:eastAsia="Times New Roman" w:hAnsi="Times New Roman"/>
          <w:sz w:val="21"/>
          <w:szCs w:val="21"/>
          <w:color w:val="auto"/>
        </w:rPr>
        <w:t>The Participant hereby acknowledges receipt of all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materials the Participant deems necessary or desirable to evaluate an investment in the Profits Interest Units and hereby acknowledges that the Participant has fully reviewed and fully understands all such information and materials. In addition to and not in limitation of the foregoing, the Participant hereby acknowledges that the Participant has had ample opportunity to discuss with management of the Company (i) the Transaction Documents,</w:t>
      </w:r>
    </w:p>
    <w:p>
      <w:pPr>
        <w:ind w:left="1" w:right="680" w:hanging="1"/>
        <w:spacing w:after="0" w:line="258" w:lineRule="auto"/>
        <w:tabs>
          <w:tab w:leader="none" w:pos="31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of the Participant’s investment in the Profits Interest Units, (iii) the cancellation of prior Profits Interests Units, if any, and (iv) any other matters the Participant has deemed to be relevant or appropriate.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5" w:right="919" w:bottom="1440" w:gutter="0" w:footer="0" w:header="0"/>
        </w:sectPr>
      </w:pPr>
    </w:p>
    <w:bookmarkStart w:id="96" w:name="page97"/>
    <w:bookmarkEnd w:id="96"/>
    <w:p>
      <w:pPr>
        <w:ind w:left="2261" w:hanging="640"/>
        <w:spacing w:after="0"/>
        <w:tabs>
          <w:tab w:leader="none" w:pos="2261" w:val="left"/>
        </w:tabs>
        <w:numPr>
          <w:ilvl w:val="2"/>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Fundamental Representations. </w:t>
      </w:r>
      <w:r>
        <w:rPr>
          <w:rFonts w:ascii="Times New Roman" w:cs="Times New Roman" w:eastAsia="Times New Roman" w:hAnsi="Times New Roman"/>
          <w:sz w:val="22"/>
          <w:szCs w:val="22"/>
          <w:color w:val="auto"/>
        </w:rPr>
        <w:t>The Participant represents and warrants as follows:</w:t>
      </w:r>
    </w:p>
    <w:p>
      <w:pPr>
        <w:spacing w:after="0" w:line="237" w:lineRule="exact"/>
        <w:rPr>
          <w:rFonts w:ascii="Times New Roman" w:cs="Times New Roman" w:eastAsia="Times New Roman" w:hAnsi="Times New Roman"/>
          <w:sz w:val="22"/>
          <w:szCs w:val="22"/>
          <w:b w:val="1"/>
          <w:bCs w:val="1"/>
          <w:color w:val="auto"/>
        </w:rPr>
      </w:pPr>
    </w:p>
    <w:p>
      <w:pPr>
        <w:ind w:left="1" w:right="780" w:firstLine="2268"/>
        <w:spacing w:after="0" w:line="258" w:lineRule="auto"/>
        <w:tabs>
          <w:tab w:leader="none" w:pos="2960" w:val="left"/>
        </w:tabs>
        <w:numPr>
          <w:ilvl w:val="3"/>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Participant has full power and authority to execute this Agreement and to consummate the transactions contemplated hereby.</w:t>
      </w:r>
    </w:p>
    <w:p>
      <w:pPr>
        <w:spacing w:after="0" w:line="185" w:lineRule="exact"/>
        <w:rPr>
          <w:rFonts w:ascii="Times New Roman" w:cs="Times New Roman" w:eastAsia="Times New Roman" w:hAnsi="Times New Roman"/>
          <w:sz w:val="22"/>
          <w:szCs w:val="22"/>
          <w:b w:val="1"/>
          <w:bCs w:val="1"/>
          <w:color w:val="auto"/>
        </w:rPr>
      </w:pPr>
    </w:p>
    <w:p>
      <w:pPr>
        <w:ind w:left="1" w:right="140" w:firstLine="2268"/>
        <w:spacing w:after="0" w:line="244" w:lineRule="auto"/>
        <w:tabs>
          <w:tab w:leader="none" w:pos="3290" w:val="left"/>
        </w:tabs>
        <w:numPr>
          <w:ilvl w:val="3"/>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Participant has duly executed and delivered this Agreement and (assuming due authorization, execution and delivery by Company) this Agreement constitutes his/her legal, valid and binding obligation, enforceable against him/her in accordance with its terms.</w:t>
      </w:r>
    </w:p>
    <w:p>
      <w:pPr>
        <w:spacing w:after="0" w:line="200" w:lineRule="exact"/>
        <w:rPr>
          <w:rFonts w:ascii="Times New Roman" w:cs="Times New Roman" w:eastAsia="Times New Roman" w:hAnsi="Times New Roman"/>
          <w:sz w:val="22"/>
          <w:szCs w:val="22"/>
          <w:b w:val="1"/>
          <w:bCs w:val="1"/>
          <w:color w:val="auto"/>
        </w:rPr>
      </w:pPr>
    </w:p>
    <w:p>
      <w:pPr>
        <w:ind w:left="1" w:right="60" w:firstLine="2268"/>
        <w:spacing w:after="0" w:line="236" w:lineRule="auto"/>
        <w:tabs>
          <w:tab w:leader="none" w:pos="3296" w:val="left"/>
        </w:tabs>
        <w:numPr>
          <w:ilvl w:val="3"/>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execution and delivery of this Agreement does not, and the performance of this Agreement by Participant will not, result in any breach of or constitute a default (or an event that with notice or lapse of time or both would become a default) under, or give to others any rights of termination, amendment, acceleration or cancellation of, or require payment under, or result in the creation of a lien on, any of the properties or assets of the Participant pursuant to any contract to which the Participant is a party or by which the Participant or any of his properties is bound.</w:t>
      </w:r>
    </w:p>
    <w:p>
      <w:pPr>
        <w:spacing w:after="0" w:line="205" w:lineRule="exact"/>
        <w:rPr>
          <w:rFonts w:ascii="Times New Roman" w:cs="Times New Roman" w:eastAsia="Times New Roman" w:hAnsi="Times New Roman"/>
          <w:sz w:val="22"/>
          <w:szCs w:val="22"/>
          <w:b w:val="1"/>
          <w:bCs w:val="1"/>
          <w:color w:val="auto"/>
        </w:rPr>
      </w:pPr>
    </w:p>
    <w:p>
      <w:pPr>
        <w:ind w:left="2321" w:hanging="700"/>
        <w:spacing w:after="0"/>
        <w:tabs>
          <w:tab w:leader="none" w:pos="2321" w:val="left"/>
        </w:tabs>
        <w:numPr>
          <w:ilvl w:val="2"/>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Dilution</w:t>
      </w:r>
      <w:r>
        <w:rPr>
          <w:rFonts w:ascii="Times New Roman" w:cs="Times New Roman" w:eastAsia="Times New Roman" w:hAnsi="Times New Roman"/>
          <w:sz w:val="21"/>
          <w:szCs w:val="21"/>
          <w:color w:val="auto"/>
        </w:rPr>
        <w:t>. The Participant acknowledges that the Profits Interest Units may be diluted by</w:t>
      </w:r>
    </w:p>
    <w:p>
      <w:pPr>
        <w:spacing w:after="0" w:line="29" w:lineRule="exact"/>
        <w:rPr>
          <w:rFonts w:ascii="Times New Roman" w:cs="Times New Roman" w:eastAsia="Times New Roman" w:hAnsi="Times New Roman"/>
          <w:sz w:val="21"/>
          <w:szCs w:val="21"/>
          <w:b w:val="1"/>
          <w:bCs w:val="1"/>
          <w:color w:val="auto"/>
        </w:rPr>
      </w:pPr>
    </w:p>
    <w:p>
      <w:pPr>
        <w:ind w:left="1" w:right="580" w:hanging="1"/>
        <w:spacing w:after="0" w:line="237" w:lineRule="auto"/>
        <w:tabs>
          <w:tab w:leader="none" w:pos="25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Company, (ii) additional grants of Profits Interest Units to other service providers of the Company, and (iii) other events involving changes in ownership or capitalization of the Company.</w:t>
      </w:r>
    </w:p>
    <w:p>
      <w:pPr>
        <w:spacing w:after="0" w:line="201" w:lineRule="exact"/>
        <w:rPr>
          <w:rFonts w:ascii="Times New Roman" w:cs="Times New Roman" w:eastAsia="Times New Roman" w:hAnsi="Times New Roman"/>
          <w:sz w:val="22"/>
          <w:szCs w:val="22"/>
          <w:color w:val="auto"/>
        </w:rPr>
      </w:pPr>
    </w:p>
    <w:p>
      <w:pPr>
        <w:ind w:left="1" w:right="380" w:firstLine="648"/>
        <w:spacing w:after="0" w:line="262" w:lineRule="auto"/>
        <w:tabs>
          <w:tab w:leader="none" w:pos="1610" w:val="left"/>
        </w:tabs>
        <w:numPr>
          <w:ilvl w:val="1"/>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Company’s Fundamental Representations and Warranties. </w:t>
      </w:r>
      <w:r>
        <w:rPr>
          <w:rFonts w:ascii="Times New Roman" w:cs="Times New Roman" w:eastAsia="Times New Roman" w:hAnsi="Times New Roman"/>
          <w:sz w:val="22"/>
          <w:szCs w:val="22"/>
          <w:color w:val="auto"/>
        </w:rPr>
        <w:t>The Company represents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 as follows to the Participant:</w:t>
      </w:r>
    </w:p>
    <w:p>
      <w:pPr>
        <w:spacing w:after="0" w:line="180" w:lineRule="exact"/>
        <w:rPr>
          <w:rFonts w:ascii="Times New Roman" w:cs="Times New Roman" w:eastAsia="Times New Roman" w:hAnsi="Times New Roman"/>
          <w:sz w:val="22"/>
          <w:szCs w:val="22"/>
          <w:b w:val="1"/>
          <w:bCs w:val="1"/>
          <w:color w:val="auto"/>
        </w:rPr>
      </w:pPr>
    </w:p>
    <w:p>
      <w:pPr>
        <w:ind w:left="1" w:right="140" w:firstLine="1620"/>
        <w:spacing w:after="0" w:line="258" w:lineRule="auto"/>
        <w:tabs>
          <w:tab w:leader="none" w:pos="2306" w:val="left"/>
        </w:tabs>
        <w:numPr>
          <w:ilvl w:val="2"/>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is duly organized, validly existing and in good standing under the laws of the jurisdiction in which it is organized;</w:t>
      </w:r>
    </w:p>
    <w:p>
      <w:pPr>
        <w:spacing w:after="0" w:line="185" w:lineRule="exact"/>
        <w:rPr>
          <w:rFonts w:ascii="Times New Roman" w:cs="Times New Roman" w:eastAsia="Times New Roman" w:hAnsi="Times New Roman"/>
          <w:sz w:val="22"/>
          <w:szCs w:val="22"/>
          <w:b w:val="1"/>
          <w:bCs w:val="1"/>
          <w:color w:val="auto"/>
        </w:rPr>
      </w:pPr>
    </w:p>
    <w:p>
      <w:pPr>
        <w:ind w:left="2321" w:hanging="700"/>
        <w:spacing w:after="0"/>
        <w:tabs>
          <w:tab w:leader="none" w:pos="2321" w:val="left"/>
        </w:tabs>
        <w:numPr>
          <w:ilvl w:val="2"/>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Profits Interest has been duly authorized and validly issued;</w:t>
      </w:r>
    </w:p>
    <w:p>
      <w:pPr>
        <w:spacing w:after="0" w:line="233" w:lineRule="exact"/>
        <w:rPr>
          <w:rFonts w:ascii="Times New Roman" w:cs="Times New Roman" w:eastAsia="Times New Roman" w:hAnsi="Times New Roman"/>
          <w:sz w:val="22"/>
          <w:szCs w:val="22"/>
          <w:b w:val="1"/>
          <w:bCs w:val="1"/>
          <w:color w:val="auto"/>
        </w:rPr>
      </w:pPr>
    </w:p>
    <w:p>
      <w:pPr>
        <w:ind w:left="1" w:right="240" w:firstLine="1620"/>
        <w:spacing w:after="0" w:line="244" w:lineRule="auto"/>
        <w:tabs>
          <w:tab w:leader="none" w:pos="2347" w:val="left"/>
        </w:tabs>
        <w:numPr>
          <w:ilvl w:val="2"/>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execution and delivery by the Company of this Agreement and the consummation by the Company of the transactions contemplated hereby have been duly authorized by all necessary limited liability company action;</w:t>
      </w:r>
    </w:p>
    <w:p>
      <w:pPr>
        <w:spacing w:after="0" w:line="200" w:lineRule="exact"/>
        <w:rPr>
          <w:rFonts w:ascii="Times New Roman" w:cs="Times New Roman" w:eastAsia="Times New Roman" w:hAnsi="Times New Roman"/>
          <w:sz w:val="22"/>
          <w:szCs w:val="22"/>
          <w:b w:val="1"/>
          <w:bCs w:val="1"/>
          <w:color w:val="auto"/>
        </w:rPr>
      </w:pPr>
    </w:p>
    <w:p>
      <w:pPr>
        <w:ind w:left="1" w:right="480" w:firstLine="1620"/>
        <w:spacing w:after="0" w:line="244" w:lineRule="auto"/>
        <w:tabs>
          <w:tab w:leader="none" w:pos="2318" w:val="left"/>
        </w:tabs>
        <w:numPr>
          <w:ilvl w:val="2"/>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has duly executed and delivered this Agreement and (assuming due authorization, execution and delivery by the Participant) this Agreement constitutes its legal, valid and binding obligation, enforceable against the Company in accordance with its terms; and</w:t>
      </w:r>
    </w:p>
    <w:p>
      <w:pPr>
        <w:spacing w:after="0" w:line="200" w:lineRule="exact"/>
        <w:rPr>
          <w:rFonts w:ascii="Times New Roman" w:cs="Times New Roman" w:eastAsia="Times New Roman" w:hAnsi="Times New Roman"/>
          <w:sz w:val="22"/>
          <w:szCs w:val="22"/>
          <w:b w:val="1"/>
          <w:bCs w:val="1"/>
          <w:color w:val="auto"/>
        </w:rPr>
      </w:pPr>
    </w:p>
    <w:p>
      <w:pPr>
        <w:ind w:left="1" w:right="240" w:firstLine="1620"/>
        <w:spacing w:after="0" w:line="253" w:lineRule="auto"/>
        <w:tabs>
          <w:tab w:leader="none" w:pos="2347" w:val="left"/>
        </w:tabs>
        <w:numPr>
          <w:ilvl w:val="2"/>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execution and delivery of this Agreement does not, and the performance of this Agreement by the Company will not, (i) conflict with or violate the organizational documents of the Company, or</w:t>
      </w:r>
    </w:p>
    <w:p>
      <w:pPr>
        <w:spacing w:after="0" w:line="1" w:lineRule="exact"/>
        <w:rPr>
          <w:rFonts w:ascii="Times New Roman" w:cs="Times New Roman" w:eastAsia="Times New Roman" w:hAnsi="Times New Roman"/>
          <w:sz w:val="21"/>
          <w:szCs w:val="21"/>
          <w:b w:val="1"/>
          <w:bCs w:val="1"/>
          <w:color w:val="auto"/>
        </w:rPr>
      </w:pPr>
    </w:p>
    <w:p>
      <w:pPr>
        <w:ind w:left="1" w:hanging="1"/>
        <w:spacing w:after="0" w:line="235" w:lineRule="auto"/>
        <w:tabs>
          <w:tab w:leader="none" w:pos="31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any breach of or constitute a default (or an event that with notice or lapse of time or both would become a default) under, or give to others any rights of termination, amendment, acceleration or cancellation of, or require payment under, or result in the creation of a lien on, any of the properties or assets of the Company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3887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1" w:right="919" w:bottom="1440" w:gutter="0" w:footer="0" w:header="0"/>
        </w:sectPr>
      </w:pPr>
    </w:p>
    <w:bookmarkStart w:id="97" w:name="page98"/>
    <w:bookmarkEnd w:id="97"/>
    <w:p>
      <w:pPr>
        <w:ind w:right="500"/>
        <w:spacing w:after="0" w:line="258" w:lineRule="auto"/>
        <w:rPr>
          <w:sz w:val="20"/>
          <w:szCs w:val="20"/>
          <w:color w:val="auto"/>
        </w:rPr>
      </w:pPr>
      <w:r>
        <w:rPr>
          <w:rFonts w:ascii="Times New Roman" w:cs="Times New Roman" w:eastAsia="Times New Roman" w:hAnsi="Times New Roman"/>
          <w:sz w:val="22"/>
          <w:szCs w:val="22"/>
          <w:color w:val="auto"/>
        </w:rPr>
        <w:t>pursuant to any contract to which the Company is a party or by which the Company or any of its properties is bound.</w:t>
      </w:r>
    </w:p>
    <w:p>
      <w:pPr>
        <w:spacing w:after="0" w:line="181" w:lineRule="exact"/>
        <w:rPr>
          <w:sz w:val="20"/>
          <w:szCs w:val="20"/>
          <w:color w:val="auto"/>
        </w:rPr>
      </w:pPr>
    </w:p>
    <w:p>
      <w:pPr>
        <w:jc w:val="both"/>
        <w:ind w:right="200" w:firstLine="648"/>
        <w:spacing w:after="0" w:line="256" w:lineRule="auto"/>
        <w:tabs>
          <w:tab w:leader="none" w:pos="1675"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Code Section 409A</w:t>
      </w:r>
      <w:r>
        <w:rPr>
          <w:rFonts w:ascii="Times New Roman" w:cs="Times New Roman" w:eastAsia="Times New Roman" w:hAnsi="Times New Roman"/>
          <w:sz w:val="21"/>
          <w:szCs w:val="21"/>
          <w:color w:val="auto"/>
        </w:rPr>
        <w:t>. It is the express intent that the Profits Interest Grant awarded hereunder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either </w:t>
      </w: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21"/>
          <w:szCs w:val="21"/>
          <w:color w:val="auto"/>
        </w:rPr>
        <w:t xml:space="preserve"> shall not constitute “deferred compensation” under section 409A of the Code or </w:t>
      </w:r>
      <w:r>
        <w:rPr>
          <w:rFonts w:ascii="Times New Roman" w:cs="Times New Roman" w:eastAsia="Times New Roman" w:hAnsi="Times New Roman"/>
          <w:sz w:val="21"/>
          <w:szCs w:val="21"/>
          <w:b w:val="1"/>
          <w:bCs w:val="1"/>
          <w:color w:val="auto"/>
        </w:rPr>
        <w:t>(b)</w:t>
      </w:r>
      <w:r>
        <w:rPr>
          <w:rFonts w:ascii="Times New Roman" w:cs="Times New Roman" w:eastAsia="Times New Roman" w:hAnsi="Times New Roman"/>
          <w:sz w:val="21"/>
          <w:szCs w:val="21"/>
          <w:color w:val="auto"/>
        </w:rPr>
        <w:t xml:space="preserve"> if it does constitute “deferred compensation” under section 409A of the Code, shall be awarded in such manner as will not result in imposition of additional tax on the Company or a Participant under section 409A of the Code.</w:t>
      </w:r>
    </w:p>
    <w:p>
      <w:pPr>
        <w:spacing w:after="0" w:line="185" w:lineRule="exact"/>
        <w:rPr>
          <w:rFonts w:ascii="Times New Roman" w:cs="Times New Roman" w:eastAsia="Times New Roman" w:hAnsi="Times New Roman"/>
          <w:sz w:val="21"/>
          <w:szCs w:val="21"/>
          <w:b w:val="1"/>
          <w:bCs w:val="1"/>
          <w:color w:val="auto"/>
        </w:rPr>
      </w:pPr>
    </w:p>
    <w:p>
      <w:pPr>
        <w:ind w:left="1680" w:hanging="1032"/>
        <w:spacing w:after="0"/>
        <w:tabs>
          <w:tab w:leader="none" w:pos="168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33" w:lineRule="exact"/>
        <w:rPr>
          <w:rFonts w:ascii="Times New Roman" w:cs="Times New Roman" w:eastAsia="Times New Roman" w:hAnsi="Times New Roman"/>
          <w:sz w:val="22"/>
          <w:szCs w:val="22"/>
          <w:b w:val="1"/>
          <w:bCs w:val="1"/>
          <w:color w:val="auto"/>
        </w:rPr>
      </w:pPr>
    </w:p>
    <w:p>
      <w:pPr>
        <w:ind w:right="20" w:firstLine="1620"/>
        <w:spacing w:after="0" w:line="241" w:lineRule="auto"/>
        <w:tabs>
          <w:tab w:leader="none" w:pos="2293" w:val="left"/>
        </w:tabs>
        <w:numPr>
          <w:ilvl w:val="1"/>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Assignment. </w:t>
      </w:r>
      <w:r>
        <w:rPr>
          <w:rFonts w:ascii="Times New Roman" w:cs="Times New Roman" w:eastAsia="Times New Roman" w:hAnsi="Times New Roman"/>
          <w:sz w:val="22"/>
          <w:szCs w:val="22"/>
          <w:color w:val="auto"/>
        </w:rPr>
        <w:t>Neither this Agreement nor any of the rights, interests or obligations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assigned or delegated, in whole or in part, by operation of law or otherwise by any of the parties hereto without the prior written consent of the respective other party, and any such assignment without such prior written consent shall be null and void.</w:t>
      </w:r>
    </w:p>
    <w:p>
      <w:pPr>
        <w:spacing w:after="0" w:line="199" w:lineRule="exact"/>
        <w:rPr>
          <w:rFonts w:ascii="Times New Roman" w:cs="Times New Roman" w:eastAsia="Times New Roman" w:hAnsi="Times New Roman"/>
          <w:sz w:val="22"/>
          <w:szCs w:val="22"/>
          <w:b w:val="1"/>
          <w:bCs w:val="1"/>
          <w:color w:val="auto"/>
        </w:rPr>
      </w:pPr>
    </w:p>
    <w:p>
      <w:pPr>
        <w:ind w:right="80" w:firstLine="1620"/>
        <w:spacing w:after="0" w:line="237" w:lineRule="auto"/>
        <w:tabs>
          <w:tab w:leader="none" w:pos="2313" w:val="left"/>
        </w:tabs>
        <w:numPr>
          <w:ilvl w:val="1"/>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w:t>
      </w:r>
      <w:r>
        <w:rPr>
          <w:rFonts w:ascii="Times New Roman" w:cs="Times New Roman" w:eastAsia="Times New Roman" w:hAnsi="Times New Roman"/>
          <w:sz w:val="22"/>
          <w:szCs w:val="22"/>
          <w:color w:val="auto"/>
        </w:rPr>
        <w:t>This Agreement shall automatically terminate if, at any time prior to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execution, the applicable Operating Agreement shall have been terminated, and upon such termination this Agreement shall immediately become void and there shall be no liability or obligation on the part of the Company or the Participant under this Agreement;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any such termination of this Agreement shall not relieve any party from liability for any willful breach of this Agreement which resulted in the termination of this Agreement pursuant to this Section.</w:t>
      </w:r>
    </w:p>
    <w:p>
      <w:pPr>
        <w:spacing w:after="0" w:line="202" w:lineRule="exact"/>
        <w:rPr>
          <w:rFonts w:ascii="Times New Roman" w:cs="Times New Roman" w:eastAsia="Times New Roman" w:hAnsi="Times New Roman"/>
          <w:sz w:val="22"/>
          <w:szCs w:val="22"/>
          <w:b w:val="1"/>
          <w:bCs w:val="1"/>
          <w:color w:val="auto"/>
        </w:rPr>
      </w:pPr>
    </w:p>
    <w:p>
      <w:pPr>
        <w:ind w:right="80" w:firstLine="1620"/>
        <w:spacing w:after="0" w:line="237" w:lineRule="auto"/>
        <w:tabs>
          <w:tab w:leader="none" w:pos="2347" w:val="left"/>
        </w:tabs>
        <w:numPr>
          <w:ilvl w:val="1"/>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Exemption</w:t>
      </w:r>
      <w:r>
        <w:rPr>
          <w:rFonts w:ascii="Times New Roman" w:cs="Times New Roman" w:eastAsia="Times New Roman" w:hAnsi="Times New Roman"/>
          <w:sz w:val="22"/>
          <w:szCs w:val="22"/>
          <w:color w:val="auto"/>
        </w:rPr>
        <w:t>. THE PROFITS INTEREST IS BEING OFFERED PURSUANT TO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EXEMPTION FROM REGISTRATION UNDER THE SECURITIES ACT. THE SECURITIES AND EXCHANGE COMMISSION DOES NOT PASS UPON THE MERITS OF THE PROFITS INTEREST NOR DOES IT PASS UPON THE ACCURACY OR COMPLETENESS OF ANY OFFERING MATERIALS OR SELLING LITERATURE, INCLUDING THIS DOCUMENT. ANY REPRESENTATION TO THE CONTRARY IS A CRIMINAL OFFENSE.</w:t>
      </w:r>
    </w:p>
    <w:p>
      <w:pPr>
        <w:spacing w:after="0" w:line="202" w:lineRule="exact"/>
        <w:rPr>
          <w:rFonts w:ascii="Times New Roman" w:cs="Times New Roman" w:eastAsia="Times New Roman" w:hAnsi="Times New Roman"/>
          <w:sz w:val="22"/>
          <w:szCs w:val="22"/>
          <w:b w:val="1"/>
          <w:bCs w:val="1"/>
          <w:color w:val="auto"/>
        </w:rPr>
      </w:pPr>
    </w:p>
    <w:p>
      <w:pPr>
        <w:ind w:right="140" w:firstLine="1620"/>
        <w:spacing w:after="0" w:line="237" w:lineRule="auto"/>
        <w:tabs>
          <w:tab w:leader="none" w:pos="2317" w:val="left"/>
        </w:tabs>
        <w:numPr>
          <w:ilvl w:val="1"/>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Complete Agreement. </w:t>
      </w:r>
      <w:r>
        <w:rPr>
          <w:rFonts w:ascii="Times New Roman" w:cs="Times New Roman" w:eastAsia="Times New Roman" w:hAnsi="Times New Roman"/>
          <w:sz w:val="22"/>
          <w:szCs w:val="22"/>
          <w:color w:val="auto"/>
        </w:rPr>
        <w:t>This Agreement, and any appendices, schedules, exhibits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referred to herein or executed contemporaneously herewith, constitute the entire agreement among the parties hereto with respect to the subject matter hereof, and supersede all prior written, and all prior and contemporaneous oral, agreements, representations, warranties, statements, promises and understandings with respect to the subject matter hereof, whether express or implied. All schedules, appendices and exhibits attached hereto are hereby incorporated in and made a part of this Agreement as if fully set forth herein.</w:t>
      </w:r>
    </w:p>
    <w:p>
      <w:pPr>
        <w:spacing w:after="0" w:line="202" w:lineRule="exact"/>
        <w:rPr>
          <w:rFonts w:ascii="Times New Roman" w:cs="Times New Roman" w:eastAsia="Times New Roman" w:hAnsi="Times New Roman"/>
          <w:sz w:val="22"/>
          <w:szCs w:val="22"/>
          <w:b w:val="1"/>
          <w:bCs w:val="1"/>
          <w:color w:val="auto"/>
        </w:rPr>
      </w:pPr>
    </w:p>
    <w:p>
      <w:pPr>
        <w:ind w:firstLine="1620"/>
        <w:spacing w:after="0" w:line="237" w:lineRule="auto"/>
        <w:tabs>
          <w:tab w:leader="none" w:pos="2347" w:val="left"/>
        </w:tabs>
        <w:numPr>
          <w:ilvl w:val="1"/>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Trust or Contract of Employment. </w:t>
      </w:r>
      <w:r>
        <w:rPr>
          <w:rFonts w:ascii="Times New Roman" w:cs="Times New Roman" w:eastAsia="Times New Roman" w:hAnsi="Times New Roman"/>
          <w:sz w:val="22"/>
          <w:szCs w:val="22"/>
          <w:color w:val="auto"/>
        </w:rPr>
        <w:t>It is expressly understood by the parties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that this Agreement and the Operating Agreement relate exclusively to additional compensation for Participant’s services, and are not intended to be an employment contract. Nothing contained in this Agreement or the Operating Agreement, and no action taken pursuant to their provisions by either party hereto, shall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create or be deemed to create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a trust of any kind, or a fiduciary relationship between the Company or Subsidiary thereof and Participant; 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920" w:top="355" w:right="1019" w:bottom="1440" w:gutter="0" w:footer="0" w:header="0"/>
        </w:sectPr>
      </w:pPr>
    </w:p>
    <w:bookmarkStart w:id="98" w:name="page99"/>
    <w:bookmarkEnd w:id="98"/>
    <w:p>
      <w:pPr>
        <w:ind w:left="1" w:right="100" w:hanging="1"/>
        <w:spacing w:after="0" w:line="239" w:lineRule="auto"/>
        <w:tabs>
          <w:tab w:leader="none" w:pos="30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contract of employment for any term of years, or a right of Participant to continue in the employ of the Company or Subsidiary thereof in any capacity, or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affect or be deemed to affect in any way with the right of the Company or Subsidiary thereof to terminate Participant’s services for any reason or for no reason, with or without cause.</w:t>
      </w:r>
    </w:p>
    <w:p>
      <w:pPr>
        <w:spacing w:after="0" w:line="203" w:lineRule="exact"/>
        <w:rPr>
          <w:rFonts w:ascii="Times New Roman" w:cs="Times New Roman" w:eastAsia="Times New Roman" w:hAnsi="Times New Roman"/>
          <w:sz w:val="22"/>
          <w:szCs w:val="22"/>
          <w:color w:val="auto"/>
        </w:rPr>
      </w:pPr>
    </w:p>
    <w:p>
      <w:pPr>
        <w:ind w:left="1" w:right="80" w:firstLine="1620"/>
        <w:spacing w:after="0" w:line="238" w:lineRule="auto"/>
        <w:tabs>
          <w:tab w:leader="none" w:pos="2486"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Binding Effect. </w:t>
      </w:r>
      <w:r>
        <w:rPr>
          <w:rFonts w:ascii="Times New Roman" w:cs="Times New Roman" w:eastAsia="Times New Roman" w:hAnsi="Times New Roman"/>
          <w:sz w:val="22"/>
          <w:szCs w:val="22"/>
          <w:color w:val="auto"/>
        </w:rPr>
        <w:t>This Agreement shall be binding upon and inure to the benefit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its successors and assigns, and Participant and Participant’s successors, assigns, heirs, executors, administrators and beneficiaries. Nothing contained herein shall be deemed to modify or waive in any manner whatsoever such prohibitions on transfer or assignment of Participant’s rights hereunder as are contained elsewhere in this Agreement.</w:t>
      </w:r>
    </w:p>
    <w:p>
      <w:pPr>
        <w:spacing w:after="0" w:line="204" w:lineRule="exact"/>
        <w:rPr>
          <w:rFonts w:ascii="Times New Roman" w:cs="Times New Roman" w:eastAsia="Times New Roman" w:hAnsi="Times New Roman"/>
          <w:sz w:val="22"/>
          <w:szCs w:val="22"/>
          <w:b w:val="1"/>
          <w:bCs w:val="1"/>
          <w:color w:val="auto"/>
        </w:rPr>
      </w:pPr>
    </w:p>
    <w:p>
      <w:pPr>
        <w:ind w:left="1" w:right="320" w:firstLine="1620"/>
        <w:spacing w:after="0" w:line="286" w:lineRule="auto"/>
        <w:tabs>
          <w:tab w:leader="none" w:pos="2456" w:val="left"/>
        </w:tabs>
        <w:numPr>
          <w:ilvl w:val="1"/>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Amendment. </w:t>
      </w:r>
      <w:r>
        <w:rPr>
          <w:rFonts w:ascii="Times New Roman" w:cs="Times New Roman" w:eastAsia="Times New Roman" w:hAnsi="Times New Roman"/>
          <w:sz w:val="21"/>
          <w:szCs w:val="21"/>
          <w:color w:val="auto"/>
        </w:rPr>
        <w:t>This Agreement may not be amended, altered, modified or terminated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by a written instrument signed by the parties hereto, or their respective successors or assigns.</w:t>
      </w:r>
    </w:p>
    <w:p>
      <w:pPr>
        <w:spacing w:after="0" w:line="153" w:lineRule="exact"/>
        <w:rPr>
          <w:rFonts w:ascii="Times New Roman" w:cs="Times New Roman" w:eastAsia="Times New Roman" w:hAnsi="Times New Roman"/>
          <w:sz w:val="21"/>
          <w:szCs w:val="21"/>
          <w:b w:val="1"/>
          <w:bCs w:val="1"/>
          <w:color w:val="auto"/>
        </w:rPr>
      </w:pPr>
    </w:p>
    <w:p>
      <w:pPr>
        <w:ind w:left="1" w:right="160" w:firstLine="1620"/>
        <w:spacing w:after="0" w:line="246" w:lineRule="auto"/>
        <w:tabs>
          <w:tab w:leader="none" w:pos="2480"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Agreement shall be governed by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regardless of the choice of law provisions of Delaware or any other jurisdiction and regardless of where the parties hereto may now or hereafter be formed, do business, or reside.</w:t>
      </w:r>
    </w:p>
    <w:p>
      <w:pPr>
        <w:spacing w:after="0" w:line="194" w:lineRule="exact"/>
        <w:rPr>
          <w:rFonts w:ascii="Times New Roman" w:cs="Times New Roman" w:eastAsia="Times New Roman" w:hAnsi="Times New Roman"/>
          <w:sz w:val="22"/>
          <w:szCs w:val="22"/>
          <w:b w:val="1"/>
          <w:bCs w:val="1"/>
          <w:color w:val="auto"/>
        </w:rPr>
      </w:pPr>
    </w:p>
    <w:p>
      <w:pPr>
        <w:jc w:val="both"/>
        <w:ind w:left="1" w:right="600" w:firstLine="1620"/>
        <w:spacing w:after="0" w:line="241" w:lineRule="auto"/>
        <w:tabs>
          <w:tab w:leader="none" w:pos="2474"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Interpretation. </w:t>
      </w:r>
      <w:r>
        <w:rPr>
          <w:rFonts w:ascii="Times New Roman" w:cs="Times New Roman" w:eastAsia="Times New Roman" w:hAnsi="Times New Roman"/>
          <w:sz w:val="22"/>
          <w:szCs w:val="22"/>
          <w:color w:val="auto"/>
        </w:rPr>
        <w:t>The headings in this Agreement are inserted only as a matter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convenience, and in no way define, limit, or interpret the scope of this Agreement or of any particular section hereof. Any example used in this Agreement is strictly for illustrative purposes and, in the event of a conflict between such example and any provision of this Agreement, such provision shall govern.</w:t>
      </w:r>
    </w:p>
    <w:p>
      <w:pPr>
        <w:spacing w:after="0" w:line="199" w:lineRule="exact"/>
        <w:rPr>
          <w:rFonts w:ascii="Times New Roman" w:cs="Times New Roman" w:eastAsia="Times New Roman" w:hAnsi="Times New Roman"/>
          <w:sz w:val="22"/>
          <w:szCs w:val="22"/>
          <w:b w:val="1"/>
          <w:bCs w:val="1"/>
          <w:color w:val="auto"/>
        </w:rPr>
      </w:pPr>
    </w:p>
    <w:p>
      <w:pPr>
        <w:ind w:left="1" w:right="80" w:firstLine="1620"/>
        <w:spacing w:after="0" w:line="238" w:lineRule="auto"/>
        <w:tabs>
          <w:tab w:leader="none" w:pos="2482"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Waivers Strictly Construed. </w:t>
      </w:r>
      <w:r>
        <w:rPr>
          <w:rFonts w:ascii="Times New Roman" w:cs="Times New Roman" w:eastAsia="Times New Roman" w:hAnsi="Times New Roman"/>
          <w:sz w:val="22"/>
          <w:szCs w:val="22"/>
          <w:color w:val="auto"/>
        </w:rPr>
        <w:t>With regard to any power, remedy or right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or otherwise available to any party hereunder, no waiver or extension of time shall be effective unless expressly contained in a writing signed by the waiving party, and no alteration, modification or impairment shall be implied by reason of any previous waiver, extension of time, delay or omission in exercise, or by any other indulgence.</w:t>
      </w:r>
    </w:p>
    <w:p>
      <w:pPr>
        <w:spacing w:after="0" w:line="204" w:lineRule="exact"/>
        <w:rPr>
          <w:rFonts w:ascii="Times New Roman" w:cs="Times New Roman" w:eastAsia="Times New Roman" w:hAnsi="Times New Roman"/>
          <w:sz w:val="22"/>
          <w:szCs w:val="22"/>
          <w:b w:val="1"/>
          <w:bCs w:val="1"/>
          <w:color w:val="auto"/>
        </w:rPr>
      </w:pPr>
    </w:p>
    <w:p>
      <w:pPr>
        <w:ind w:left="1" w:firstLine="1620"/>
        <w:spacing w:after="0" w:line="246" w:lineRule="auto"/>
        <w:tabs>
          <w:tab w:leader="none" w:pos="2480"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The validity, legality or enforceability of the remainder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be affected even if one or more of the provisions of this Agreement shall be held to be invalid, illegal or unenforceable in any respect.</w:t>
      </w:r>
    </w:p>
    <w:p>
      <w:pPr>
        <w:spacing w:after="0" w:line="194" w:lineRule="exact"/>
        <w:rPr>
          <w:rFonts w:ascii="Times New Roman" w:cs="Times New Roman" w:eastAsia="Times New Roman" w:hAnsi="Times New Roman"/>
          <w:sz w:val="22"/>
          <w:szCs w:val="22"/>
          <w:b w:val="1"/>
          <w:bCs w:val="1"/>
          <w:color w:val="auto"/>
        </w:rPr>
      </w:pPr>
    </w:p>
    <w:p>
      <w:pPr>
        <w:ind w:left="1" w:firstLine="1620"/>
        <w:spacing w:after="0" w:line="236" w:lineRule="auto"/>
        <w:tabs>
          <w:tab w:leader="none" w:pos="2474" w:val="left"/>
        </w:tabs>
        <w:numPr>
          <w:ilvl w:val="1"/>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 Facsimile or Electronic Signatures</w:t>
      </w:r>
      <w:r>
        <w:rPr>
          <w:rFonts w:ascii="Times New Roman" w:cs="Times New Roman" w:eastAsia="Times New Roman" w:hAnsi="Times New Roman"/>
          <w:sz w:val="22"/>
          <w:szCs w:val="22"/>
          <w:color w:val="auto"/>
        </w:rPr>
        <w:t>. This Agreement may be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two or more counterparts, each of which shall be deemed an original, but all of which together shall constitute one and the same instrument. Any signed copy of this Agreement or of any other document or agreement referred to herein, or copy or counterpart thereof, delivered by facsimile transmission or by e-mail in portable document format (PDF), JPEG or similar formats shall for all purposes be treated as if it were delivered containing an original manual signature of the whose signature appears in the facsimile or e-mail, and shall be binding upon such party in the same manner as though an originally signed copy had been delivered.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55" w:right="919" w:bottom="1440" w:gutter="0" w:footer="0" w:header="0"/>
        </w:sectPr>
      </w:pPr>
    </w:p>
    <w:bookmarkStart w:id="99" w:name="page100"/>
    <w:bookmarkEnd w:id="99"/>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effective as of the date first set forth above.</w:t>
      </w:r>
    </w:p>
    <w:p>
      <w:pPr>
        <w:spacing w:after="0" w:line="200" w:lineRule="exact"/>
        <w:rPr>
          <w:sz w:val="20"/>
          <w:szCs w:val="20"/>
          <w:color w:val="auto"/>
        </w:rPr>
      </w:pPr>
    </w:p>
    <w:p>
      <w:pPr>
        <w:spacing w:after="0" w:line="224"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2"/>
          <w:szCs w:val="22"/>
          <w:b w:val="1"/>
          <w:bCs w:val="1"/>
          <w:color w:val="auto"/>
        </w:rPr>
        <w:t>“Participant”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FRESHREALM,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-3175</wp:posOffset>
            </wp:positionV>
            <wp:extent cx="31902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0"/>
        <w:spacing w:after="0"/>
        <w:rPr>
          <w:sz w:val="20"/>
          <w:szCs w:val="20"/>
          <w:color w:val="auto"/>
        </w:rPr>
      </w:pPr>
      <w:r>
        <w:rPr>
          <w:rFonts w:ascii="Times New Roman" w:cs="Times New Roman" w:eastAsia="Times New Roman" w:hAnsi="Times New Roman"/>
          <w:sz w:val="22"/>
          <w:szCs w:val="22"/>
          <w:color w:val="auto"/>
        </w:rPr>
        <w:t>[NAME]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11430</wp:posOffset>
            </wp:positionV>
            <wp:extent cx="2769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-3175</wp:posOffset>
            </wp:positionV>
            <wp:extent cx="27698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-3175</wp:posOffset>
            </wp:positionV>
            <wp:extent cx="27698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00"/>
          </w:cols>
          <w:pgMar w:left="920" w:top="355" w:right="107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2C302C"/>
        </w:rPr>
        <w:t>Exhibit 10.2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C302C"/>
        </w:rPr>
        <w:t>FIRST AMENDMENT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2E2C"/>
        </w:rPr>
        <w:t>TO FRESHREALM,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2E2C"/>
        </w:rPr>
        <w:t>SIXTH AMENDED AND RESTATED</w:t>
      </w:r>
    </w:p>
    <w:p>
      <w:pPr>
        <w:jc w:val="center"/>
        <w:spacing w:after="0"/>
        <w:rPr>
          <w:sz w:val="20"/>
          <w:szCs w:val="20"/>
          <w:color w:val="auto"/>
        </w:rPr>
      </w:pPr>
      <w:r>
        <w:rPr>
          <w:rFonts w:ascii="Arial" w:cs="Arial" w:eastAsia="Arial" w:hAnsi="Arial"/>
          <w:sz w:val="18"/>
          <w:szCs w:val="18"/>
          <w:b w:val="1"/>
          <w:bCs w:val="1"/>
          <w:color w:val="2B2E2C"/>
        </w:rPr>
        <w:t>LIMITED LIABILITY AGREEMENT</w:t>
      </w:r>
    </w:p>
    <w:p>
      <w:pPr>
        <w:spacing w:after="0" w:line="176" w:lineRule="exact"/>
        <w:rPr>
          <w:sz w:val="20"/>
          <w:szCs w:val="20"/>
          <w:color w:val="auto"/>
        </w:rPr>
      </w:pPr>
    </w:p>
    <w:p>
      <w:pPr>
        <w:ind w:right="340" w:firstLine="648"/>
        <w:spacing w:after="0" w:line="245" w:lineRule="auto"/>
        <w:rPr>
          <w:sz w:val="20"/>
          <w:szCs w:val="20"/>
          <w:color w:val="auto"/>
        </w:rPr>
      </w:pPr>
      <w:r>
        <w:rPr>
          <w:rFonts w:ascii="Arial" w:cs="Arial" w:eastAsia="Arial" w:hAnsi="Arial"/>
          <w:sz w:val="18"/>
          <w:szCs w:val="18"/>
          <w:color w:val="0A100E"/>
        </w:rPr>
        <w:t>This First Amendment (the "First Amendment") to the Sixth Amended and Restated Limited Liability Agreement of FreshReaim, LLC (the "Agreement'') is made and entered into as of July 31, 20</w:t>
      </w:r>
      <w:r>
        <w:rPr>
          <w:rFonts w:ascii="Arial" w:cs="Arial" w:eastAsia="Arial" w:hAnsi="Arial"/>
          <w:sz w:val="18"/>
          <w:szCs w:val="18"/>
          <w:color w:val="202C23"/>
        </w:rPr>
        <w:t>1</w:t>
      </w:r>
      <w:r>
        <w:rPr>
          <w:rFonts w:ascii="Arial" w:cs="Arial" w:eastAsia="Arial" w:hAnsi="Arial"/>
          <w:sz w:val="18"/>
          <w:szCs w:val="18"/>
          <w:color w:val="0A100E"/>
        </w:rPr>
        <w:t>8 (the "First Amendment Effective Date"), by and between FreshReaim, LLC, a Delaware limited liability company (the "Company") and the members holding membership units therein, stated below (the "Approving Members" and with the Company, the "Parties").</w:t>
      </w:r>
    </w:p>
    <w:p>
      <w:pPr>
        <w:spacing w:after="0" w:line="15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070909"/>
        </w:rPr>
        <w:t>WHEREAS, concurrent with a separately agreed upon offering of an equal number of Units to additional parties, the Company is conducting an offering of 77,812 Units to Calavo, at a price of $44.98 per Unit, that is expected to close no later than the date hereof (the "2018 Offering");</w:t>
      </w:r>
    </w:p>
    <w:p>
      <w:pPr>
        <w:spacing w:after="0" w:line="151" w:lineRule="exact"/>
        <w:rPr>
          <w:sz w:val="20"/>
          <w:szCs w:val="20"/>
          <w:color w:val="auto"/>
        </w:rPr>
      </w:pPr>
    </w:p>
    <w:p>
      <w:pPr>
        <w:ind w:right="240" w:firstLine="648"/>
        <w:spacing w:after="0" w:line="276" w:lineRule="auto"/>
        <w:rPr>
          <w:sz w:val="20"/>
          <w:szCs w:val="20"/>
          <w:color w:val="auto"/>
        </w:rPr>
      </w:pPr>
      <w:r>
        <w:rPr>
          <w:rFonts w:ascii="Arial" w:cs="Arial" w:eastAsia="Arial" w:hAnsi="Arial"/>
          <w:sz w:val="18"/>
          <w:szCs w:val="18"/>
          <w:color w:val="0D1011"/>
        </w:rPr>
        <w:t>WHEREAS, in connection with the 2018 Offering, the Parties have agreed to amend the Agreement as set forth herein</w:t>
      </w:r>
      <w:r>
        <w:rPr>
          <w:rFonts w:ascii="Arial" w:cs="Arial" w:eastAsia="Arial" w:hAnsi="Arial"/>
          <w:sz w:val="18"/>
          <w:szCs w:val="18"/>
          <w:color w:val="283440"/>
        </w:rPr>
        <w:t>.</w:t>
      </w:r>
    </w:p>
    <w:p>
      <w:pPr>
        <w:spacing w:after="0" w:line="132"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060909"/>
        </w:rPr>
        <w:t>NOW, THEREFORE, in consideration of the covenants, promises, representations and warranties set forth herein, and for other good and valuable consideration, the receipt and sufficiency of which are hereby acknowledged by the parties, intending to be legally bound hereby, the Parties agree as follows:</w:t>
      </w:r>
    </w:p>
    <w:p>
      <w:pPr>
        <w:spacing w:after="0" w:line="151" w:lineRule="exact"/>
        <w:rPr>
          <w:sz w:val="20"/>
          <w:szCs w:val="20"/>
          <w:color w:val="auto"/>
        </w:rPr>
      </w:pPr>
    </w:p>
    <w:p>
      <w:pPr>
        <w:ind w:right="200" w:firstLine="3"/>
        <w:spacing w:after="0" w:line="276" w:lineRule="auto"/>
        <w:tabs>
          <w:tab w:leader="none" w:pos="650" w:val="left"/>
        </w:tabs>
        <w:numPr>
          <w:ilvl w:val="0"/>
          <w:numId w:val="72"/>
        </w:numPr>
        <w:rPr>
          <w:rFonts w:ascii="Arial" w:cs="Arial" w:eastAsia="Arial" w:hAnsi="Arial"/>
          <w:sz w:val="18"/>
          <w:szCs w:val="18"/>
          <w:color w:val="060909"/>
        </w:rPr>
      </w:pPr>
      <w:r>
        <w:rPr>
          <w:rFonts w:ascii="Arial" w:cs="Arial" w:eastAsia="Arial" w:hAnsi="Arial"/>
          <w:sz w:val="18"/>
          <w:szCs w:val="18"/>
          <w:u w:val="single" w:color="auto"/>
          <w:color w:val="060909"/>
        </w:rPr>
        <w:t>Amendments.</w:t>
      </w:r>
      <w:r>
        <w:rPr>
          <w:rFonts w:ascii="Arial" w:cs="Arial" w:eastAsia="Arial" w:hAnsi="Arial"/>
          <w:sz w:val="18"/>
          <w:szCs w:val="18"/>
          <w:color w:val="060909"/>
        </w:rPr>
        <w:t xml:space="preserve"> The Agreement shall be amended as set forth below. Capitalized </w:t>
      </w:r>
      <w:r>
        <w:rPr>
          <w:rFonts w:ascii="Arial" w:cs="Arial" w:eastAsia="Arial" w:hAnsi="Arial"/>
          <w:sz w:val="18"/>
          <w:szCs w:val="18"/>
          <w:color w:val="090B0B"/>
        </w:rPr>
        <w:t>terms that are used but</w:t>
      </w:r>
      <w:r>
        <w:rPr>
          <w:rFonts w:ascii="Arial" w:cs="Arial" w:eastAsia="Arial" w:hAnsi="Arial"/>
          <w:sz w:val="18"/>
          <w:szCs w:val="18"/>
          <w:color w:val="060909"/>
        </w:rPr>
        <w:t xml:space="preserve"> </w:t>
      </w:r>
      <w:r>
        <w:rPr>
          <w:rFonts w:ascii="Arial" w:cs="Arial" w:eastAsia="Arial" w:hAnsi="Arial"/>
          <w:sz w:val="18"/>
          <w:szCs w:val="18"/>
          <w:color w:val="090B0B"/>
        </w:rPr>
        <w:t>not defined herein shall have the meaning assigned to them in the Agreement.</w:t>
      </w:r>
    </w:p>
    <w:p>
      <w:pPr>
        <w:spacing w:after="0" w:line="1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090D0B"/>
        </w:rPr>
        <w:t>1.1</w:t>
      </w:r>
      <w:r>
        <w:rPr>
          <w:sz w:val="20"/>
          <w:szCs w:val="20"/>
          <w:color w:val="auto"/>
        </w:rPr>
        <w:tab/>
      </w:r>
      <w:r>
        <w:rPr>
          <w:rFonts w:ascii="Arial" w:cs="Arial" w:eastAsia="Arial" w:hAnsi="Arial"/>
          <w:sz w:val="18"/>
          <w:szCs w:val="18"/>
          <w:u w:val="single" w:color="auto"/>
          <w:color w:val="090D0B"/>
        </w:rPr>
        <w:t xml:space="preserve">Article I Definitions. </w:t>
      </w:r>
      <w:r>
        <w:rPr>
          <w:rFonts w:ascii="Arial" w:cs="Arial" w:eastAsia="Arial" w:hAnsi="Arial"/>
          <w:sz w:val="18"/>
          <w:szCs w:val="18"/>
          <w:color w:val="090D0B"/>
        </w:rPr>
        <w:t>Article I of the Agreement shall be amended as follows:</w:t>
      </w:r>
    </w:p>
    <w:p>
      <w:pPr>
        <w:spacing w:after="0" w:line="198"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050808"/>
        </w:rPr>
        <w:t>1.1.1</w:t>
      </w:r>
      <w:r>
        <w:rPr>
          <w:sz w:val="20"/>
          <w:szCs w:val="20"/>
          <w:color w:val="auto"/>
        </w:rPr>
        <w:tab/>
      </w:r>
      <w:r>
        <w:rPr>
          <w:rFonts w:ascii="Arial" w:cs="Arial" w:eastAsia="Arial" w:hAnsi="Arial"/>
          <w:sz w:val="18"/>
          <w:szCs w:val="18"/>
          <w:color w:val="050808"/>
        </w:rPr>
        <w:t>The defined term "2018 Offering" shall be added and has the meaning set forth above.</w:t>
      </w:r>
    </w:p>
    <w:p>
      <w:pPr>
        <w:spacing w:after="0" w:line="198"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18"/>
          <w:szCs w:val="18"/>
          <w:color w:val="0E1111"/>
        </w:rPr>
        <w:t>1.1.2</w:t>
      </w:r>
      <w:r>
        <w:rPr>
          <w:sz w:val="20"/>
          <w:szCs w:val="20"/>
          <w:color w:val="auto"/>
        </w:rPr>
        <w:tab/>
      </w:r>
      <w:r>
        <w:rPr>
          <w:rFonts w:ascii="Arial" w:cs="Arial" w:eastAsia="Arial" w:hAnsi="Arial"/>
          <w:sz w:val="18"/>
          <w:szCs w:val="18"/>
          <w:color w:val="0E1111"/>
        </w:rPr>
        <w:t>The defined term "2018 Increase" shall be added and has the meaning set forth herein.</w:t>
      </w:r>
    </w:p>
    <w:p>
      <w:pPr>
        <w:spacing w:after="0" w:line="198" w:lineRule="exact"/>
        <w:rPr>
          <w:sz w:val="20"/>
          <w:szCs w:val="20"/>
          <w:color w:val="auto"/>
        </w:rPr>
      </w:pPr>
    </w:p>
    <w:p>
      <w:pPr>
        <w:ind w:right="380" w:firstLine="1296"/>
        <w:spacing w:after="0" w:line="276" w:lineRule="auto"/>
        <w:rPr>
          <w:sz w:val="20"/>
          <w:szCs w:val="20"/>
          <w:color w:val="auto"/>
        </w:rPr>
      </w:pPr>
      <w:r>
        <w:rPr>
          <w:rFonts w:ascii="Arial" w:cs="Arial" w:eastAsia="Arial" w:hAnsi="Arial"/>
          <w:sz w:val="18"/>
          <w:szCs w:val="18"/>
          <w:color w:val="080B0B"/>
        </w:rPr>
        <w:t>1.1.3 The defined term "2018 Investment" shall be added and means the amount paid for Units purchased in the 2018 Offering.</w:t>
      </w:r>
    </w:p>
    <w:p>
      <w:pPr>
        <w:spacing w:after="0" w:line="132"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090E12"/>
        </w:rPr>
        <w:t>1.1.4 The defined term "2018 Option Investor" shall be added and means a purchaser of Units in the 2018 Offering who made the election to have Net Loss allocated in accordance with the last sentence of Section 6.3(c).</w:t>
      </w:r>
    </w:p>
    <w:p>
      <w:pPr>
        <w:spacing w:after="0" w:line="151"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0F1215"/>
        </w:rPr>
        <w:t xml:space="preserve">1.2 </w:t>
      </w:r>
      <w:r>
        <w:rPr>
          <w:rFonts w:ascii="Arial" w:cs="Arial" w:eastAsia="Arial" w:hAnsi="Arial"/>
          <w:sz w:val="18"/>
          <w:szCs w:val="18"/>
          <w:u w:val="single" w:color="auto"/>
          <w:color w:val="0F1215"/>
        </w:rPr>
        <w:t>Allocations of Ne</w:t>
      </w:r>
      <w:r>
        <w:rPr>
          <w:rFonts w:ascii="Arial" w:cs="Arial" w:eastAsia="Arial" w:hAnsi="Arial"/>
          <w:sz w:val="18"/>
          <w:szCs w:val="18"/>
          <w:u w:val="single" w:color="auto"/>
          <w:color w:val="23282F"/>
        </w:rPr>
        <w:t>t</w:t>
      </w:r>
      <w:r>
        <w:rPr>
          <w:rFonts w:ascii="Arial" w:cs="Arial" w:eastAsia="Arial" w:hAnsi="Arial"/>
          <w:sz w:val="18"/>
          <w:szCs w:val="18"/>
          <w:color w:val="0F1215"/>
        </w:rPr>
        <w:t xml:space="preserve"> </w:t>
      </w:r>
      <w:r>
        <w:rPr>
          <w:rFonts w:ascii="Arial" w:cs="Arial" w:eastAsia="Arial" w:hAnsi="Arial"/>
          <w:sz w:val="18"/>
          <w:szCs w:val="18"/>
          <w:u w:val="single" w:color="auto"/>
          <w:color w:val="0F1215"/>
        </w:rPr>
        <w:t>Income and Net Loss.</w:t>
      </w:r>
      <w:r>
        <w:rPr>
          <w:rFonts w:ascii="Arial" w:cs="Arial" w:eastAsia="Arial" w:hAnsi="Arial"/>
          <w:sz w:val="18"/>
          <w:szCs w:val="18"/>
          <w:color w:val="0F1215"/>
        </w:rPr>
        <w:t xml:space="preserve"> A new Section 6.3(c) shall be added </w:t>
      </w:r>
      <w:r>
        <w:rPr>
          <w:rFonts w:ascii="Arial" w:cs="Arial" w:eastAsia="Arial" w:hAnsi="Arial"/>
          <w:sz w:val="18"/>
          <w:szCs w:val="18"/>
          <w:color w:val="0B0D0F"/>
        </w:rPr>
        <w:t>to the Agreement,</w:t>
      </w:r>
      <w:r>
        <w:rPr>
          <w:rFonts w:ascii="Arial" w:cs="Arial" w:eastAsia="Arial" w:hAnsi="Arial"/>
          <w:sz w:val="18"/>
          <w:szCs w:val="18"/>
          <w:color w:val="0F1215"/>
        </w:rPr>
        <w:t xml:space="preserve"> </w:t>
      </w:r>
      <w:r>
        <w:rPr>
          <w:rFonts w:ascii="Arial" w:cs="Arial" w:eastAsia="Arial" w:hAnsi="Arial"/>
          <w:sz w:val="18"/>
          <w:szCs w:val="18"/>
          <w:color w:val="0B0D0F"/>
        </w:rPr>
        <w:t>as follows: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080A0A"/>
        </w:rPr>
        <w:t xml:space="preserve">"No Net Loss shall be allocated to 2018 Option Investors, from and after the closing of the 2018 Offering, with respect to the amount that their Capital Accounts are increased by their 2018 Investment (in each case, the </w:t>
      </w:r>
      <w:r>
        <w:rPr>
          <w:rFonts w:ascii="Arial" w:cs="Arial" w:eastAsia="Arial" w:hAnsi="Arial"/>
          <w:sz w:val="18"/>
          <w:szCs w:val="18"/>
          <w:u w:val="single" w:color="auto"/>
          <w:color w:val="080A0A"/>
        </w:rPr>
        <w:t>"2018</w:t>
      </w:r>
      <w:r>
        <w:rPr>
          <w:rFonts w:ascii="Arial" w:cs="Arial" w:eastAsia="Arial" w:hAnsi="Arial"/>
          <w:sz w:val="18"/>
          <w:szCs w:val="18"/>
          <w:color w:val="080A0A"/>
        </w:rPr>
        <w:t xml:space="preserve"> </w:t>
      </w:r>
      <w:r>
        <w:rPr>
          <w:rFonts w:ascii="Arial" w:cs="Arial" w:eastAsia="Arial" w:hAnsi="Arial"/>
          <w:sz w:val="18"/>
          <w:szCs w:val="18"/>
          <w:u w:val="single" w:color="auto"/>
          <w:color w:val="080A0A"/>
        </w:rPr>
        <w:t>Increase")</w:t>
      </w:r>
      <w:r>
        <w:rPr>
          <w:rFonts w:ascii="Arial" w:cs="Arial" w:eastAsia="Arial" w:hAnsi="Arial"/>
          <w:sz w:val="18"/>
          <w:szCs w:val="18"/>
          <w:color w:val="080A0A"/>
        </w:rPr>
        <w:t xml:space="preserve"> until such time as the earliest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247015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01" w:name="page102"/>
    <w:bookmarkEnd w:id="101"/>
    <w:p>
      <w:pPr>
        <w:ind w:right="40"/>
        <w:spacing w:after="0" w:line="249" w:lineRule="auto"/>
        <w:rPr>
          <w:sz w:val="20"/>
          <w:szCs w:val="20"/>
          <w:color w:val="auto"/>
        </w:rPr>
      </w:pPr>
      <w:r>
        <w:rPr>
          <w:rFonts w:ascii="Arial" w:cs="Arial" w:eastAsia="Arial" w:hAnsi="Arial"/>
          <w:sz w:val="18"/>
          <w:szCs w:val="18"/>
          <w:color w:val="0D0D0D"/>
        </w:rPr>
        <w:t>following occurs: (i) the Capital Accounts of all of the other Members, including the 2016 and 2017 Option Investors and their 2016 and 2017 Increases, are reduced to zero (and the portion of the 2018 Option Investors' Capital Accounts that are not the 2018 Increase amount are also so reduced), (ii) a Sale of the Company, or (iii) a dissolution of the Company."</w:t>
      </w:r>
    </w:p>
    <w:p>
      <w:pPr>
        <w:spacing w:after="0" w:line="155" w:lineRule="exact"/>
        <w:rPr>
          <w:sz w:val="20"/>
          <w:szCs w:val="20"/>
          <w:color w:val="auto"/>
        </w:rPr>
      </w:pPr>
    </w:p>
    <w:p>
      <w:pPr>
        <w:jc w:val="both"/>
        <w:ind w:right="160" w:firstLine="3"/>
        <w:spacing w:after="0" w:line="255" w:lineRule="auto"/>
        <w:tabs>
          <w:tab w:leader="none" w:pos="750" w:val="left"/>
        </w:tabs>
        <w:numPr>
          <w:ilvl w:val="0"/>
          <w:numId w:val="73"/>
        </w:numPr>
        <w:rPr>
          <w:rFonts w:ascii="Arial" w:cs="Arial" w:eastAsia="Arial" w:hAnsi="Arial"/>
          <w:sz w:val="18"/>
          <w:szCs w:val="18"/>
          <w:color w:val="0B0B0B"/>
        </w:rPr>
      </w:pPr>
      <w:r>
        <w:rPr>
          <w:rFonts w:ascii="Arial" w:cs="Arial" w:eastAsia="Arial" w:hAnsi="Arial"/>
          <w:sz w:val="18"/>
          <w:szCs w:val="18"/>
          <w:u w:val="single" w:color="auto"/>
          <w:color w:val="0B0B0B"/>
        </w:rPr>
        <w:t>Defined Terms; Interpretation.</w:t>
      </w:r>
      <w:r>
        <w:rPr>
          <w:rFonts w:ascii="Arial" w:cs="Arial" w:eastAsia="Arial" w:hAnsi="Arial"/>
          <w:sz w:val="18"/>
          <w:szCs w:val="18"/>
          <w:color w:val="0B0B0B"/>
        </w:rPr>
        <w:t xml:space="preserve"> All capitalized terms used but not defined in this First Amendment shall have the meanings ascribed to them in the Agreement. In the event of any conflict between the provisions of the Agreement and the provisions of this First Amendment, the provisions of this First Amendment shall control.</w:t>
      </w:r>
    </w:p>
    <w:p>
      <w:pPr>
        <w:spacing w:after="0" w:line="150" w:lineRule="exact"/>
        <w:rPr>
          <w:rFonts w:ascii="Arial" w:cs="Arial" w:eastAsia="Arial" w:hAnsi="Arial"/>
          <w:sz w:val="18"/>
          <w:szCs w:val="18"/>
          <w:color w:val="0B0B0B"/>
        </w:rPr>
      </w:pPr>
    </w:p>
    <w:p>
      <w:pPr>
        <w:ind w:right="360" w:firstLine="3"/>
        <w:spacing w:after="0" w:line="276" w:lineRule="auto"/>
        <w:tabs>
          <w:tab w:leader="none" w:pos="750" w:val="left"/>
        </w:tabs>
        <w:numPr>
          <w:ilvl w:val="0"/>
          <w:numId w:val="73"/>
        </w:numPr>
        <w:rPr>
          <w:rFonts w:ascii="Arial" w:cs="Arial" w:eastAsia="Arial" w:hAnsi="Arial"/>
          <w:sz w:val="18"/>
          <w:szCs w:val="18"/>
          <w:color w:val="0B0B0B"/>
        </w:rPr>
      </w:pPr>
      <w:r>
        <w:rPr>
          <w:rFonts w:ascii="Arial" w:cs="Arial" w:eastAsia="Arial" w:hAnsi="Arial"/>
          <w:sz w:val="18"/>
          <w:szCs w:val="18"/>
          <w:u w:val="single" w:color="auto"/>
          <w:color w:val="0B0B0B"/>
        </w:rPr>
        <w:t>Ratification and Reaffirmation of the Original Agreement.</w:t>
      </w:r>
      <w:r>
        <w:rPr>
          <w:rFonts w:ascii="Arial" w:cs="Arial" w:eastAsia="Arial" w:hAnsi="Arial"/>
          <w:sz w:val="18"/>
          <w:szCs w:val="18"/>
          <w:color w:val="0B0B0B"/>
        </w:rPr>
        <w:t xml:space="preserve"> Except as expressly </w:t>
      </w:r>
      <w:r>
        <w:rPr>
          <w:rFonts w:ascii="Arial" w:cs="Arial" w:eastAsia="Arial" w:hAnsi="Arial"/>
          <w:sz w:val="18"/>
          <w:szCs w:val="18"/>
          <w:color w:val="0A0A0A"/>
        </w:rPr>
        <w:t>amended hereby, the</w:t>
      </w:r>
      <w:r>
        <w:rPr>
          <w:rFonts w:ascii="Arial" w:cs="Arial" w:eastAsia="Arial" w:hAnsi="Arial"/>
          <w:sz w:val="18"/>
          <w:szCs w:val="18"/>
          <w:color w:val="0B0B0B"/>
        </w:rPr>
        <w:t xml:space="preserve"> </w:t>
      </w:r>
      <w:r>
        <w:rPr>
          <w:rFonts w:ascii="Arial" w:cs="Arial" w:eastAsia="Arial" w:hAnsi="Arial"/>
          <w:sz w:val="18"/>
          <w:szCs w:val="18"/>
          <w:color w:val="0A0A0A"/>
        </w:rPr>
        <w:t>Agreement shall remain in full force and effect and is hereby ratified and confirmed.</w:t>
      </w:r>
    </w:p>
    <w:p>
      <w:pPr>
        <w:spacing w:after="0" w:line="131" w:lineRule="exact"/>
        <w:rPr>
          <w:rFonts w:ascii="Arial" w:cs="Arial" w:eastAsia="Arial" w:hAnsi="Arial"/>
          <w:sz w:val="18"/>
          <w:szCs w:val="18"/>
          <w:color w:val="0B0B0B"/>
        </w:rPr>
      </w:pPr>
    </w:p>
    <w:p>
      <w:pPr>
        <w:ind w:right="200" w:firstLine="3"/>
        <w:spacing w:after="0" w:line="255" w:lineRule="auto"/>
        <w:tabs>
          <w:tab w:leader="none" w:pos="750" w:val="left"/>
        </w:tabs>
        <w:numPr>
          <w:ilvl w:val="0"/>
          <w:numId w:val="73"/>
        </w:numPr>
        <w:rPr>
          <w:rFonts w:ascii="Arial" w:cs="Arial" w:eastAsia="Arial" w:hAnsi="Arial"/>
          <w:sz w:val="18"/>
          <w:szCs w:val="18"/>
          <w:color w:val="0E0E0E"/>
        </w:rPr>
      </w:pPr>
      <w:r>
        <w:rPr>
          <w:rFonts w:ascii="Arial" w:cs="Arial" w:eastAsia="Arial" w:hAnsi="Arial"/>
          <w:sz w:val="18"/>
          <w:szCs w:val="18"/>
          <w:u w:val="single" w:color="auto"/>
          <w:color w:val="0E0E0E"/>
        </w:rPr>
        <w:t>Counterparts.</w:t>
      </w:r>
      <w:r>
        <w:rPr>
          <w:rFonts w:ascii="Arial" w:cs="Arial" w:eastAsia="Arial" w:hAnsi="Arial"/>
          <w:sz w:val="18"/>
          <w:szCs w:val="18"/>
          <w:color w:val="0E0E0E"/>
        </w:rPr>
        <w:t xml:space="preserve"> This First Amendment may be executed in any number of </w:t>
      </w:r>
      <w:r>
        <w:rPr>
          <w:rFonts w:ascii="Arial" w:cs="Arial" w:eastAsia="Arial" w:hAnsi="Arial"/>
          <w:sz w:val="18"/>
          <w:szCs w:val="18"/>
          <w:color w:val="0B0B0B"/>
        </w:rPr>
        <w:t>counterparts (including any</w:t>
      </w:r>
      <w:r>
        <w:rPr>
          <w:rFonts w:ascii="Arial" w:cs="Arial" w:eastAsia="Arial" w:hAnsi="Arial"/>
          <w:sz w:val="18"/>
          <w:szCs w:val="18"/>
          <w:color w:val="0E0E0E"/>
        </w:rPr>
        <w:t xml:space="preserve"> </w:t>
      </w:r>
      <w:r>
        <w:rPr>
          <w:rFonts w:ascii="Arial" w:cs="Arial" w:eastAsia="Arial" w:hAnsi="Arial"/>
          <w:sz w:val="18"/>
          <w:szCs w:val="18"/>
          <w:color w:val="0B0B0B"/>
        </w:rPr>
        <w:t>facsimile counterparts), each of which shall be deemed an original, but all of which together shall constitute one and the same instrument.</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0F0F0F"/>
        </w:rPr>
        <w:t>IN WITNESS WHEREOF, the parties hereto have executed this First Amendment on the date first set forth above.</w:t>
      </w:r>
    </w:p>
    <w:p>
      <w:pPr>
        <w:spacing w:after="0" w:line="200" w:lineRule="exact"/>
        <w:rPr>
          <w:sz w:val="20"/>
          <w:szCs w:val="20"/>
          <w:color w:val="auto"/>
        </w:rPr>
      </w:pP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FRESHREALM, LLC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Arial" w:cs="Arial" w:eastAsia="Arial" w:hAnsi="Arial"/>
          <w:sz w:val="18"/>
          <w:szCs w:val="18"/>
          <w:color w:val="0A0A0A"/>
        </w:rPr>
        <w:t>By: Michael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-125095</wp:posOffset>
            </wp:positionV>
            <wp:extent cx="28727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0A0A0A"/>
        </w:rPr>
        <w:t>Its: CEO</w:t>
      </w:r>
    </w:p>
    <w:p>
      <w:pPr>
        <w:spacing w:after="0" w:line="37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2A2A2A"/>
        </w:rPr>
        <w:t>APPROVING MEMBERS</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18"/>
          <w:szCs w:val="18"/>
          <w:color w:val="2A2A2A"/>
        </w:rPr>
        <w:t>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140335</wp:posOffset>
            </wp:positionV>
            <wp:extent cx="2872740" cy="3860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727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540"/>
        <w:spacing w:after="0"/>
        <w:rPr>
          <w:sz w:val="20"/>
          <w:szCs w:val="20"/>
          <w:color w:val="auto"/>
        </w:rPr>
      </w:pPr>
      <w:r>
        <w:rPr>
          <w:rFonts w:ascii="Arial" w:cs="Arial" w:eastAsia="Arial" w:hAnsi="Arial"/>
          <w:sz w:val="18"/>
          <w:szCs w:val="18"/>
          <w:color w:val="202020"/>
        </w:rPr>
        <w:t>By: Lecil Cole</w:t>
      </w:r>
    </w:p>
    <w:p>
      <w:pPr>
        <w:spacing w:after="0" w:line="18" w:lineRule="exact"/>
        <w:rPr>
          <w:sz w:val="20"/>
          <w:szCs w:val="20"/>
          <w:color w:val="auto"/>
        </w:rPr>
      </w:pPr>
    </w:p>
    <w:p>
      <w:pPr>
        <w:ind w:left="4540"/>
        <w:spacing w:after="0"/>
        <w:rPr>
          <w:sz w:val="20"/>
          <w:szCs w:val="20"/>
          <w:color w:val="auto"/>
        </w:rPr>
      </w:pPr>
      <w:r>
        <w:rPr>
          <w:rFonts w:ascii="Arial" w:cs="Arial" w:eastAsia="Arial" w:hAnsi="Arial"/>
          <w:sz w:val="18"/>
          <w:szCs w:val="18"/>
          <w:color w:val="090909"/>
        </w:rPr>
        <w:t>Its: CEO</w:t>
      </w:r>
    </w:p>
    <w:p>
      <w:pPr>
        <w:spacing w:after="0" w:line="379" w:lineRule="exact"/>
        <w:rPr>
          <w:sz w:val="20"/>
          <w:szCs w:val="20"/>
          <w:color w:val="auto"/>
        </w:rPr>
      </w:pPr>
    </w:p>
    <w:p>
      <w:pPr>
        <w:ind w:left="4540"/>
        <w:spacing w:after="0"/>
        <w:rPr>
          <w:sz w:val="20"/>
          <w:szCs w:val="20"/>
          <w:color w:val="auto"/>
        </w:rPr>
      </w:pPr>
      <w:r>
        <w:rPr>
          <w:rFonts w:ascii="Arial" w:cs="Arial" w:eastAsia="Arial" w:hAnsi="Arial"/>
          <w:sz w:val="18"/>
          <w:szCs w:val="18"/>
          <w:color w:val="050505"/>
        </w:rPr>
        <w:t>Impermanence, LLC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Arial" w:cs="Arial" w:eastAsia="Arial" w:hAnsi="Arial"/>
          <w:sz w:val="18"/>
          <w:szCs w:val="18"/>
          <w:color w:val="070707"/>
        </w:rPr>
        <w:t>By: Michael Lippold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-125095</wp:posOffset>
            </wp:positionV>
            <wp:extent cx="28727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070707"/>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102" w:name="page103"/>
    <w:bookmarkEnd w:id="102"/>
    <w:p>
      <w:pPr>
        <w:ind w:left="4520"/>
        <w:spacing w:after="0"/>
        <w:rPr>
          <w:sz w:val="20"/>
          <w:szCs w:val="20"/>
          <w:color w:val="auto"/>
        </w:rPr>
      </w:pPr>
      <w:r>
        <w:rPr>
          <w:rFonts w:ascii="Arial" w:cs="Arial" w:eastAsia="Arial" w:hAnsi="Arial"/>
          <w:sz w:val="18"/>
          <w:szCs w:val="18"/>
          <w:color w:val="070707"/>
        </w:rPr>
        <w:t>Peter Hajas,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28727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94" w:lineRule="exact"/>
        <w:rPr>
          <w:sz w:val="20"/>
          <w:szCs w:val="20"/>
          <w:color w:val="auto"/>
        </w:rPr>
      </w:pPr>
    </w:p>
    <w:p>
      <w:pPr>
        <w:ind w:left="4520"/>
        <w:spacing w:after="0"/>
        <w:rPr>
          <w:sz w:val="20"/>
          <w:szCs w:val="20"/>
          <w:color w:val="auto"/>
        </w:rPr>
      </w:pPr>
      <w:r>
        <w:rPr>
          <w:rFonts w:ascii="Arial" w:cs="Arial" w:eastAsia="Arial" w:hAnsi="Arial"/>
          <w:sz w:val="18"/>
          <w:szCs w:val="18"/>
          <w:color w:val="070707"/>
        </w:rPr>
        <w:t>Michael Lippold,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-125095</wp:posOffset>
            </wp:positionV>
            <wp:extent cx="28727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94" w:lineRule="exact"/>
        <w:rPr>
          <w:sz w:val="20"/>
          <w:szCs w:val="20"/>
          <w:color w:val="auto"/>
        </w:rPr>
      </w:pPr>
    </w:p>
    <w:p>
      <w:pPr>
        <w:ind w:left="4520"/>
        <w:spacing w:after="0"/>
        <w:rPr>
          <w:sz w:val="20"/>
          <w:szCs w:val="20"/>
          <w:color w:val="auto"/>
        </w:rPr>
      </w:pPr>
      <w:r>
        <w:rPr>
          <w:rFonts w:ascii="Arial" w:cs="Arial" w:eastAsia="Arial" w:hAnsi="Arial"/>
          <w:sz w:val="17"/>
          <w:szCs w:val="17"/>
          <w:color w:val="040404"/>
        </w:rPr>
        <w:t>Kenneth Catchot,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-117475</wp:posOffset>
            </wp:positionV>
            <wp:extent cx="28727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87630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373" w:right="1440"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jc w:val="center"/>
        <w:spacing w:after="0" w:line="211" w:lineRule="auto"/>
        <w:rPr>
          <w:sz w:val="20"/>
          <w:szCs w:val="20"/>
          <w:color w:val="auto"/>
        </w:rPr>
      </w:pPr>
      <w:r>
        <w:rPr>
          <w:rFonts w:ascii="Times New Roman" w:cs="Times New Roman" w:eastAsia="Times New Roman" w:hAnsi="Times New Roman"/>
          <w:sz w:val="16"/>
          <w:szCs w:val="16"/>
          <w:color w:val="auto"/>
        </w:rPr>
        <w:t>15 U.S.C. § 7241</w:t>
      </w:r>
    </w:p>
    <w:p>
      <w:pPr>
        <w:jc w:val="center"/>
        <w:spacing w:after="0" w:line="211" w:lineRule="auto"/>
        <w:rPr>
          <w:sz w:val="20"/>
          <w:szCs w:val="20"/>
          <w:color w:val="auto"/>
        </w:rPr>
      </w:pPr>
      <w:r>
        <w:rPr>
          <w:rFonts w:ascii="Times New Roman" w:cs="Times New Roman" w:eastAsia="Times New Roman" w:hAnsi="Times New Roman"/>
          <w:sz w:val="16"/>
          <w:szCs w:val="16"/>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Lecil E. Cole, certify that:</w:t>
      </w:r>
    </w:p>
    <w:p>
      <w:pPr>
        <w:spacing w:after="0" w:line="194" w:lineRule="exact"/>
        <w:rPr>
          <w:sz w:val="20"/>
          <w:szCs w:val="20"/>
          <w:color w:val="auto"/>
        </w:rPr>
      </w:pPr>
    </w:p>
    <w:p>
      <w:pPr>
        <w:ind w:left="660" w:hanging="657"/>
        <w:spacing w:after="0"/>
        <w:tabs>
          <w:tab w:leader="none" w:pos="6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194" w:lineRule="exact"/>
        <w:rPr>
          <w:rFonts w:ascii="Times New Roman" w:cs="Times New Roman" w:eastAsia="Times New Roman" w:hAnsi="Times New Roman"/>
          <w:sz w:val="16"/>
          <w:szCs w:val="16"/>
          <w:color w:val="auto"/>
        </w:rPr>
      </w:pPr>
    </w:p>
    <w:p>
      <w:pPr>
        <w:ind w:left="660" w:right="260" w:hanging="657"/>
        <w:spacing w:after="0" w:line="232" w:lineRule="auto"/>
        <w:tabs>
          <w:tab w:leader="none" w:pos="6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6"/>
          <w:szCs w:val="16"/>
          <w:color w:val="auto"/>
        </w:rPr>
      </w:pPr>
    </w:p>
    <w:p>
      <w:pPr>
        <w:ind w:left="660" w:right="320" w:hanging="657"/>
        <w:spacing w:after="0" w:line="232" w:lineRule="auto"/>
        <w:tabs>
          <w:tab w:leader="none" w:pos="6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6"/>
          <w:szCs w:val="16"/>
          <w:color w:val="auto"/>
        </w:rPr>
      </w:pPr>
    </w:p>
    <w:p>
      <w:pPr>
        <w:ind w:left="660" w:hanging="657"/>
        <w:spacing w:after="0" w:line="232" w:lineRule="auto"/>
        <w:tabs>
          <w:tab w:leader="none" w:pos="6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6"/>
          <w:szCs w:val="16"/>
          <w:color w:val="auto"/>
        </w:rPr>
      </w:pPr>
    </w:p>
    <w:p>
      <w:pPr>
        <w:ind w:left="1300" w:right="160" w:hanging="649"/>
        <w:spacing w:after="0" w:line="227" w:lineRule="auto"/>
        <w:tabs>
          <w:tab w:leader="none" w:pos="13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6"/>
          <w:szCs w:val="16"/>
          <w:color w:val="auto"/>
        </w:rPr>
      </w:pPr>
    </w:p>
    <w:p>
      <w:pPr>
        <w:ind w:left="1300" w:right="80" w:hanging="649"/>
        <w:spacing w:after="0" w:line="227" w:lineRule="auto"/>
        <w:tabs>
          <w:tab w:leader="none" w:pos="13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68" w:lineRule="exact"/>
        <w:rPr>
          <w:rFonts w:ascii="Times New Roman" w:cs="Times New Roman" w:eastAsia="Times New Roman" w:hAnsi="Times New Roman"/>
          <w:sz w:val="16"/>
          <w:szCs w:val="16"/>
          <w:color w:val="auto"/>
        </w:rPr>
      </w:pPr>
    </w:p>
    <w:p>
      <w:pPr>
        <w:ind w:left="1300" w:right="240" w:hanging="649"/>
        <w:spacing w:after="0" w:line="232" w:lineRule="auto"/>
        <w:tabs>
          <w:tab w:leader="none" w:pos="13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6"/>
          <w:szCs w:val="16"/>
          <w:color w:val="auto"/>
        </w:rPr>
      </w:pPr>
    </w:p>
    <w:p>
      <w:pPr>
        <w:ind w:left="1300" w:right="120" w:hanging="649"/>
        <w:spacing w:after="0" w:line="232" w:lineRule="auto"/>
        <w:tabs>
          <w:tab w:leader="none" w:pos="13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6"/>
          <w:szCs w:val="16"/>
          <w:color w:val="auto"/>
        </w:rPr>
      </w:pPr>
    </w:p>
    <w:p>
      <w:pPr>
        <w:ind w:left="660" w:right="560" w:hanging="657"/>
        <w:spacing w:after="0" w:line="245" w:lineRule="auto"/>
        <w:tabs>
          <w:tab w:leader="none" w:pos="6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00" w:right="360" w:hanging="649"/>
        <w:spacing w:after="0" w:line="232" w:lineRule="auto"/>
        <w:tabs>
          <w:tab w:leader="none" w:pos="13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6"/>
          <w:szCs w:val="16"/>
          <w:color w:val="auto"/>
        </w:rPr>
      </w:pPr>
    </w:p>
    <w:p>
      <w:pPr>
        <w:ind w:left="1300" w:right="240" w:hanging="649"/>
        <w:spacing w:after="0" w:line="245" w:lineRule="auto"/>
        <w:tabs>
          <w:tab w:leader="none" w:pos="13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8"/>
          <w:szCs w:val="18"/>
          <w:color w:val="auto"/>
        </w:rPr>
        <w:t>September 4, 2018</w:t>
      </w:r>
      <w:r>
        <w:rPr>
          <w:sz w:val="20"/>
          <w:szCs w:val="20"/>
          <w:color w:val="auto"/>
        </w:rPr>
        <w:tab/>
      </w:r>
      <w:r>
        <w:rPr>
          <w:rFonts w:ascii="Times New Roman" w:cs="Times New Roman" w:eastAsia="Times New Roman" w:hAnsi="Times New Roman"/>
          <w:sz w:val="16"/>
          <w:szCs w:val="16"/>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8890</wp:posOffset>
            </wp:positionV>
            <wp:extent cx="28727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5" w:lineRule="auto"/>
        <w:rPr>
          <w:sz w:val="20"/>
          <w:szCs w:val="20"/>
          <w:color w:val="auto"/>
        </w:rPr>
      </w:pPr>
      <w:r>
        <w:rPr>
          <w:rFonts w:ascii="Times New Roman" w:cs="Times New Roman" w:eastAsia="Times New Roman" w:hAnsi="Times New Roman"/>
          <w:sz w:val="16"/>
          <w:szCs w:val="16"/>
          <w:color w:val="auto"/>
        </w:rPr>
        <w:t>Lecil E. Cole</w:t>
      </w:r>
    </w:p>
    <w:p>
      <w:pPr>
        <w:ind w:left="4540"/>
        <w:spacing w:after="0" w:line="211" w:lineRule="auto"/>
        <w:rPr>
          <w:sz w:val="20"/>
          <w:szCs w:val="20"/>
          <w:color w:val="auto"/>
        </w:rPr>
      </w:pPr>
      <w:r>
        <w:rPr>
          <w:rFonts w:ascii="Times New Roman" w:cs="Times New Roman" w:eastAsia="Times New Roman" w:hAnsi="Times New Roman"/>
          <w:sz w:val="16"/>
          <w:szCs w:val="16"/>
          <w:color w:val="auto"/>
        </w:rPr>
        <w:t>Chairman of the Board of Directors, President</w:t>
      </w:r>
    </w:p>
    <w:p>
      <w:pPr>
        <w:ind w:left="4540"/>
        <w:spacing w:after="0"/>
        <w:rPr>
          <w:sz w:val="20"/>
          <w:szCs w:val="20"/>
          <w:color w:val="auto"/>
        </w:rPr>
      </w:pPr>
      <w:r>
        <w:rPr>
          <w:rFonts w:ascii="Times New Roman" w:cs="Times New Roman" w:eastAsia="Times New Roman" w:hAnsi="Times New Roman"/>
          <w:sz w:val="16"/>
          <w:szCs w:val="16"/>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85" w:right="14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jc w:val="center"/>
        <w:spacing w:after="0" w:line="211" w:lineRule="auto"/>
        <w:rPr>
          <w:sz w:val="20"/>
          <w:szCs w:val="20"/>
          <w:color w:val="auto"/>
        </w:rPr>
      </w:pPr>
      <w:r>
        <w:rPr>
          <w:rFonts w:ascii="Times New Roman" w:cs="Times New Roman" w:eastAsia="Times New Roman" w:hAnsi="Times New Roman"/>
          <w:sz w:val="16"/>
          <w:szCs w:val="16"/>
          <w:color w:val="auto"/>
        </w:rPr>
        <w:t>15 U.S.C. § 7241</w:t>
      </w:r>
    </w:p>
    <w:p>
      <w:pPr>
        <w:jc w:val="center"/>
        <w:spacing w:after="0" w:line="211" w:lineRule="auto"/>
        <w:rPr>
          <w:sz w:val="20"/>
          <w:szCs w:val="20"/>
          <w:color w:val="auto"/>
        </w:rPr>
      </w:pPr>
      <w:r>
        <w:rPr>
          <w:rFonts w:ascii="Times New Roman" w:cs="Times New Roman" w:eastAsia="Times New Roman" w:hAnsi="Times New Roman"/>
          <w:sz w:val="16"/>
          <w:szCs w:val="16"/>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 John Lindeman, certify that:</w:t>
      </w:r>
    </w:p>
    <w:p>
      <w:pPr>
        <w:spacing w:after="0" w:line="194" w:lineRule="exact"/>
        <w:rPr>
          <w:sz w:val="20"/>
          <w:szCs w:val="20"/>
          <w:color w:val="auto"/>
        </w:rPr>
      </w:pPr>
    </w:p>
    <w:p>
      <w:pPr>
        <w:ind w:left="660" w:hanging="657"/>
        <w:spacing w:after="0"/>
        <w:tabs>
          <w:tab w:leader="none" w:pos="6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194" w:lineRule="exact"/>
        <w:rPr>
          <w:rFonts w:ascii="Times New Roman" w:cs="Times New Roman" w:eastAsia="Times New Roman" w:hAnsi="Times New Roman"/>
          <w:sz w:val="16"/>
          <w:szCs w:val="16"/>
          <w:color w:val="auto"/>
        </w:rPr>
      </w:pPr>
    </w:p>
    <w:p>
      <w:pPr>
        <w:ind w:left="660" w:right="260" w:hanging="657"/>
        <w:spacing w:after="0" w:line="232" w:lineRule="auto"/>
        <w:tabs>
          <w:tab w:leader="none" w:pos="6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6"/>
          <w:szCs w:val="16"/>
          <w:color w:val="auto"/>
        </w:rPr>
      </w:pPr>
    </w:p>
    <w:p>
      <w:pPr>
        <w:ind w:left="660" w:right="320" w:hanging="657"/>
        <w:spacing w:after="0" w:line="232" w:lineRule="auto"/>
        <w:tabs>
          <w:tab w:leader="none" w:pos="6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6"/>
          <w:szCs w:val="16"/>
          <w:color w:val="auto"/>
        </w:rPr>
      </w:pPr>
    </w:p>
    <w:p>
      <w:pPr>
        <w:ind w:left="660" w:hanging="657"/>
        <w:spacing w:after="0" w:line="232" w:lineRule="auto"/>
        <w:tabs>
          <w:tab w:leader="none" w:pos="6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6"/>
          <w:szCs w:val="16"/>
          <w:color w:val="auto"/>
        </w:rPr>
      </w:pPr>
    </w:p>
    <w:p>
      <w:pPr>
        <w:ind w:left="1300" w:right="160" w:hanging="649"/>
        <w:spacing w:after="0" w:line="227" w:lineRule="auto"/>
        <w:tabs>
          <w:tab w:leader="none" w:pos="130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6"/>
          <w:szCs w:val="16"/>
          <w:color w:val="auto"/>
        </w:rPr>
      </w:pPr>
    </w:p>
    <w:p>
      <w:pPr>
        <w:ind w:left="1300" w:right="80" w:hanging="649"/>
        <w:spacing w:after="0" w:line="227" w:lineRule="auto"/>
        <w:tabs>
          <w:tab w:leader="none" w:pos="130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68" w:lineRule="exact"/>
        <w:rPr>
          <w:rFonts w:ascii="Times New Roman" w:cs="Times New Roman" w:eastAsia="Times New Roman" w:hAnsi="Times New Roman"/>
          <w:sz w:val="16"/>
          <w:szCs w:val="16"/>
          <w:color w:val="auto"/>
        </w:rPr>
      </w:pPr>
    </w:p>
    <w:p>
      <w:pPr>
        <w:ind w:left="1300" w:right="240" w:hanging="649"/>
        <w:spacing w:after="0" w:line="232" w:lineRule="auto"/>
        <w:tabs>
          <w:tab w:leader="none" w:pos="130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6"/>
          <w:szCs w:val="16"/>
          <w:color w:val="auto"/>
        </w:rPr>
      </w:pPr>
    </w:p>
    <w:p>
      <w:pPr>
        <w:ind w:left="1300" w:right="120" w:hanging="649"/>
        <w:spacing w:after="0" w:line="232" w:lineRule="auto"/>
        <w:tabs>
          <w:tab w:leader="none" w:pos="130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6"/>
          <w:szCs w:val="16"/>
          <w:color w:val="auto"/>
        </w:rPr>
      </w:pPr>
    </w:p>
    <w:p>
      <w:pPr>
        <w:ind w:left="660" w:right="560" w:hanging="657"/>
        <w:spacing w:after="0" w:line="245" w:lineRule="auto"/>
        <w:tabs>
          <w:tab w:leader="none" w:pos="6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00" w:right="360" w:hanging="649"/>
        <w:spacing w:after="0" w:line="232" w:lineRule="auto"/>
        <w:tabs>
          <w:tab w:leader="none" w:pos="130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6"/>
          <w:szCs w:val="16"/>
          <w:color w:val="auto"/>
        </w:rPr>
      </w:pPr>
    </w:p>
    <w:p>
      <w:pPr>
        <w:ind w:left="1300" w:right="240" w:hanging="649"/>
        <w:spacing w:after="0" w:line="245" w:lineRule="auto"/>
        <w:tabs>
          <w:tab w:leader="none" w:pos="130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28" w:lineRule="exact"/>
        <w:rPr>
          <w:sz w:val="20"/>
          <w:szCs w:val="20"/>
          <w:color w:val="auto"/>
        </w:rPr>
      </w:pPr>
    </w:p>
    <w:p>
      <w:pPr>
        <w:spacing w:after="0"/>
        <w:tabs>
          <w:tab w:leader="none" w:pos="4460" w:val="left"/>
        </w:tabs>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8"/>
          <w:szCs w:val="18"/>
          <w:color w:val="auto"/>
        </w:rPr>
        <w:t>September 4, 2018</w:t>
      </w:r>
      <w:r>
        <w:rPr>
          <w:sz w:val="20"/>
          <w:szCs w:val="20"/>
          <w:color w:val="auto"/>
        </w:rPr>
        <w:tab/>
      </w:r>
      <w:r>
        <w:rPr>
          <w:rFonts w:ascii="Times New Roman" w:cs="Times New Roman" w:eastAsia="Times New Roman" w:hAnsi="Times New Roman"/>
          <w:sz w:val="16"/>
          <w:szCs w:val="16"/>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8890</wp:posOffset>
            </wp:positionV>
            <wp:extent cx="29159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4480"/>
        <w:spacing w:after="0" w:line="235" w:lineRule="auto"/>
        <w:rPr>
          <w:sz w:val="20"/>
          <w:szCs w:val="20"/>
          <w:color w:val="auto"/>
        </w:rPr>
      </w:pPr>
      <w:r>
        <w:rPr>
          <w:rFonts w:ascii="Times New Roman" w:cs="Times New Roman" w:eastAsia="Times New Roman" w:hAnsi="Times New Roman"/>
          <w:sz w:val="16"/>
          <w:szCs w:val="16"/>
          <w:color w:val="auto"/>
        </w:rPr>
        <w:t>B. John Lindeman</w:t>
      </w:r>
    </w:p>
    <w:p>
      <w:pPr>
        <w:ind w:left="4480"/>
        <w:spacing w:after="0" w:line="211" w:lineRule="auto"/>
        <w:rPr>
          <w:sz w:val="20"/>
          <w:szCs w:val="20"/>
          <w:color w:val="auto"/>
        </w:rPr>
      </w:pPr>
      <w:r>
        <w:rPr>
          <w:rFonts w:ascii="Times New Roman" w:cs="Times New Roman" w:eastAsia="Times New Roman" w:hAnsi="Times New Roman"/>
          <w:sz w:val="16"/>
          <w:szCs w:val="16"/>
          <w:color w:val="auto"/>
        </w:rPr>
        <w:t>Chief Financial Officer and Corporate Secretary</w:t>
      </w:r>
    </w:p>
    <w:p>
      <w:pPr>
        <w:ind w:left="44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85" w:right="141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WRITTEN STATEMENT OF CHIEF EXECUTIVE OFFICER</w:t>
      </w:r>
    </w:p>
    <w:p>
      <w:pPr>
        <w:jc w:val="cente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24"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Each of the undersigned, the Chairman of the Board and Chief Executive Officer, Chief Financial Officer, and Corporate Secretary of Calavo Growers, Inc. (the Company), hereby certifies, pursuant to 18 U.S.C. Section 1350, as adopted pursuant to Section 906 of the Sarbanes-Oxley Act of 2002, that, to his knowledge, the Company’s Quarterly Report on Form 10-Q for the quarter ended July 31, 2018,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4, 2018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8816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Lecil E. Cole</w:t>
      </w:r>
    </w:p>
    <w:p>
      <w:pPr>
        <w:spacing w:after="0" w:line="204" w:lineRule="auto"/>
        <w:rPr>
          <w:sz w:val="20"/>
          <w:szCs w:val="20"/>
          <w:color w:val="auto"/>
        </w:rPr>
      </w:pPr>
      <w:r>
        <w:rPr>
          <w:rFonts w:ascii="Times New Roman" w:cs="Times New Roman" w:eastAsia="Times New Roman" w:hAnsi="Times New Roman"/>
          <w:sz w:val="18"/>
          <w:szCs w:val="18"/>
          <w:color w:val="auto"/>
        </w:rPr>
        <w:t>Chairman of the Board, President and</w:t>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8816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B. John Lindeman</w:t>
      </w:r>
    </w:p>
    <w:p>
      <w:pPr>
        <w:spacing w:after="0" w:line="204" w:lineRule="auto"/>
        <w:rPr>
          <w:sz w:val="20"/>
          <w:szCs w:val="20"/>
          <w:color w:val="auto"/>
        </w:rPr>
      </w:pPr>
      <w:r>
        <w:rPr>
          <w:rFonts w:ascii="Times New Roman" w:cs="Times New Roman" w:eastAsia="Times New Roman" w:hAnsi="Times New Roman"/>
          <w:sz w:val="18"/>
          <w:szCs w:val="18"/>
          <w:color w:val="auto"/>
        </w:rPr>
        <w:t>Chief Financial Officer and</w:t>
      </w: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570865</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60"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decimal"/>
      <w:start w:val="7"/>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101"/>
    </w:lvl>
  </w:abstractNum>
  <w:abstractNum w:abstractNumId="6">
    <w:nsid w:val="153EA438"/>
    <w:multiLevelType w:val="hybridMultilevel"/>
    <w:lvl w:ilvl="0">
      <w:lvlJc w:val="left"/>
      <w:lvlText w:val="%1"/>
      <w:numFmt w:val="decimal"/>
      <w:start w:val="101"/>
    </w:lvl>
  </w:abstractNum>
  <w:abstractNum w:abstractNumId="7">
    <w:nsid w:val="3855585C"/>
    <w:multiLevelType w:val="hybridMultilevel"/>
    <w:lvl w:ilvl="0">
      <w:lvlJc w:val="left"/>
      <w:lvlText w:val="(%1)"/>
      <w:numFmt w:val="lowerRoman"/>
      <w:start w:val="1"/>
    </w:lvl>
  </w:abstractNum>
  <w:abstractNum w:abstractNumId="8">
    <w:nsid w:val="70A64E2A"/>
    <w:multiLevelType w:val="hybridMultilevel"/>
    <w:lvl w:ilvl="0">
      <w:lvlJc w:val="left"/>
      <w:lvlText w:val="(%1)"/>
      <w:numFmt w:val="lowerRoman"/>
      <w:start w:val="1"/>
    </w:lvl>
  </w:abstractNum>
  <w:abstractNum w:abstractNumId="9">
    <w:nsid w:val="6A2342EC"/>
    <w:multiLevelType w:val="hybridMultilevel"/>
    <w:lvl w:ilvl="0">
      <w:lvlJc w:val="left"/>
      <w:lvlText w:val="(%1)"/>
      <w:numFmt w:val="lowerRoman"/>
      <w:start w:val="5"/>
    </w:lvl>
  </w:abstractNum>
  <w:abstractNum w:abstractNumId="10">
    <w:nsid w:val="2A487CB0"/>
    <w:multiLevelType w:val="hybridMultilevel"/>
    <w:lvl w:ilvl="0">
      <w:lvlJc w:val="left"/>
      <w:lvlText w:val="(%1)"/>
      <w:numFmt w:val="lowerRoman"/>
      <w:start w:val="2"/>
    </w:lvl>
  </w:abstractNum>
  <w:abstractNum w:abstractNumId="11">
    <w:nsid w:val="1D4ED43B"/>
    <w:multiLevelType w:val="hybridMultilevel"/>
    <w:lvl w:ilvl="0">
      <w:lvlJc w:val="left"/>
      <w:lvlText w:val="(%1)"/>
      <w:numFmt w:val="lowerRoman"/>
      <w:start w:val="1"/>
    </w:lvl>
  </w:abstractNum>
  <w:abstractNum w:abstractNumId="12">
    <w:nsid w:val="725A06FB"/>
    <w:multiLevelType w:val="hybridMultilevel"/>
    <w:lvl w:ilvl="0">
      <w:lvlJc w:val="left"/>
      <w:lvlText w:val="(%1)"/>
      <w:numFmt w:val="lowerRoman"/>
      <w:start w:val="6"/>
    </w:lvl>
  </w:abstractNum>
  <w:abstractNum w:abstractNumId="13">
    <w:nsid w:val="2CD89A32"/>
    <w:multiLevelType w:val="hybridMultilevel"/>
    <w:lvl w:ilvl="0">
      <w:lvlJc w:val="left"/>
      <w:lvlText w:val="(%1)"/>
      <w:numFmt w:val="lowerLetter"/>
      <w:start w:val="1"/>
    </w:lvl>
  </w:abstractNum>
  <w:abstractNum w:abstractNumId="14">
    <w:nsid w:val="57E4CCAF"/>
    <w:multiLevelType w:val="hybridMultilevel"/>
    <w:lvl w:ilvl="0">
      <w:lvlJc w:val="left"/>
      <w:lvlText w:val="(%1)"/>
      <w:numFmt w:val="lowerLetter"/>
      <w:start w:val="3"/>
    </w:lvl>
  </w:abstractNum>
  <w:abstractNum w:abstractNumId="15">
    <w:nsid w:val="7A6D8D3C"/>
    <w:multiLevelType w:val="hybridMultilevel"/>
    <w:lvl w:ilvl="0">
      <w:lvlJc w:val="left"/>
      <w:lvlText w:val="(%1)"/>
      <w:numFmt w:val="lowerLetter"/>
      <w:start w:val="1"/>
    </w:lvl>
  </w:abstractNum>
  <w:abstractNum w:abstractNumId="16">
    <w:nsid w:val="4B588F54"/>
    <w:multiLevelType w:val="hybridMultilevel"/>
    <w:lvl w:ilvl="0">
      <w:lvlJc w:val="left"/>
      <w:lvlText w:val="(%1)"/>
      <w:numFmt w:val="lowerLetter"/>
      <w:start w:val="1"/>
    </w:lvl>
  </w:abstractNum>
  <w:abstractNum w:abstractNumId="17">
    <w:nsid w:val="542289EC"/>
    <w:multiLevelType w:val="hybridMultilevel"/>
    <w:lvl w:ilvl="0">
      <w:lvlJc w:val="left"/>
      <w:lvlText w:val="(%1)"/>
      <w:numFmt w:val="lowerLetter"/>
      <w:start w:val="3"/>
    </w:lvl>
  </w:abstractNum>
  <w:abstractNum w:abstractNumId="18">
    <w:nsid w:val="6DE91B18"/>
    <w:multiLevelType w:val="hybridMultilevel"/>
    <w:lvl w:ilvl="0">
      <w:lvlJc w:val="left"/>
      <w:lvlText w:val="(%1)"/>
      <w:numFmt w:val="lowerLetter"/>
      <w:start w:val="7"/>
    </w:lvl>
  </w:abstractNum>
  <w:abstractNum w:abstractNumId="19">
    <w:nsid w:val="38437FDB"/>
    <w:multiLevelType w:val="hybridMultilevel"/>
    <w:lvl w:ilvl="0">
      <w:lvlJc w:val="left"/>
      <w:lvlText w:val="(%1)"/>
      <w:numFmt w:val="lowerLetter"/>
      <w:start w:val="1"/>
    </w:lvl>
  </w:abstractNum>
  <w:abstractNum w:abstractNumId="20">
    <w:nsid w:val="7644A45C"/>
    <w:multiLevelType w:val="hybridMultilevel"/>
    <w:lvl w:ilvl="0">
      <w:lvlJc w:val="left"/>
      <w:lvlText w:val="(%1)"/>
      <w:numFmt w:val="lowerLetter"/>
      <w:start w:val="4"/>
    </w:lvl>
  </w:abstractNum>
  <w:abstractNum w:abstractNumId="21">
    <w:nsid w:val="32FFF902"/>
    <w:multiLevelType w:val="hybridMultilevel"/>
    <w:lvl w:ilvl="0">
      <w:lvlJc w:val="left"/>
      <w:lvlText w:val="(%1)"/>
      <w:numFmt w:val="lowerLetter"/>
      <w:start w:val="1"/>
    </w:lvl>
  </w:abstractNum>
  <w:abstractNum w:abstractNumId="22">
    <w:nsid w:val="684A481A"/>
    <w:multiLevelType w:val="hybridMultilevel"/>
    <w:lvl w:ilvl="0">
      <w:lvlJc w:val="left"/>
      <w:lvlText w:val="(%1)"/>
      <w:numFmt w:val="lowerLetter"/>
      <w:start w:val="1"/>
    </w:lvl>
  </w:abstractNum>
  <w:abstractNum w:abstractNumId="23">
    <w:nsid w:val="579478FE"/>
    <w:multiLevelType w:val="hybridMultilevel"/>
    <w:lvl w:ilvl="0">
      <w:lvlJc w:val="left"/>
      <w:lvlText w:val="(%1)"/>
      <w:numFmt w:val="lowerLetter"/>
      <w:start w:val="4"/>
    </w:lvl>
  </w:abstractNum>
  <w:abstractNum w:abstractNumId="24">
    <w:nsid w:val="749ABB43"/>
    <w:multiLevelType w:val="hybridMultilevel"/>
    <w:lvl w:ilvl="0">
      <w:lvlJc w:val="left"/>
      <w:lvlText w:val="(%1)"/>
      <w:numFmt w:val="lowerLetter"/>
      <w:start w:val="1"/>
    </w:lvl>
    <w:lvl w:ilvl="1">
      <w:lvlJc w:val="left"/>
      <w:lvlText w:val="(%2)"/>
      <w:numFmt w:val="lowerRoman"/>
      <w:start w:val="1"/>
    </w:lvl>
  </w:abstractNum>
  <w:abstractNum w:abstractNumId="25">
    <w:nsid w:val="3DC240FB"/>
    <w:multiLevelType w:val="hybridMultilevel"/>
    <w:lvl w:ilvl="0">
      <w:lvlJc w:val="left"/>
      <w:lvlText w:val="(%1)"/>
      <w:numFmt w:val="lowerLetter"/>
      <w:start w:val="2"/>
    </w:lvl>
  </w:abstractNum>
  <w:abstractNum w:abstractNumId="26">
    <w:nsid w:val="1BA026FA"/>
    <w:multiLevelType w:val="hybridMultilevel"/>
    <w:lvl w:ilvl="0">
      <w:lvlJc w:val="left"/>
      <w:lvlText w:val="(%1)"/>
      <w:numFmt w:val="lowerLetter"/>
      <w:start w:val="3"/>
    </w:lvl>
    <w:lvl w:ilvl="1">
      <w:lvlJc w:val="left"/>
      <w:lvlText w:val="(%2)"/>
      <w:numFmt w:val="lowerRoman"/>
      <w:start w:val="1"/>
    </w:lvl>
  </w:abstractNum>
  <w:abstractNum w:abstractNumId="27">
    <w:nsid w:val="79A1DEAA"/>
    <w:multiLevelType w:val="hybridMultilevel"/>
    <w:lvl w:ilvl="0">
      <w:lvlJc w:val="left"/>
      <w:lvlText w:val="(%1)"/>
      <w:numFmt w:val="lowerLetter"/>
      <w:start w:val="4"/>
    </w:lvl>
  </w:abstractNum>
  <w:abstractNum w:abstractNumId="28">
    <w:nsid w:val="75C6C33A"/>
    <w:multiLevelType w:val="hybridMultilevel"/>
    <w:lvl w:ilvl="0">
      <w:lvlJc w:val="left"/>
      <w:lvlText w:val="%1"/>
      <w:numFmt w:val="lowerLetter"/>
      <w:start w:val="1"/>
    </w:lvl>
    <w:lvl w:ilvl="1">
      <w:lvlJc w:val="left"/>
      <w:lvlText w:val="(%2)"/>
      <w:numFmt w:val="lowerLetter"/>
      <w:start w:val="1"/>
    </w:lvl>
  </w:abstractNum>
  <w:abstractNum w:abstractNumId="29">
    <w:nsid w:val="12E685FB"/>
    <w:multiLevelType w:val="hybridMultilevel"/>
    <w:lvl w:ilvl="0">
      <w:lvlJc w:val="left"/>
      <w:lvlText w:val="(%1)"/>
      <w:numFmt w:val="lowerLetter"/>
      <w:start w:val="35"/>
    </w:lvl>
    <w:lvl w:ilvl="1">
      <w:lvlJc w:val="left"/>
      <w:lvlText w:val="%2"/>
      <w:numFmt w:val="lowerLetter"/>
      <w:start w:val="1"/>
    </w:lvl>
  </w:abstractNum>
  <w:abstractNum w:abstractNumId="30">
    <w:nsid w:val="70C6A529"/>
    <w:multiLevelType w:val="hybridMultilevel"/>
    <w:lvl w:ilvl="0">
      <w:lvlJc w:val="left"/>
      <w:lvlText w:val="(%1)"/>
      <w:numFmt w:val="lowerLetter"/>
      <w:start w:val="1"/>
    </w:lvl>
  </w:abstractNum>
  <w:abstractNum w:abstractNumId="31">
    <w:nsid w:val="520EEDD1"/>
    <w:multiLevelType w:val="hybridMultilevel"/>
    <w:lvl w:ilvl="0">
      <w:lvlJc w:val="left"/>
      <w:lvlText w:val="(%1)"/>
      <w:numFmt w:val="lowerLetter"/>
      <w:start w:val="4"/>
    </w:lvl>
  </w:abstractNum>
  <w:abstractNum w:abstractNumId="32">
    <w:nsid w:val="374A3FE6"/>
    <w:multiLevelType w:val="hybridMultilevel"/>
    <w:lvl w:ilvl="0">
      <w:lvlJc w:val="left"/>
      <w:lvlText w:val="(%1)"/>
      <w:numFmt w:val="lowerLetter"/>
      <w:start w:val="1"/>
    </w:lvl>
  </w:abstractNum>
  <w:abstractNum w:abstractNumId="33">
    <w:nsid w:val="4F4EF005"/>
    <w:multiLevelType w:val="hybridMultilevel"/>
    <w:lvl w:ilvl="0">
      <w:lvlJc w:val="left"/>
      <w:lvlText w:val="(%1)"/>
      <w:numFmt w:val="lowerLetter"/>
      <w:start w:val="2"/>
    </w:lvl>
  </w:abstractNum>
  <w:abstractNum w:abstractNumId="34">
    <w:nsid w:val="23F9C13C"/>
    <w:multiLevelType w:val="hybridMultilevel"/>
    <w:lvl w:ilvl="0">
      <w:lvlJc w:val="left"/>
      <w:lvlText w:val="(%1)"/>
      <w:numFmt w:val="lowerLetter"/>
      <w:start w:val="1"/>
    </w:lvl>
  </w:abstractNum>
  <w:abstractNum w:abstractNumId="35">
    <w:nsid w:val="649BB77C"/>
    <w:multiLevelType w:val="hybridMultilevel"/>
    <w:lvl w:ilvl="0">
      <w:lvlJc w:val="left"/>
      <w:lvlText w:val="(%1)"/>
      <w:numFmt w:val="lowerLetter"/>
      <w:start w:val="2"/>
    </w:lvl>
  </w:abstractNum>
  <w:abstractNum w:abstractNumId="36">
    <w:nsid w:val="275AC794"/>
    <w:multiLevelType w:val="hybridMultilevel"/>
    <w:lvl w:ilvl="0">
      <w:lvlJc w:val="left"/>
      <w:lvlText w:val="(%1)"/>
      <w:numFmt w:val="lowerLetter"/>
      <w:start w:val="3"/>
    </w:lvl>
    <w:lvl w:ilvl="1">
      <w:lvlJc w:val="left"/>
      <w:lvlText w:val="(%2)"/>
      <w:numFmt w:val="lowerRoman"/>
      <w:start w:val="1"/>
    </w:lvl>
  </w:abstractNum>
  <w:abstractNum w:abstractNumId="37">
    <w:nsid w:val="39386575"/>
    <w:multiLevelType w:val="hybridMultilevel"/>
    <w:lvl w:ilvl="0">
      <w:lvlJc w:val="left"/>
      <w:lvlText w:val="(%1)"/>
      <w:numFmt w:val="lowerRoman"/>
      <w:start w:val="2"/>
    </w:lvl>
  </w:abstractNum>
  <w:abstractNum w:abstractNumId="38">
    <w:nsid w:val="1CF10FD8"/>
    <w:multiLevelType w:val="hybridMultilevel"/>
    <w:lvl w:ilvl="0">
      <w:lvlJc w:val="left"/>
      <w:lvlText w:val="(%1)"/>
      <w:numFmt w:val="lowerLetter"/>
      <w:start w:val="1"/>
    </w:lvl>
  </w:abstractNum>
  <w:abstractNum w:abstractNumId="39">
    <w:nsid w:val="180115BE"/>
    <w:multiLevelType w:val="hybridMultilevel"/>
    <w:lvl w:ilvl="0">
      <w:lvlJc w:val="left"/>
      <w:lvlText w:val="(%1)"/>
      <w:numFmt w:val="lowerLetter"/>
      <w:start w:val="1"/>
    </w:lvl>
  </w:abstractNum>
  <w:abstractNum w:abstractNumId="40">
    <w:nsid w:val="235BA861"/>
    <w:multiLevelType w:val="hybridMultilevel"/>
    <w:lvl w:ilvl="0">
      <w:lvlJc w:val="left"/>
      <w:lvlText w:val="(%1)"/>
      <w:numFmt w:val="lowerLetter"/>
      <w:start w:val="1"/>
    </w:lvl>
  </w:abstractNum>
  <w:abstractNum w:abstractNumId="41">
    <w:nsid w:val="47398C89"/>
    <w:multiLevelType w:val="hybridMultilevel"/>
    <w:lvl w:ilvl="0">
      <w:lvlJc w:val="left"/>
      <w:lvlText w:val="(%1)"/>
      <w:numFmt w:val="lowerLetter"/>
      <w:start w:val="3"/>
    </w:lvl>
  </w:abstractNum>
  <w:abstractNum w:abstractNumId="42">
    <w:nsid w:val="354FE9F9"/>
    <w:multiLevelType w:val="hybridMultilevel"/>
    <w:lvl w:ilvl="0">
      <w:lvlJc w:val="left"/>
      <w:lvlText w:val="(%1)"/>
      <w:numFmt w:val="lowerLetter"/>
      <w:start w:val="1"/>
    </w:lvl>
  </w:abstractNum>
  <w:abstractNum w:abstractNumId="43">
    <w:nsid w:val="15B5AF5C"/>
    <w:multiLevelType w:val="hybridMultilevel"/>
    <w:lvl w:ilvl="0">
      <w:lvlJc w:val="left"/>
      <w:lvlText w:val="(%1)"/>
      <w:numFmt w:val="lowerLetter"/>
      <w:start w:val="1"/>
    </w:lvl>
  </w:abstractNum>
  <w:abstractNum w:abstractNumId="44">
    <w:nsid w:val="741226BB"/>
    <w:multiLevelType w:val="hybridMultilevel"/>
    <w:lvl w:ilvl="0">
      <w:lvlJc w:val="left"/>
      <w:lvlText w:val="(%1)"/>
      <w:numFmt w:val="lowerLetter"/>
      <w:start w:val="3"/>
    </w:lvl>
    <w:lvl w:ilvl="1">
      <w:lvlJc w:val="left"/>
      <w:lvlText w:val="(%2)"/>
      <w:numFmt w:val="lowerRoman"/>
      <w:start w:val="1"/>
    </w:lvl>
  </w:abstractNum>
  <w:abstractNum w:abstractNumId="45">
    <w:nsid w:val="D34B6A8"/>
    <w:multiLevelType w:val="hybridMultilevel"/>
    <w:lvl w:ilvl="0">
      <w:lvlJc w:val="left"/>
      <w:lvlText w:val="%1"/>
      <w:numFmt w:val="lowerLetter"/>
      <w:start w:val="1"/>
    </w:lvl>
    <w:lvl w:ilvl="1">
      <w:lvlJc w:val="left"/>
      <w:lvlText w:val="(%2)"/>
      <w:numFmt w:val="lowerRoman"/>
      <w:start w:val="3"/>
    </w:lvl>
  </w:abstractNum>
  <w:abstractNum w:abstractNumId="46">
    <w:nsid w:val="10233C99"/>
    <w:multiLevelType w:val="hybridMultilevel"/>
    <w:lvl w:ilvl="0">
      <w:lvlJc w:val="left"/>
      <w:lvlText w:val="(%1)"/>
      <w:numFmt w:val="lowerLetter"/>
      <w:start w:val="5"/>
    </w:lvl>
    <w:lvl w:ilvl="1">
      <w:lvlJc w:val="left"/>
      <w:lvlText w:val="(%2)"/>
      <w:numFmt w:val="lowerRoman"/>
      <w:start w:val="1"/>
    </w:lvl>
  </w:abstractNum>
  <w:abstractNum w:abstractNumId="47">
    <w:nsid w:val="3F6AB60F"/>
    <w:multiLevelType w:val="hybridMultilevel"/>
    <w:lvl w:ilvl="0">
      <w:lvlJc w:val="left"/>
      <w:lvlText w:val="%1"/>
      <w:numFmt w:val="lowerLetter"/>
      <w:start w:val="1"/>
    </w:lvl>
    <w:lvl w:ilvl="1">
      <w:lvlJc w:val="left"/>
      <w:lvlText w:val="(%2)"/>
      <w:numFmt w:val="lowerLetter"/>
      <w:start w:val="61"/>
    </w:lvl>
  </w:abstractNum>
  <w:abstractNum w:abstractNumId="48">
    <w:nsid w:val="61574095"/>
    <w:multiLevelType w:val="hybridMultilevel"/>
    <w:lvl w:ilvl="0">
      <w:lvlJc w:val="left"/>
      <w:lvlText w:val="(%1)"/>
      <w:numFmt w:val="lowerLetter"/>
      <w:start w:val="6"/>
    </w:lvl>
    <w:lvl w:ilvl="1">
      <w:lvlJc w:val="left"/>
      <w:lvlText w:val="%2"/>
      <w:numFmt w:val="lowerLetter"/>
      <w:start w:val="1"/>
    </w:lvl>
  </w:abstractNum>
  <w:abstractNum w:abstractNumId="49">
    <w:nsid w:val="7E0C57B1"/>
    <w:multiLevelType w:val="hybridMultilevel"/>
    <w:lvl w:ilvl="0">
      <w:lvlJc w:val="left"/>
      <w:lvlText w:val="(%1)"/>
      <w:numFmt w:val="lowerLetter"/>
      <w:start w:val="1"/>
    </w:lvl>
  </w:abstractNum>
  <w:abstractNum w:abstractNumId="50">
    <w:nsid w:val="77AE35EB"/>
    <w:multiLevelType w:val="hybridMultilevel"/>
    <w:lvl w:ilvl="0">
      <w:lvlJc w:val="left"/>
      <w:lvlText w:val="(%1)"/>
      <w:numFmt w:val="lowerLetter"/>
      <w:start w:val="2"/>
    </w:lvl>
  </w:abstractNum>
  <w:abstractNum w:abstractNumId="51">
    <w:nsid w:val="579BE4F1"/>
    <w:multiLevelType w:val="hybridMultilevel"/>
    <w:lvl w:ilvl="0">
      <w:lvlJc w:val="left"/>
      <w:lvlText w:val="(%1)"/>
      <w:numFmt w:val="lowerLetter"/>
      <w:start w:val="5"/>
    </w:lvl>
  </w:abstractNum>
  <w:abstractNum w:abstractNumId="52">
    <w:nsid w:val="310C50B3"/>
    <w:multiLevelType w:val="hybridMultilevel"/>
    <w:lvl w:ilvl="0">
      <w:lvlJc w:val="left"/>
      <w:lvlText w:val="(%1)"/>
      <w:numFmt w:val="lowerLetter"/>
      <w:start w:val="1"/>
    </w:lvl>
  </w:abstractNum>
  <w:abstractNum w:abstractNumId="53">
    <w:nsid w:val="5FF87E05"/>
    <w:multiLevelType w:val="hybridMultilevel"/>
    <w:lvl w:ilvl="0">
      <w:lvlJc w:val="left"/>
      <w:lvlText w:val="(%1)"/>
      <w:numFmt w:val="lowerLetter"/>
      <w:start w:val="1"/>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1)"/>
      <w:numFmt w:val="lowerLetter"/>
      <w:start w:val="2"/>
    </w:lvl>
  </w:abstractNum>
  <w:abstractNum w:abstractNumId="56">
    <w:nsid w:val="1DBABF00"/>
    <w:multiLevelType w:val="hybridMultilevel"/>
    <w:lvl w:ilvl="0">
      <w:lvlJc w:val="left"/>
      <w:lvlText w:val="%1."/>
      <w:numFmt w:val="upperLetter"/>
    </w:lvl>
    <w:lvl w:ilvl="1">
      <w:lvlJc w:val="left"/>
      <w:lvlText w:val=","/>
      <w:numFmt w:val="bullet"/>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lowerLetter"/>
      <w:start w:val="2"/>
    </w:lvl>
  </w:abstractNum>
  <w:abstractNum w:abstractNumId="59">
    <w:nsid w:val="1381823A"/>
    <w:multiLevelType w:val="hybridMultilevel"/>
    <w:lvl w:ilvl="0">
      <w:lvlJc w:val="left"/>
      <w:lvlText w:val="%1"/>
      <w:numFmt w:val="decimal"/>
      <w:start w:val="1"/>
    </w:lvl>
    <w:lvl w:ilvl="1">
      <w:lvlJc w:val="left"/>
      <w:lvlText w:val="(%2)"/>
      <w:numFmt w:val="lowerLetter"/>
      <w:start w:val="3"/>
    </w:lvl>
  </w:abstractNum>
  <w:abstractNum w:abstractNumId="60">
    <w:nsid w:val="5DB70AE5"/>
    <w:multiLevelType w:val="hybridMultilevel"/>
    <w:lvl w:ilvl="0">
      <w:lvlJc w:val="left"/>
      <w:lvlText w:val="%1."/>
      <w:numFmt w:val="decimal"/>
      <w:start w:val="2"/>
    </w:lvl>
    <w:lvl w:ilvl="1">
      <w:lvlJc w:val="left"/>
      <w:lvlText w:val="%2"/>
      <w:numFmt w:val="lowerLetter"/>
      <w:start w:val="1"/>
    </w:lvl>
  </w:abstractNum>
  <w:abstractNum w:abstractNumId="61">
    <w:nsid w:val="100F8FCA"/>
    <w:multiLevelType w:val="hybridMultilevel"/>
    <w:lvl w:ilvl="0">
      <w:lvlJc w:val="left"/>
      <w:lvlText w:val="%1."/>
      <w:numFmt w:val="decimal"/>
      <w:start w:val="9"/>
    </w:lvl>
    <w:lvl w:ilvl="1">
      <w:lvlJc w:val="left"/>
      <w:lvlText w:val="(%2)"/>
      <w:numFmt w:val="lowerLetter"/>
      <w:start w:val="1"/>
    </w:lvl>
  </w:abstractNum>
  <w:abstractNum w:abstractNumId="62">
    <w:nsid w:val="6590700B"/>
    <w:multiLevelType w:val="hybridMultilevel"/>
    <w:lvl w:ilvl="0">
      <w:lvlJc w:val="left"/>
      <w:lvlText w:val="(%1)"/>
      <w:numFmt w:val="lowerRoman"/>
      <w:start w:val="1"/>
    </w:lvl>
  </w:abstractNum>
  <w:abstractNum w:abstractNumId="63">
    <w:nsid w:val="15014AC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64">
    <w:nsid w:val="5F5E7FD0"/>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65">
    <w:nsid w:val="98A3148"/>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66">
    <w:nsid w:val="799D024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2"/>
    </w:lvl>
    <w:lvl w:ilvl="3">
      <w:lvlJc w:val="left"/>
      <w:lvlText w:val="(%4)"/>
      <w:numFmt w:val="lowerRoman"/>
      <w:start w:val="1"/>
    </w:lvl>
  </w:abstractNum>
  <w:abstractNum w:abstractNumId="67">
    <w:nsid w:val="6B94764"/>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lvl w:ilvl="3">
      <w:lvlJc w:val="left"/>
      <w:lvlText w:val="%4"/>
      <w:numFmt w:val="lowerRoman"/>
      <w:start w:val="1"/>
    </w:lvl>
  </w:abstractNum>
  <w:abstractNum w:abstractNumId="68">
    <w:nsid w:val="42C296B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9">
    <w:nsid w:val="168E121F"/>
    <w:multiLevelType w:val="hybridMultilevel"/>
    <w:lvl w:ilvl="0">
      <w:lvlJc w:val="left"/>
      <w:lvlText w:val="%1."/>
      <w:numFmt w:val="decimal"/>
      <w:start w:val="12"/>
    </w:lvl>
    <w:lvl w:ilvl="1">
      <w:lvlJc w:val="left"/>
      <w:lvlText w:val="(%2)"/>
      <w:numFmt w:val="lowerLetter"/>
      <w:start w:val="1"/>
    </w:lvl>
  </w:abstractNum>
  <w:abstractNum w:abstractNumId="70">
    <w:nsid w:val="1EBA5D23"/>
    <w:multiLevelType w:val="hybridMultilevel"/>
    <w:lvl w:ilvl="0">
      <w:lvlJc w:val="left"/>
      <w:lvlText w:val="(%1)"/>
      <w:numFmt w:val="lowerLetter"/>
      <w:start w:val="2"/>
    </w:lvl>
    <w:lvl w:ilvl="1">
      <w:lvlJc w:val="left"/>
      <w:lvlText w:val="(%2)"/>
      <w:numFmt w:val="lowerLetter"/>
      <w:start w:val="6"/>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decimal"/>
      <w:start w:val="2"/>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2020-01-12T21:05:13Z</dcterms:created>
  <dcterms:modified xsi:type="dcterms:W3CDTF">2020-01-12T21:05:13Z</dcterms:modified>
</cp:coreProperties>
</file>