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21.8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Option vests in equal increments on each anniversary date of the grant over a five-year period and each increment is exercisable for five years from its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02/26/2015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2020-01-22T06:37:50Z</dcterms:created>
  <dcterms:modified xsi:type="dcterms:W3CDTF">2020-01-22T06:37:50Z</dcterms:modified>
</cp:coreProperties>
</file>