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6, 2023</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29"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28"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33"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22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60" w:right="159"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545465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125730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168275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left="60" w:right="179" w:firstLine="324"/>
        <w:spacing w:after="0" w:line="263" w:lineRule="auto"/>
        <w:rPr>
          <w:sz w:val="20"/>
          <w:szCs w:val="20"/>
          <w:color w:val="auto"/>
        </w:rPr>
      </w:pPr>
      <w:r>
        <w:rPr>
          <w:rFonts w:ascii="Arial" w:cs="Arial" w:eastAsia="Arial" w:hAnsi="Arial"/>
          <w:sz w:val="18"/>
          <w:szCs w:val="18"/>
          <w:color w:val="auto"/>
        </w:rPr>
        <w:t>On March 6, 2023, Calavo Growers, Inc. (Calavo) issued a press release containing our financial results for the three-month periods ended January 31, 2023. A copy of our press release is attached hereto as Exhibit 99.1 and is incorporated by reference herein.</w:t>
      </w:r>
    </w:p>
    <w:p>
      <w:pPr>
        <w:spacing w:after="0" w:line="184"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 Exhibits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99.1</w:t>
      </w:r>
      <w:r>
        <w:rPr>
          <w:rFonts w:ascii="Arial" w:cs="Arial" w:eastAsia="Arial" w:hAnsi="Arial"/>
          <w:sz w:val="18"/>
          <w:szCs w:val="18"/>
          <w:u w:val="single" w:color="auto"/>
          <w:color w:val="0000EE"/>
        </w:rPr>
        <w:t>Press release dated March 6, 2023 of the Registrant.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6, 2023</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Brian Kocher</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President and Chief Executive Officer (Principal Executive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154305</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 Announces First Quarter 2023 Financial Results</w:t>
      </w:r>
    </w:p>
    <w:p>
      <w:pPr>
        <w:spacing w:after="0" w:line="22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SANTA PAULA, Calif., March 6, 2023—Calavo Growers, Inc. (Nasdaq-GS: CVGW), </w:t>
      </w:r>
      <w:r>
        <w:rPr>
          <w:rFonts w:ascii="Arial" w:cs="Arial" w:eastAsia="Arial" w:hAnsi="Arial"/>
          <w:sz w:val="16"/>
          <w:szCs w:val="16"/>
          <w:color w:val="auto"/>
        </w:rPr>
        <w:t>a global avocado-industry leader and provider</w:t>
      </w:r>
      <w:r>
        <w:rPr>
          <w:rFonts w:ascii="Arial" w:cs="Arial" w:eastAsia="Arial" w:hAnsi="Arial"/>
          <w:sz w:val="16"/>
          <w:szCs w:val="16"/>
          <w:b w:val="1"/>
          <w:bCs w:val="1"/>
          <w:color w:val="auto"/>
        </w:rPr>
        <w:t xml:space="preserve"> </w:t>
      </w:r>
      <w:r>
        <w:rPr>
          <w:rFonts w:ascii="Arial" w:cs="Arial" w:eastAsia="Arial" w:hAnsi="Arial"/>
          <w:sz w:val="16"/>
          <w:szCs w:val="16"/>
          <w:color w:val="auto"/>
        </w:rPr>
        <w:t>of convenient, ready-to-eat fresh food, today reported its financial results for the fiscal first quarter ended January 31,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Financial Overview</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of $226.2 million, an 18% decline from prior year</w:t>
      </w:r>
    </w:p>
    <w:p>
      <w:pPr>
        <w:spacing w:after="0" w:line="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Grown segment revenue decreased 27% year-over-year to $117.7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Prepared segment revenue decreased 3% year-over-year to $108.5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of $14.4 million, compared to $13.2 million for the year-ago quarter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Grown segment gross profit decreased $2.2 million from prior year to $9.5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Prepared segment gross profit increased $3.4 million from prior year to $5.0 million</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$(3.1) million, or $(0.17) per diluted share, compared to net loss of $(4.0) million, or $(0.23) per diluted share, for the same period last year</w:t>
      </w:r>
    </w:p>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loss of $(1.4) million, or $(0.08) per diluted share, compared to adjusted net loss of $(0.4) million, or $(0.02) per diluted share for the year-ago quarter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$3.6 million compared to $4.7 million for the same period last year</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Adjusted net income (loss), adjusted net income (loss) per diluted share, and adjusted EBITDA are non-GAAP financial measures. See “Non-GAAP Financial Measures”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2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Achieved year over year improvement in Prepared segment results despite weather challenges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Implemented first phase of new transportation management system that enables RFPs on most outsourced freight; will be fully implemented in second quarter</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Finalized latest initiatives to streamline operations and improve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first quarter results were impacted by challenging market conditions in both the Grown and Prepared segments. Grown segment performance was challenged by low avocado prices and margins, driven by increased volumes of Mexican avocados. Prepared segment performance was affected by volume softness and winter weather that led to higher operating costs including from temporary facility closures,” said Brian W. Kocher, President and Chief Executive Officer of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2 of 12</w:t>
      </w:r>
    </w:p>
    <w:p>
      <w:pPr>
        <w:spacing w:after="0" w:line="2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“Grown segment market conditions started to recover in late January, and we have realized avocado margins within our targeted range of $3 to $4 per case for most of the second quarter. Supply pressure, however, may lead to ongoing volatility in avocado margins. In addition, volume softness in Prepared may persist in the near term as data indicates volume sales have been down broadly across retail food categories. The operating environment, coupled with our first quarter results, has caused us to lower our fiscal year margin expectations for both segments. For 2023, we estimate adjusted EBITDA in the range of $40 to $45 million. While we’re not setting the precedent of giving annual EBITDA guidance, we believe it is important to provide an indication of our expectations for this year given first quarter results. A reconciliation of estimated adjusted EBITDA for fiscal 2023 to the most directly comparable GAAP measure is not available at this time because of the uncertainty of various components that are excluded from adjusted EBITDA. These components may be material to the Company’s results in accordance with GAAP for the full year 2023.</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top capital allocation priority is to invest to grow the business to generate long-term shareholder value. We also are committed to paying a dividend with competitive yield and payout metrics relative to benchmarks. However, the metrics associated with our current dividend rate have been elevated since fiscal 2020 and remain elevated under the current operating environment. We plan to reset the dividend to a level that provides more market competitive metrics. We anticipate the Board of Directors will declare a dividend of $0.10 per share for the second quarter. Although we remain committed to growing the business, we also plan to reduce our fiscal 2023 capital expenditures while we navigate near-term challenges. We now expect capital expenditures for fiscal 2023 of approximately $13 million. These adjustments reflect deliberate fiscal discipline that will allow us to continue prioritizing investment for growth while maintaining competitive dividend metrics.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want to emphasize that we have a strong balance sheet and sufficient liquidity to manage through these operational challenges while also funding capital projects and growth initiatives to strengthen future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Consolidated Financial Review</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Total revenue for the first quarter 2023 was $226.2 million, compared to $274.1 million for the first quarter 2022, a decline of 18%. Grown segment sales decreased 27% and Prepared segment sales decreased 3%. The average selling price of avocados in the Company’s Grown segment decreased by 35% to approximately $28 per case while volumes were up 3.4% versus the prior-year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Gross profit for the first quarter was $14.4 million compared to $13.2 million for the same period last year.</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Selling, general and administrative (SG&amp;A) expenses for the first quarter totaled $16.4 million, compared to $15.3 million for the same period last year. The increase primarily was due to higher costs associated with employee compensation, including stock-based compensation.</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Net loss for the first quarter was $(3.1) million, or $(0.17) per share. This compares with a net loss of $(4.0) million, or $(0.23) per diluted share, for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734695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3 of 12</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Adjusted net loss was $(1.4) million, or $(0.08) per diluted share, compared to adjusted net loss of $(0.4) million, or $(0.02) per diluted share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was $3.6 million compared to $4.7 million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ended the quarter with $24.0 million of total debt, which included $16.4 million of borrowings under its line of credit and $7.6 million of other long-term obligations and finance leases. Cash and cash equivalents totaled $1.8 million and the Company had $26 million of available liquidity as of January 31,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Performance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Grown</w:t>
      </w:r>
    </w:p>
    <w:p>
      <w:pPr>
        <w:spacing w:after="0" w:line="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Grown segment sales in the first quarter were $117.7 million, down 27% from $162.0 million for the same period last year. Avocado prices were 35% lower year-over-year, and avocado volume was 3.4% higher. Segment gross profit was $9.5 million compared to $11.7 million for the same period last year. Results were pressured by low avocado prices and compressed margins, particularly for small fruit, driven by high volumes of Mexican avocados. Prices at retail did not decline in proportion to the average wholesale case price decline, which may have dampened demand in the quarter. Performance was also negatively affected by the strengthening peso relative to the U.S. dollar, which increased operating costs in Mexico in dollar terms. Industry volume of avocados from Mexico was up over 8% over our fiscal first quarter.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Prepared</w:t>
      </w: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Prepared segment sales in the first quarter were $108.5 million, down from $112.1 million in the same period last year. Segment gross profit was $5.0 million, increasing $3.4 million from the same period last year. The Prepared segment generated a gross margin of 4.6%, which consisted of a gross margin of over 1% in the fresh-cut division and approximately 26% in the guacamole division. Results in the fresh-cut division were affected by seasonal slowness but also by isolated winter weather impacts and slower than anticipated consumer purchase rates. Winter storm events drove approximately $1.0 million of unfavorable impacts in the quarter primarily due to manufacturing facility closures. Volume in Prepared was down 13% compared to the year ago quarter as retail customers experienced higher dollar sales year-over-year but lower volume movement.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Grown Segment</w:t>
      </w:r>
    </w:p>
    <w:p>
      <w:pPr>
        <w:spacing w:after="0" w:line="9"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Fiscal 2023 avocado gross margins per case are expected to be at or near the low end of our $3 to $4 target range. The outlook reflects first quarter results and the expectation that margins may remain under pressure as the California and Peru seasons get underway.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894080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4 of 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Prepared Segment</w:t>
      </w:r>
    </w:p>
    <w:p>
      <w:pPr>
        <w:spacing w:after="0" w:line="23"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Fiscal 2023 gross margins in the fresh cut division will be at or near the low end of the 10%-12% gross margin range exiting fiscal 2023 as volume softness is expected to persist in the near term. However, new customer distribution points and volume are still scheduled to launch in the second half. Gross margins in the guacamole division are expected to approximate 20% for fiscal 2023.</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“Despite a challenging start to fiscal 2023, we remain focused on making changes to the business that will deliver ongoing value,” Kocher said. “We recently finalized plans to restructure some of our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plans include the following:</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certain corporate and administrative functions to upgrade capabilities and to reduce costs,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Consolidating activities in our Grown distribution network to streamline operations and generate savings,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Exiting the non-core salsa business to in our Prepared Segment.</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These activities are expected to generate annual savings of at least $1.5 million with one-time charges of approximately $3.2 million that includes cash and non-cash costs associated with severance, asset impairments, and implementation expenses. The payback on cash costs is expected to be approximately 1.5 years or less.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This press release includes non-GAAP measures EBITDA, adjusted EBITDA, adjusted net income (loss) and adjusted net income (loss) per diluted share, which are not prepared in accordance with U.S. generally accepted accounting principles, or “GAAP.”</w:t>
      </w:r>
    </w:p>
    <w:p>
      <w:pPr>
        <w:spacing w:after="0" w:line="16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andinternal budgets are based. Additionally, the Company’s senior management is compensated in part on the basis of Adjusted EBITDA. The adjustments to calculate EBITDA and adjusted EBITDA are items recognized and recorded under GAAP in particular periods but might be viewed as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not necessarily coinciding with the underlying business operations for the periods in which they are so recognized and recorded.</w:t>
      </w:r>
    </w:p>
    <w:p>
      <w:pPr>
        <w:spacing w:after="0" w:line="22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and the related measure of adjusted net income (loss) per diluted share exclude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692150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5 of 12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attributable to Calavo Growers, Inc.</w:t>
      </w:r>
    </w:p>
    <w:p>
      <w:pPr>
        <w:spacing w:after="0" w:line="1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below.</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and adjusted EBITDA may not be comparable to similarly titled measures presented by other companies and may not be identical to corresponding measures used in Company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Calavo will release full first quarter earnings Monday, March 6 and will host a conference call the same day at 5:00 p.m. ET/2:00 p.m. PT to discuss its financial results. The conference call may be accessed by dialing 877-407-3982 (domestic) or 201-493-6780 (international) with conference ID: 13736277. Participants can use the dial-in numbers to reach an operator or click the Call me™ link (https://callme.viavid.com/viavid/?callme=true&amp;passcode=13713975&amp;h=true&amp;info=company&amp;r=true&amp;B=6) for instant telephone access to the event. The Call me™ link will be active 15 minutes before the call. A live audio webcast of the call also will be available on the Investor Relations section of Calavo’s website at Events &amp; Presentations | Calavo Growers, Inc. and will be archived for replay.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1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Arial" w:cs="Arial" w:eastAsia="Arial" w:hAnsi="Arial"/>
          <w:sz w:val="18"/>
          <w:szCs w:val="18"/>
          <w:i w:val="1"/>
          <w:iCs w:val="1"/>
          <w:color w:val="auto"/>
        </w:rPr>
        <w:t>The Family of Fresh™</w:t>
      </w:r>
      <w:r>
        <w:rPr>
          <w:rFonts w:ascii="Arial" w:cs="Arial" w:eastAsia="Arial" w:hAnsi="Arial"/>
          <w:sz w:val="18"/>
          <w:szCs w:val="18"/>
          <w:color w:val="auto"/>
        </w:rPr>
        <w:t xml:space="preserve"> at calavo.com.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601345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6 of 12</w:t>
      </w:r>
    </w:p>
    <w:p>
      <w:pPr>
        <w:spacing w:after="0" w:line="21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materially from those expressed or implied by such forward-looking statements and assumptions. The use of words such as “anticipates,” “estimates,” “expects,” “projects,” “intends,” “plans” and “believes,” among others, generally identify forward-looking statements. Risks and uncertainties that may cause our actual results to be materially different from any future results expressed or implied by the forward-looking statements include, but are not limited to, the following: the ability of our new management team to work together successfully; the impact of operational and restructuring initiatives on our business, results of operations, and financial condition, including uncertainty as to whether the desired effects will be achieved and potential long-term adverse effects from reducing capital expenditures;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restrictions as a result of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18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Investor Contact</w:t>
            </w:r>
          </w:p>
        </w:tc>
        <w:tc>
          <w:tcPr>
            <w:tcW w:w="6760" w:type="dxa"/>
            <w:vAlign w:val="bottom"/>
          </w:tcPr>
          <w:p>
            <w:pPr>
              <w:ind w:left="620"/>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Julie Kegley, Senior Vice President</w:t>
            </w:r>
          </w:p>
        </w:tc>
        <w:tc>
          <w:tcPr>
            <w:tcW w:w="6760" w:type="dxa"/>
            <w:vAlign w:val="bottom"/>
          </w:tcPr>
          <w:p>
            <w:pPr>
              <w:ind w:left="620"/>
              <w:spacing w:after="0"/>
              <w:rPr>
                <w:sz w:val="20"/>
                <w:szCs w:val="20"/>
                <w:color w:val="auto"/>
              </w:rPr>
            </w:pPr>
            <w:r>
              <w:rPr>
                <w:rFonts w:ascii="Arial" w:cs="Arial" w:eastAsia="Arial" w:hAnsi="Arial"/>
                <w:sz w:val="18"/>
                <w:szCs w:val="18"/>
                <w:color w:val="auto"/>
              </w:rPr>
              <w:t>Thomas Federl, VP Communications, Marketing &amp; ESG</w:t>
            </w: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Financial Profiles, Inc.</w:t>
            </w:r>
          </w:p>
        </w:tc>
        <w:tc>
          <w:tcPr>
            <w:tcW w:w="6760" w:type="dxa"/>
            <w:vAlign w:val="bottom"/>
          </w:tcPr>
          <w:p>
            <w:pPr>
              <w:ind w:left="620"/>
              <w:spacing w:after="0"/>
              <w:rPr>
                <w:sz w:val="20"/>
                <w:szCs w:val="20"/>
                <w:color w:val="auto"/>
              </w:rPr>
            </w:pPr>
            <w:r>
              <w:rPr>
                <w:rFonts w:ascii="Arial" w:cs="Arial" w:eastAsia="Arial" w:hAnsi="Arial"/>
                <w:sz w:val="18"/>
                <w:szCs w:val="18"/>
                <w:color w:val="auto"/>
              </w:rPr>
              <w:t>Calavo Growers, Inc.</w:t>
            </w:r>
          </w:p>
        </w:tc>
      </w:tr>
      <w:tr>
        <w:trPr>
          <w:trHeight w:val="216"/>
        </w:trPr>
        <w:tc>
          <w:tcPr>
            <w:tcW w:w="3160" w:type="dxa"/>
            <w:vAlign w:val="bottom"/>
          </w:tcPr>
          <w:p>
            <w:pPr>
              <w:ind w:left="20"/>
              <w:spacing w:after="0"/>
              <w:rPr>
                <w:sz w:val="20"/>
                <w:szCs w:val="20"/>
                <w:color w:val="auto"/>
              </w:rPr>
            </w:pPr>
            <w:r>
              <w:rPr>
                <w:rFonts w:ascii="Arial" w:cs="Arial" w:eastAsia="Arial" w:hAnsi="Arial"/>
                <w:sz w:val="18"/>
                <w:szCs w:val="18"/>
                <w:color w:val="auto"/>
              </w:rPr>
              <w:t>calavo@finprofiles.com</w:t>
            </w:r>
          </w:p>
        </w:tc>
        <w:tc>
          <w:tcPr>
            <w:tcW w:w="6760" w:type="dxa"/>
            <w:vAlign w:val="bottom"/>
          </w:tcPr>
          <w:p>
            <w:pPr>
              <w:ind w:left="620"/>
              <w:spacing w:after="0"/>
              <w:rPr>
                <w:sz w:val="20"/>
                <w:szCs w:val="20"/>
                <w:color w:val="auto"/>
              </w:rPr>
            </w:pPr>
            <w:r>
              <w:rPr>
                <w:rFonts w:ascii="Arial" w:cs="Arial" w:eastAsia="Arial" w:hAnsi="Arial"/>
                <w:sz w:val="18"/>
                <w:szCs w:val="18"/>
                <w:color w:val="auto"/>
              </w:rPr>
              <w:t>Thomas.Federl@calavo.com</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310-622-8246</w:t>
            </w:r>
          </w:p>
        </w:tc>
        <w:tc>
          <w:tcPr>
            <w:tcW w:w="6760" w:type="dxa"/>
            <w:vAlign w:val="bottom"/>
          </w:tcPr>
          <w:p>
            <w:pPr>
              <w:ind w:left="620"/>
              <w:spacing w:after="0"/>
              <w:rPr>
                <w:sz w:val="20"/>
                <w:szCs w:val="20"/>
                <w:color w:val="auto"/>
              </w:rPr>
            </w:pPr>
            <w:r>
              <w:rPr>
                <w:rFonts w:ascii="Arial" w:cs="Arial" w:eastAsia="Arial" w:hAnsi="Arial"/>
                <w:sz w:val="18"/>
                <w:szCs w:val="18"/>
                <w:color w:val="auto"/>
              </w:rPr>
              <w:t>843-801-4174</w:t>
            </w:r>
          </w:p>
        </w:tc>
      </w:tr>
      <w:tr>
        <w:trPr>
          <w:trHeight w:val="1343"/>
        </w:trPr>
        <w:tc>
          <w:tcPr>
            <w:tcW w:w="31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7 of 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January 31,</w:t>
            </w:r>
          </w:p>
        </w:tc>
        <w:tc>
          <w:tcPr>
            <w:tcW w:w="180" w:type="dxa"/>
            <w:vAlign w:val="bottom"/>
          </w:tcPr>
          <w:p>
            <w:pPr>
              <w:spacing w:after="0"/>
              <w:rPr>
                <w:sz w:val="14"/>
                <w:szCs w:val="14"/>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 of allowances of $4,581 (2023) and $4,199 (2022)</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44,092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Advances to suppliers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9,754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receivable</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132,911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Intangibles, net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00" w:type="dxa"/>
            <w:vAlign w:val="bottom"/>
            <w:tcBorders>
              <w:bottom w:val="single" w:sz="8" w:color="CCEEFF"/>
            </w:tcBorders>
          </w:tcPr>
          <w:p>
            <w:pPr>
              <w:spacing w:after="0"/>
              <w:rPr>
                <w:sz w:val="21"/>
                <w:szCs w:val="21"/>
                <w:color w:val="auto"/>
              </w:rPr>
            </w:pPr>
          </w:p>
        </w:tc>
        <w:tc>
          <w:tcPr>
            <w:tcW w:w="1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396,496</w:t>
            </w:r>
          </w:p>
        </w:tc>
        <w:tc>
          <w:tcPr>
            <w:tcW w:w="1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 to growers</w:t>
            </w:r>
          </w:p>
        </w:tc>
        <w:tc>
          <w:tcPr>
            <w:tcW w:w="13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Dividend payable</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Current portion of operating leases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6,969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obligations and finance leases</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105,122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Borrowings pursuant to credit facilities, long-term</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leases, less current portion</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Long-term obligations and finance leases, less current portion</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rPr>
              <w:t>Total long-term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74,599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Shareholders’ equity:</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216,775</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396,496</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4"/>
        </w:trPr>
        <w:tc>
          <w:tcPr>
            <w:tcW w:w="20" w:type="dxa"/>
            <w:vAlign w:val="bottom"/>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8 of 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Three months ended</w:t>
      </w:r>
    </w:p>
    <w:p>
      <w:pPr>
        <w:ind w:left="85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226,204</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211,772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16,353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Impairment and charges related to Florida facility closure</w:t>
            </w:r>
          </w:p>
        </w:tc>
        <w:tc>
          <w:tcPr>
            <w:tcW w:w="1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expense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Unrealized net loss on Limoneira shares</w:t>
            </w:r>
          </w:p>
        </w:tc>
        <w:tc>
          <w:tcPr>
            <w:tcW w:w="1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 and loss from unconsolidated entities</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Income tax benefit</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unconsolidated entities</w:t>
            </w:r>
          </w:p>
        </w:tc>
        <w:tc>
          <w:tcPr>
            <w:tcW w:w="1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Net loss (income) attributable to noncontrolling interest</w:t>
            </w:r>
          </w:p>
        </w:tc>
        <w:tc>
          <w:tcPr>
            <w:tcW w:w="1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9"/>
        </w:trPr>
        <w:tc>
          <w:tcPr>
            <w:tcW w:w="6280" w:type="dxa"/>
            <w:vAlign w:val="bottom"/>
            <w:gridSpan w:val="2"/>
          </w:tcPr>
          <w:p>
            <w:pPr>
              <w:spacing w:after="0"/>
              <w:rPr>
                <w:sz w:val="20"/>
                <w:szCs w:val="20"/>
                <w:color w:val="auto"/>
              </w:rPr>
            </w:pPr>
            <w:r>
              <w:rPr>
                <w:rFonts w:ascii="Arial" w:cs="Arial" w:eastAsia="Arial" w:hAnsi="Arial"/>
                <w:sz w:val="18"/>
                <w:szCs w:val="18"/>
                <w:color w:val="auto"/>
              </w:rPr>
              <w:t>Net loss attributable to Calavo Growers, Inc.</w:t>
            </w:r>
          </w:p>
        </w:tc>
        <w:tc>
          <w:tcPr>
            <w:tcW w:w="164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Calavo Growers, Inc.’s net loss per share: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8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tcBorders>
              <w:bottom w:val="single" w:sz="8" w:color="CCEEFF"/>
            </w:tcBorders>
            <w:vMerge w:val="continue"/>
          </w:tcPr>
          <w:p>
            <w:pPr>
              <w:spacing w:after="0"/>
              <w:rPr>
                <w:sz w:val="20"/>
                <w:szCs w:val="20"/>
                <w:color w:val="auto"/>
              </w:rPr>
            </w:pPr>
          </w:p>
        </w:tc>
        <w:tc>
          <w:tcPr>
            <w:tcW w:w="16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8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6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17,673</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0"/>
        </w:trPr>
        <w:tc>
          <w:tcPr>
            <w:tcW w:w="20" w:type="dxa"/>
            <w:vAlign w:val="bottom"/>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9 of 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Grown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5"/>
              </w:rPr>
              <w:t>Prepared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b w:val="1"/>
                <w:bCs w:val="1"/>
                <w:color w:val="auto"/>
                <w:w w:val="94"/>
              </w:rPr>
              <w:t>Interco.</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Elimins.</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00" w:type="dxa"/>
            <w:vAlign w:val="bottom"/>
            <w:gridSpan w:val="9"/>
          </w:tcPr>
          <w:p>
            <w:pPr>
              <w:jc w:val="right"/>
              <w:spacing w:after="0" w:line="129" w:lineRule="exact"/>
              <w:rPr>
                <w:sz w:val="20"/>
                <w:szCs w:val="20"/>
                <w:color w:val="auto"/>
              </w:rPr>
            </w:pPr>
            <w:r>
              <w:rPr>
                <w:rFonts w:ascii="Arial" w:cs="Arial" w:eastAsia="Arial" w:hAnsi="Arial"/>
                <w:sz w:val="14"/>
                <w:szCs w:val="14"/>
                <w:b w:val="1"/>
                <w:bCs w:val="1"/>
                <w:color w:val="auto"/>
              </w:rPr>
              <w:t>(All amounts are presented in thousands)</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2023</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118,069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108,455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(320)</w:t>
            </w:r>
          </w:p>
        </w:tc>
        <w:tc>
          <w:tcPr>
            <w:tcW w:w="4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108,588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103,504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211,772</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Three months ended January 31, 2022</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150,919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110,548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260,864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40" w:firstLine="259"/>
        <w:spacing w:after="0" w:line="277" w:lineRule="auto"/>
        <w:rPr>
          <w:sz w:val="20"/>
          <w:szCs w:val="20"/>
          <w:color w:val="auto"/>
        </w:rPr>
      </w:pPr>
      <w:r>
        <w:rPr>
          <w:rFonts w:ascii="Arial" w:cs="Arial" w:eastAsia="Arial" w:hAnsi="Arial"/>
          <w:sz w:val="18"/>
          <w:szCs w:val="18"/>
          <w:color w:val="auto"/>
        </w:rPr>
        <w:t>For the three months ended January 31, 2023 and 2022, intercompany sales and cost of sales of $0.3 million and $0.6 million between Grown products and Prepared products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734695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10 of 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(LOSS) AND ADJUSTED NET INCOME (LOSS) PER DILUTED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See “Non-GAAP Financial Measures” earlier in this release.</w:t>
      </w:r>
    </w:p>
    <w:p>
      <w:pPr>
        <w:spacing w:after="0" w:line="189"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Three months ended</w:t>
      </w:r>
    </w:p>
    <w:p>
      <w:pPr>
        <w:jc w:val="center"/>
        <w:ind w:left="762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40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Calavo Growers, Inc.</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(income) recognized from unconsolidated entities (a)</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Net loss on Limoneira shares (b)</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expense add back (c)</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Restructure costs - consulting, management recruiting and severance (d)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 related to Mexican tax matters (e)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Impairment, losses and charges related to property, plant and equipment (f)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impact of adjustments (g)</w:t>
            </w:r>
          </w:p>
        </w:tc>
        <w:tc>
          <w:tcPr>
            <w:tcW w:w="1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1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Calavo Growers, Inc.’s net loss per share: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 (GAAP)</w:t>
            </w:r>
          </w:p>
        </w:tc>
        <w:tc>
          <w:tcPr>
            <w:tcW w:w="1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net loss per diluted share</w:t>
            </w:r>
          </w:p>
        </w:tc>
        <w:tc>
          <w:tcPr>
            <w:tcW w:w="1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Borders>
              <w:bottom w:val="single" w:sz="8" w:color="CCEEFF"/>
            </w:tcBorders>
            <w:gridSpan w:val="2"/>
            <w:vMerge w:val="continue"/>
          </w:tcPr>
          <w:p>
            <w:pPr>
              <w:spacing w:after="0"/>
              <w:rPr>
                <w:sz w:val="20"/>
                <w:szCs w:val="20"/>
                <w:color w:val="auto"/>
              </w:rPr>
            </w:pPr>
          </w:p>
        </w:tc>
        <w:tc>
          <w:tcPr>
            <w:tcW w:w="11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Number of shares used in per share computation: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40" w:right="52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January 31, 2023 and 2022, we realized income of $0.2 million and losses of $0.5 million from Agricola Don Memo.</w:t>
      </w:r>
    </w:p>
    <w:p>
      <w:pPr>
        <w:spacing w:after="0" w:line="62" w:lineRule="exact"/>
        <w:rPr>
          <w:rFonts w:ascii="Arial" w:cs="Arial" w:eastAsia="Arial" w:hAnsi="Arial"/>
          <w:sz w:val="18"/>
          <w:szCs w:val="18"/>
          <w:color w:val="auto"/>
        </w:rPr>
      </w:pPr>
    </w:p>
    <w:p>
      <w:pPr>
        <w:ind w:left="540" w:right="4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January 31, 2022, we recorded $2.1 million in unrealized losses related to these mark-to-market adjustments. At October 27, 2022, we sold our entire investment in Limoneira.</w:t>
      </w:r>
    </w:p>
    <w:p>
      <w:pPr>
        <w:spacing w:after="0" w:line="62" w:lineRule="exact"/>
        <w:rPr>
          <w:rFonts w:ascii="Arial" w:cs="Arial" w:eastAsia="Arial" w:hAnsi="Arial"/>
          <w:sz w:val="18"/>
          <w:szCs w:val="18"/>
          <w:color w:val="auto"/>
        </w:rPr>
      </w:pPr>
    </w:p>
    <w:p>
      <w:pPr>
        <w:ind w:left="540" w:right="560" w:hanging="316"/>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January 31, 2023 and 2022, we incurred $0.1 million related to rent paid for Prepared’s former corporate office space that we have vacated and plan to sublease.</w:t>
      </w:r>
    </w:p>
    <w:p>
      <w:pPr>
        <w:spacing w:after="0" w:line="62"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January 31, 2023 and 2022, we recorded $0.2 million and $1.1 million of consulting expenses related to an enterprise-wide strategic business review conducted for the purpose of restructuring to improve the profitability of the organization and efficiency of our operations.</w:t>
      </w:r>
    </w:p>
    <w:p>
      <w:pPr>
        <w:spacing w:after="0" w:line="75" w:lineRule="exact"/>
        <w:rPr>
          <w:rFonts w:ascii="Arial" w:cs="Arial" w:eastAsia="Arial" w:hAnsi="Arial"/>
          <w:sz w:val="18"/>
          <w:szCs w:val="18"/>
          <w:color w:val="auto"/>
        </w:rPr>
      </w:pPr>
    </w:p>
    <w:p>
      <w:pPr>
        <w:ind w:left="540" w:right="140" w:hanging="316"/>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three months ended January 31, 2023 and 2022, we incurred $0.6 million and $0.4 million of professional fees related to the Mexican tax matters. For the three months ended January 31, 2023, we recognized a reserve of $1.4 million related to the collectability of IVA receivables. See Note 10 on our Form 10Q for more information.</w:t>
      </w:r>
    </w:p>
    <w:p>
      <w:pPr>
        <w:spacing w:after="0" w:line="75" w:lineRule="exact"/>
        <w:rPr>
          <w:rFonts w:ascii="Arial" w:cs="Arial" w:eastAsia="Arial" w:hAnsi="Arial"/>
          <w:sz w:val="18"/>
          <w:szCs w:val="18"/>
          <w:color w:val="auto"/>
        </w:rPr>
      </w:pPr>
    </w:p>
    <w:p>
      <w:pPr>
        <w:ind w:left="540" w:right="340" w:hanging="316"/>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October 18, 2021, we announced the closure of RFG’s food processing operations at our Green Cove Springs (near Jacksonville), Florida facility, as part of our Project Uno profit improvement program. As of November 15, 2021, the Green Cove facility of RFG ceased operations. We incurred $0.7 million of expenses in the first quarter of fiscal 2022, related to the closure of this facility.</w:t>
      </w:r>
    </w:p>
    <w:p>
      <w:pPr>
        <w:spacing w:after="0" w:line="78"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11 of 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AND ADJUSTED EBITDA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89"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jc w:val="center"/>
        <w:ind w:left="792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Calavo Growers, Inc.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Non-cash losses (income) recognized from unconsolidated entities (a)</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on Limoneira shares (b)</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Rent expense add back (c)</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Restructure costs - consulting and management recruiting and severance (d)</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Expenses related to Mexican tax matters (e)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losses and charges related to property, plant and equipment (f)</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0"/>
        </w:trPr>
        <w:tc>
          <w:tcPr>
            <w:tcW w:w="794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5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12 of 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OTHER INFORMATION (UNAUDITED)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 thousands, except per pound amounts)</w:t>
      </w:r>
    </w:p>
    <w:p>
      <w:pPr>
        <w:spacing w:after="0" w:line="216"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Three months ended</w:t>
      </w:r>
    </w:p>
    <w:p>
      <w:pPr>
        <w:ind w:left="852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Pounds of avocados sold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Pounds of guacamole products sold</w:t>
            </w:r>
          </w:p>
        </w:tc>
        <w:tc>
          <w:tcPr>
            <w:tcW w:w="920" w:type="dxa"/>
            <w:vAlign w:val="bottom"/>
          </w:tcPr>
          <w:p>
            <w:pPr>
              <w:jc w:val="right"/>
              <w:spacing w:after="0"/>
              <w:rPr>
                <w:sz w:val="20"/>
                <w:szCs w:val="20"/>
                <w:color w:val="auto"/>
              </w:rPr>
            </w:pPr>
            <w:r>
              <w:rPr>
                <w:rFonts w:ascii="Arial" w:cs="Arial" w:eastAsia="Arial" w:hAnsi="Arial"/>
                <w:sz w:val="18"/>
                <w:szCs w:val="18"/>
                <w:color w:val="auto"/>
              </w:rPr>
              <w:t>4,857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avocados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Gross profit per pound - avocados</w:t>
            </w: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guacamole products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Gross profit per pound – guacamole products</w:t>
            </w:r>
          </w:p>
        </w:tc>
        <w:tc>
          <w:tcPr>
            <w:tcW w:w="920" w:type="dxa"/>
            <w:vAlign w:val="bottom"/>
          </w:tcPr>
          <w:p>
            <w:pPr>
              <w:jc w:val="right"/>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978"/>
        </w:trPr>
        <w:tc>
          <w:tcPr>
            <w:tcW w:w="2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66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o"/>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2023-03-06T17:09:48Z</dcterms:created>
  <dcterms:modified xsi:type="dcterms:W3CDTF">2023-03-06T17:09:48Z</dcterms:modified>
</cp:coreProperties>
</file>