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(Mark One)</w:t>
      </w:r>
    </w:p>
    <w:p>
      <w:pPr>
        <w:spacing w:after="0" w:line="224" w:lineRule="exact"/>
        <w:rPr>
          <w:sz w:val="24"/>
          <w:szCs w:val="24"/>
          <w:color w:val="auto"/>
        </w:rPr>
      </w:pPr>
    </w:p>
    <w:p>
      <w:pPr>
        <w:ind w:left="200" w:hanging="150"/>
        <w:spacing w:after="0"/>
        <w:tabs>
          <w:tab w:leader="none" w:pos="2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October 31, 2023</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60"/>
        <w:spacing w:after="0" w:line="184" w:lineRule="exact"/>
        <w:rPr>
          <w:sz w:val="20"/>
          <w:szCs w:val="20"/>
          <w:color w:val="auto"/>
        </w:rPr>
      </w:pPr>
      <w:r>
        <w:rPr>
          <w:rFonts w:ascii="MS PGothic" w:cs="MS PGothic" w:eastAsia="MS PGothic" w:hAnsi="MS PGothic"/>
          <w:sz w:val="14"/>
          <w:szCs w:val="14"/>
          <w:color w:val="auto"/>
          <w:highlight w:val="black"/>
        </w:rPr>
        <w:t>☐</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 to 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tbl>
      <w:tblPr>
        <w:tblLayout w:type="fixed"/>
        <w:tblInd w:w="1080" w:type="dxa"/>
        <w:tblCellMar>
          <w:top w:w="0" w:type="dxa"/>
          <w:left w:w="0" w:type="dxa"/>
          <w:bottom w:w="0" w:type="dxa"/>
          <w:right w:w="0" w:type="dxa"/>
        </w:tblCellMar>
      </w:tblPr>
      <w:tr>
        <w:trPr>
          <w:trHeight w:val="196"/>
        </w:trPr>
        <w:tc>
          <w:tcPr>
            <w:tcW w:w="4280" w:type="dxa"/>
            <w:vAlign w:val="bottom"/>
          </w:tcPr>
          <w:p>
            <w:pPr>
              <w:jc w:val="center"/>
              <w:ind w:right="764"/>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294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155"/>
        </w:trPr>
        <w:tc>
          <w:tcPr>
            <w:tcW w:w="4280" w:type="dxa"/>
            <w:vAlign w:val="bottom"/>
          </w:tcPr>
          <w:p>
            <w:pPr>
              <w:jc w:val="center"/>
              <w:ind w:right="764"/>
              <w:spacing w:after="0" w:line="155" w:lineRule="exact"/>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940" w:type="dxa"/>
            <w:vAlign w:val="bottom"/>
          </w:tcPr>
          <w:p>
            <w:pPr>
              <w:jc w:val="center"/>
              <w:ind w:left="764"/>
              <w:spacing w:after="0" w:line="155"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96"/>
        </w:trPr>
        <w:tc>
          <w:tcPr>
            <w:tcW w:w="4280" w:type="dxa"/>
            <w:vAlign w:val="bottom"/>
          </w:tcPr>
          <w:p>
            <w:pPr>
              <w:jc w:val="center"/>
              <w:ind w:right="804"/>
              <w:spacing w:after="0"/>
              <w:rPr>
                <w:sz w:val="20"/>
                <w:szCs w:val="20"/>
                <w:color w:val="auto"/>
              </w:rPr>
            </w:pPr>
            <w:r>
              <w:rPr>
                <w:rFonts w:ascii="Times New Roman" w:cs="Times New Roman" w:eastAsia="Times New Roman" w:hAnsi="Times New Roman"/>
                <w:sz w:val="16"/>
                <w:szCs w:val="16"/>
                <w:b w:val="1"/>
                <w:bCs w:val="1"/>
                <w:color w:val="auto"/>
              </w:rPr>
              <w:t>1141-A Cummings Road, Santa Paula, CA</w:t>
            </w:r>
          </w:p>
        </w:tc>
        <w:tc>
          <w:tcPr>
            <w:tcW w:w="294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88"/>
        </w:trPr>
        <w:tc>
          <w:tcPr>
            <w:tcW w:w="4280" w:type="dxa"/>
            <w:vAlign w:val="bottom"/>
          </w:tcPr>
          <w:p>
            <w:pPr>
              <w:jc w:val="center"/>
              <w:ind w:right="76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940" w:type="dxa"/>
            <w:vAlign w:val="bottom"/>
          </w:tcPr>
          <w:p>
            <w:pPr>
              <w:jc w:val="center"/>
              <w:ind w:left="78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525-1245</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9019"/>
          </w:cols>
          <w:pgMar w:left="1440" w:top="657" w:right="1440" w:bottom="1440" w:gutter="0" w:footer="0" w:header="0"/>
        </w:sectPr>
      </w:pPr>
    </w:p>
    <w:p>
      <w:pPr>
        <w:spacing w:after="0" w:line="248"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CVGW</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200" w:lineRule="exact"/>
        <w:rPr>
          <w:sz w:val="24"/>
          <w:szCs w:val="24"/>
          <w:color w:val="auto"/>
        </w:rPr>
      </w:pPr>
    </w:p>
    <w:p>
      <w:pPr>
        <w:sectPr>
          <w:pgSz w:w="11900" w:h="16838" w:orient="portrait"/>
          <w:cols w:equalWidth="0" w:num="3">
            <w:col w:w="3380" w:space="480"/>
            <w:col w:w="1280" w:space="480"/>
            <w:col w:w="3399"/>
          </w:cols>
          <w:pgMar w:left="1440" w:top="657" w:right="1440" w:bottom="1440" w:gutter="0" w:footer="0" w:header="0"/>
          <w:type w:val="continuous"/>
        </w:sectPr>
      </w:pP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32" w:lineRule="exact"/>
        <w:rPr>
          <w:sz w:val="24"/>
          <w:szCs w:val="24"/>
          <w:color w:val="auto"/>
        </w:rPr>
      </w:pPr>
    </w:p>
    <w:p>
      <w:pPr>
        <w:ind w:left="300" w:right="519" w:hanging="258"/>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300" w:right="359" w:hanging="258"/>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60" w:right="439"/>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ind w:left="60" w:right="239"/>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4"/>
          <w:szCs w:val="24"/>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508000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1" w:name="page2"/>
    <w:bookmarkEnd w:id="1"/>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720"/>
        <w:spacing w:after="0" w:line="17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060" w:space="720"/>
            <w:col w:w="2239"/>
          </w:cols>
          <w:pgMar w:left="1440" w:top="94" w:right="1440" w:bottom="1440" w:gutter="0" w:footer="0" w:header="0"/>
        </w:sectPr>
      </w:pPr>
    </w:p>
    <w:p>
      <w:pPr>
        <w:spacing w:after="0" w:line="44" w:lineRule="exact"/>
        <w:rPr>
          <w:sz w:val="20"/>
          <w:szCs w:val="20"/>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left="60" w:right="31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left="60" w:right="139"/>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left="60" w:right="3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60" w:right="239"/>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closing price as reported on The Nasdaq Global Select Market, the aggregate market value of the registrant’s common stock held by non-affiliates on April 30, 2023 (the last business day of the registrant’s most recently completed second fiscal quarter) was approximately $0.5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2023 was 17,798,620.</w:t>
      </w:r>
    </w:p>
    <w:p>
      <w:pPr>
        <w:spacing w:after="0" w:line="200" w:lineRule="exact"/>
        <w:rPr>
          <w:sz w:val="20"/>
          <w:szCs w:val="20"/>
          <w:color w:val="auto"/>
        </w:rPr>
      </w:pPr>
    </w:p>
    <w:p>
      <w:pPr>
        <w:spacing w:after="0" w:line="205" w:lineRule="exact"/>
        <w:rPr>
          <w:sz w:val="20"/>
          <w:szCs w:val="20"/>
          <w:color w:val="auto"/>
        </w:rPr>
      </w:pPr>
    </w:p>
    <w:p>
      <w:pPr>
        <w:ind w:left="60"/>
        <w:spacing w:after="0"/>
        <w:tabs>
          <w:tab w:leader="none" w:pos="3260" w:val="left"/>
        </w:tabs>
        <w:rPr>
          <w:sz w:val="20"/>
          <w:szCs w:val="20"/>
          <w:color w:val="auto"/>
        </w:rPr>
      </w:pPr>
      <w:r>
        <w:rPr>
          <w:rFonts w:ascii="Times New Roman" w:cs="Times New Roman" w:eastAsia="Times New Roman" w:hAnsi="Times New Roman"/>
          <w:sz w:val="18"/>
          <w:szCs w:val="18"/>
          <w:color w:val="auto"/>
        </w:rPr>
        <w:t>Auditor Name: Deloitte &amp; Touche LLP</w:t>
      </w:r>
      <w:r>
        <w:rPr>
          <w:sz w:val="20"/>
          <w:szCs w:val="20"/>
          <w:color w:val="auto"/>
        </w:rPr>
        <w:tab/>
      </w:r>
      <w:r>
        <w:rPr>
          <w:rFonts w:ascii="Times New Roman" w:cs="Times New Roman" w:eastAsia="Times New Roman" w:hAnsi="Times New Roman"/>
          <w:sz w:val="18"/>
          <w:szCs w:val="18"/>
          <w:color w:val="auto"/>
        </w:rPr>
        <w:t>Auditor Location: Los Angeles, California  Auditor Firm ID: 34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00" w:lineRule="exact"/>
        <w:rPr>
          <w:sz w:val="20"/>
          <w:szCs w:val="20"/>
          <w:color w:val="auto"/>
        </w:rPr>
      </w:pPr>
    </w:p>
    <w:p>
      <w:pPr>
        <w:spacing w:after="0" w:line="24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212529"/>
        </w:rPr>
        <w:t xml:space="preserve">Calavo Growers, Inc., (the “Company”) </w:t>
      </w:r>
      <w:r>
        <w:rPr>
          <w:rFonts w:ascii="Times New Roman" w:cs="Times New Roman" w:eastAsia="Times New Roman" w:hAnsi="Times New Roman"/>
          <w:sz w:val="18"/>
          <w:szCs w:val="18"/>
          <w:color w:val="000000"/>
        </w:rPr>
        <w:t>is filing this Amendment No. 1 on Form 10-K/A (this “Amendment”) to amend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Company’s Annual Report on Form 10-K for the fiscal year ended October 31, 2023, originally filed with the Securities and Exchange Commission (the “SEC”) on January 31, 2024 (the “Original Filing”). The Company </w:t>
      </w:r>
      <w:r>
        <w:rPr>
          <w:rFonts w:ascii="Times New Roman" w:cs="Times New Roman" w:eastAsia="Times New Roman" w:hAnsi="Times New Roman"/>
          <w:sz w:val="18"/>
          <w:szCs w:val="18"/>
          <w:color w:val="212529"/>
        </w:rPr>
        <w:t>has determined that,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due to an administrative error, the reference and link to the Amended and Restated Bylaws, effective as of September 25, 2014, incorporated by reference in the Original Filing, were incorrect. The correct reference and link to the Amended and Restated Bylaws effective as of September 25, 2014, were included in our Quarterly Report on Form 10-Q for the quarter ended July 31, 2022, filed on September 1, 2022, and are included as Exhibit 3.2 to this Amendment.</w:t>
      </w:r>
    </w:p>
    <w:p>
      <w:pPr>
        <w:spacing w:after="0" w:line="189"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212529"/>
        </w:rPr>
        <w:t>The reference and link to the Amended and Restated Bylaws, effective as of September 25, 2014, incorporated by reference in the Annual Report on Form 10-K for the year ended October 31, 2022, were also incorrect and should be disregarded.</w:t>
      </w:r>
    </w:p>
    <w:p>
      <w:pPr>
        <w:spacing w:after="0" w:line="14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described above, no changes have been made to the Original Filing. This Amendment does not modify, amend, or update in any way any of the financial or other information contained in the Original Filing. Accordingly, this Amendment should be read in conjunction with the Original Filing and the Company’s other filings with the SEC.</w:t>
      </w:r>
    </w:p>
    <w:p>
      <w:pPr>
        <w:spacing w:after="0" w:line="1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Pursuant to Rule 12b-15 of the Securities Exchange Act of 1934, as amended (the “Exchange Act”), currently dated certifications are filed herewith as exhibits to this Amendment pursuant to Rule 13a-14(a) or 15d-14(a) of the Exchange Act under Item 15 of Part IV hereof. Because no financial statements have been included in this Amendment and this Amendment does not contain any disclosure with respect to Items 307 and 308 of Regulation S-K, paragraphs 3, 4, and 5 of the certifications have been omitted. Similarly, because no financial statements have been included in this Amendment, certifications pursuant to Section 906 of the Sarbanes-Oxley Act of 2002 have been omitted.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12529"/>
        </w:rPr>
        <w:t xml:space="preserve">(a)(1) </w:t>
      </w:r>
      <w:r>
        <w:rPr>
          <w:rFonts w:ascii="Times New Roman" w:cs="Times New Roman" w:eastAsia="Times New Roman" w:hAnsi="Times New Roman"/>
          <w:sz w:val="18"/>
          <w:szCs w:val="18"/>
          <w:b w:val="1"/>
          <w:bCs w:val="1"/>
          <w:color w:val="212529"/>
        </w:rPr>
        <w:t>Financial Statements</w:t>
      </w:r>
    </w:p>
    <w:p>
      <w:pPr>
        <w:spacing w:after="0" w:line="229" w:lineRule="exact"/>
        <w:rPr>
          <w:sz w:val="20"/>
          <w:szCs w:val="20"/>
          <w:color w:val="auto"/>
        </w:rPr>
      </w:pPr>
    </w:p>
    <w:p>
      <w:pPr>
        <w:ind w:left="860" w:right="499"/>
        <w:spacing w:after="0" w:line="282" w:lineRule="auto"/>
        <w:rPr>
          <w:sz w:val="20"/>
          <w:szCs w:val="20"/>
          <w:color w:val="auto"/>
        </w:rPr>
      </w:pPr>
      <w:r>
        <w:rPr>
          <w:rFonts w:ascii="Times New Roman" w:cs="Times New Roman" w:eastAsia="Times New Roman" w:hAnsi="Times New Roman"/>
          <w:sz w:val="18"/>
          <w:szCs w:val="18"/>
          <w:color w:val="212529"/>
        </w:rPr>
        <w:t>The following consolidated financial statements as of October 31, 2023 and 2022 and for each of the three years in the period ended October 31, 2023 are included herewith:</w:t>
      </w:r>
    </w:p>
    <w:p>
      <w:pPr>
        <w:spacing w:after="0" w:line="162" w:lineRule="exact"/>
        <w:rPr>
          <w:sz w:val="20"/>
          <w:szCs w:val="20"/>
          <w:color w:val="auto"/>
        </w:rPr>
      </w:pPr>
    </w:p>
    <w:p>
      <w:pPr>
        <w:ind w:left="840" w:right="519" w:firstLine="16"/>
        <w:spacing w:after="0" w:line="289" w:lineRule="auto"/>
        <w:rPr>
          <w:sz w:val="20"/>
          <w:szCs w:val="20"/>
          <w:color w:val="auto"/>
        </w:rPr>
      </w:pPr>
      <w:r>
        <w:rPr>
          <w:rFonts w:ascii="Times New Roman" w:cs="Times New Roman" w:eastAsia="Times New Roman" w:hAnsi="Times New Roman"/>
          <w:sz w:val="17"/>
          <w:szCs w:val="17"/>
          <w:color w:val="212529"/>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 (PCAOB ID No. 34).</w:t>
      </w:r>
    </w:p>
    <w:p>
      <w:pPr>
        <w:spacing w:after="0" w:line="158" w:lineRule="exact"/>
        <w:rPr>
          <w:sz w:val="20"/>
          <w:szCs w:val="20"/>
          <w:color w:val="auto"/>
        </w:rPr>
      </w:pPr>
    </w:p>
    <w:p>
      <w:pPr>
        <w:ind w:left="820" w:hanging="385"/>
        <w:spacing w:after="0"/>
        <w:tabs>
          <w:tab w:leader="none" w:pos="82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No financial statement schedules are required to be filed by Item 8 of Form 10-K.</w:t>
      </w:r>
    </w:p>
    <w:p>
      <w:pPr>
        <w:spacing w:after="0" w:line="221" w:lineRule="exact"/>
        <w:rPr>
          <w:rFonts w:ascii="Times New Roman" w:cs="Times New Roman" w:eastAsia="Times New Roman" w:hAnsi="Times New Roman"/>
          <w:sz w:val="18"/>
          <w:szCs w:val="18"/>
          <w:color w:val="212529"/>
        </w:rPr>
      </w:pPr>
    </w:p>
    <w:p>
      <w:pPr>
        <w:ind w:left="820" w:hanging="385"/>
        <w:spacing w:after="0"/>
        <w:tabs>
          <w:tab w:leader="none" w:pos="82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color w:val="212529"/>
        </w:rPr>
        <w:t>Exhibits</w:t>
      </w:r>
    </w:p>
    <w:p>
      <w:pPr>
        <w:spacing w:after="0" w:line="229" w:lineRule="exact"/>
        <w:rPr>
          <w:sz w:val="20"/>
          <w:szCs w:val="20"/>
          <w:color w:val="auto"/>
        </w:rPr>
      </w:pPr>
    </w:p>
    <w:p>
      <w:pPr>
        <w:ind w:left="860" w:right="319"/>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are listed in the Exhibits list below. The exhibits listed in the Exhibit Index are incorporated by reference herein.</w:t>
      </w:r>
    </w:p>
    <w:p>
      <w:pPr>
        <w:spacing w:after="0" w:line="158" w:lineRule="exact"/>
        <w:rPr>
          <w:sz w:val="20"/>
          <w:szCs w:val="20"/>
          <w:color w:val="auto"/>
        </w:rPr>
      </w:pPr>
    </w:p>
    <w:p>
      <w:pPr>
        <w:ind w:left="440" w:hanging="247"/>
        <w:spacing w:after="0"/>
        <w:tabs>
          <w:tab w:leader="none" w:pos="44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color w:val="212529"/>
        </w:rPr>
        <w:t>Exhibits</w:t>
      </w:r>
    </w:p>
    <w:p>
      <w:pPr>
        <w:spacing w:after="0" w:line="229" w:lineRule="exact"/>
        <w:rPr>
          <w:rFonts w:ascii="Times New Roman" w:cs="Times New Roman" w:eastAsia="Times New Roman" w:hAnsi="Times New Roman"/>
          <w:sz w:val="18"/>
          <w:szCs w:val="18"/>
          <w:color w:val="212529"/>
        </w:rPr>
      </w:pPr>
    </w:p>
    <w:p>
      <w:pPr>
        <w:ind w:left="460"/>
        <w:spacing w:after="0"/>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See subsection (a) (3) above.</w:t>
      </w:r>
    </w:p>
    <w:p>
      <w:pPr>
        <w:spacing w:after="0" w:line="221" w:lineRule="exact"/>
        <w:rPr>
          <w:rFonts w:ascii="Times New Roman" w:cs="Times New Roman" w:eastAsia="Times New Roman" w:hAnsi="Times New Roman"/>
          <w:sz w:val="18"/>
          <w:szCs w:val="18"/>
          <w:color w:val="212529"/>
        </w:rPr>
      </w:pPr>
    </w:p>
    <w:p>
      <w:pPr>
        <w:ind w:left="460" w:right="5919" w:hanging="251"/>
        <w:spacing w:after="0" w:line="582" w:lineRule="auto"/>
        <w:tabs>
          <w:tab w:leader="none" w:pos="462" w:val="left"/>
        </w:tabs>
        <w:numPr>
          <w:ilvl w:val="0"/>
          <w:numId w:val="3"/>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b w:val="1"/>
          <w:bCs w:val="1"/>
          <w:color w:val="212529"/>
        </w:rPr>
        <w:t xml:space="preserve">Financial Statement Schedules </w:t>
      </w:r>
      <w:r>
        <w:rPr>
          <w:rFonts w:ascii="Times New Roman" w:cs="Times New Roman" w:eastAsia="Times New Roman" w:hAnsi="Times New Roman"/>
          <w:sz w:val="17"/>
          <w:szCs w:val="17"/>
          <w:color w:val="212529"/>
        </w:rPr>
        <w:t>See subsection (a) (1) and (2) above.</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1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151"/>
        </w:trPr>
        <w:tc>
          <w:tcPr>
            <w:tcW w:w="10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80" w:type="dxa"/>
            <w:vAlign w:val="bottom"/>
            <w:gridSpan w:val="14"/>
          </w:tcPr>
          <w:p>
            <w:pPr>
              <w:ind w:left="1140"/>
              <w:spacing w:after="0" w:line="151"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5"/>
        </w:trPr>
        <w:tc>
          <w:tcPr>
            <w:tcW w:w="1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4"/>
        </w:trPr>
        <w:tc>
          <w:tcPr>
            <w:tcW w:w="10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7100" w:type="dxa"/>
            <w:vAlign w:val="bottom"/>
            <w:tcBorders>
              <w:bottom w:val="single" w:sz="8" w:color="0D6EFD"/>
            </w:tcBorders>
            <w:gridSpan w:val="11"/>
          </w:tcPr>
          <w:p>
            <w:pPr>
              <w:spacing w:after="0" w:line="194" w:lineRule="exact"/>
              <w:rPr>
                <w:rFonts w:ascii="Times New Roman" w:cs="Times New Roman" w:eastAsia="Times New Roman" w:hAnsi="Times New Roman"/>
                <w:sz w:val="18"/>
                <w:szCs w:val="18"/>
                <w:color w:val="0D6EFD"/>
                <w:w w:val="99"/>
              </w:rPr>
            </w:pPr>
            <w:hyperlink r:id="rId11">
              <w:r>
                <w:rPr>
                  <w:rFonts w:ascii="Times New Roman" w:cs="Times New Roman" w:eastAsia="Times New Roman" w:hAnsi="Times New Roman"/>
                  <w:sz w:val="18"/>
                  <w:szCs w:val="18"/>
                  <w:color w:val="0D6EFD"/>
                  <w:w w:val="99"/>
                </w:rPr>
                <w:t>Agreement and Plan of Merger and Reorganization dated as of February 20, 2001 between Calavo</w:t>
              </w:r>
            </w:hyperlink>
          </w:p>
        </w:tc>
        <w:tc>
          <w:tcPr>
            <w:tcW w:w="480" w:type="dxa"/>
            <w:vAlign w:val="bottom"/>
            <w:gridSpan w:val="7"/>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60" w:type="dxa"/>
            <w:vAlign w:val="bottom"/>
            <w:tcBorders>
              <w:bottom w:val="single" w:sz="8" w:color="0D6EFD"/>
            </w:tcBorders>
            <w:gridSpan w:val="7"/>
          </w:tcPr>
          <w:p>
            <w:pPr>
              <w:spacing w:after="0" w:line="196" w:lineRule="exact"/>
              <w:rPr>
                <w:rFonts w:ascii="Times New Roman" w:cs="Times New Roman" w:eastAsia="Times New Roman" w:hAnsi="Times New Roman"/>
                <w:sz w:val="18"/>
                <w:szCs w:val="18"/>
                <w:color w:val="0D6EFD"/>
                <w:w w:val="99"/>
              </w:rPr>
            </w:pPr>
            <w:hyperlink r:id="rId11">
              <w:r>
                <w:rPr>
                  <w:rFonts w:ascii="Times New Roman" w:cs="Times New Roman" w:eastAsia="Times New Roman" w:hAnsi="Times New Roman"/>
                  <w:sz w:val="18"/>
                  <w:szCs w:val="18"/>
                  <w:color w:val="0D6EFD"/>
                  <w:w w:val="99"/>
                </w:rPr>
                <w:t>Growers, Inc. and Calavo Growers of California. (incorporated by reference to Exhibit 2.1 to the</w:t>
              </w:r>
            </w:hyperlink>
          </w:p>
        </w:tc>
        <w:tc>
          <w:tcPr>
            <w:tcW w:w="62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160" w:type="dxa"/>
            <w:vAlign w:val="bottom"/>
            <w:tcBorders>
              <w:bottom w:val="single" w:sz="8" w:color="0D6EFD"/>
            </w:tcBorders>
            <w:gridSpan w:val="12"/>
          </w:tcPr>
          <w:p>
            <w:pPr>
              <w:spacing w:after="0" w:line="196" w:lineRule="exact"/>
              <w:rPr>
                <w:rFonts w:ascii="Times New Roman" w:cs="Times New Roman" w:eastAsia="Times New Roman" w:hAnsi="Times New Roman"/>
                <w:sz w:val="18"/>
                <w:szCs w:val="18"/>
                <w:color w:val="0D6EFD"/>
                <w:w w:val="99"/>
              </w:rPr>
            </w:pPr>
            <w:hyperlink r:id="rId11">
              <w:r>
                <w:rPr>
                  <w:rFonts w:ascii="Times New Roman" w:cs="Times New Roman" w:eastAsia="Times New Roman" w:hAnsi="Times New Roman"/>
                  <w:sz w:val="18"/>
                  <w:szCs w:val="18"/>
                  <w:color w:val="0D6EFD"/>
                  <w:w w:val="99"/>
                </w:rPr>
                <w:t>Registration Statement on Form S-4 (File No. 333-59418 filed by the Registrant on April 24, 2001)</w:t>
              </w:r>
            </w:hyperlink>
          </w:p>
        </w:tc>
        <w:tc>
          <w:tcPr>
            <w:tcW w:w="420" w:type="dxa"/>
            <w:vAlign w:val="bottom"/>
            <w:gridSpan w:val="6"/>
          </w:tcPr>
          <w:p>
            <w:pPr>
              <w:spacing w:after="0"/>
              <w:rPr>
                <w:sz w:val="17"/>
                <w:szCs w:val="17"/>
                <w:color w:val="auto"/>
              </w:rPr>
            </w:pPr>
          </w:p>
        </w:tc>
      </w:tr>
      <w:tr>
        <w:trPr>
          <w:trHeight w:val="196"/>
        </w:trPr>
        <w:tc>
          <w:tcPr>
            <w:tcW w:w="10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2">
              <w:r>
                <w:rPr>
                  <w:rFonts w:ascii="Times New Roman" w:cs="Times New Roman" w:eastAsia="Times New Roman" w:hAnsi="Times New Roman"/>
                  <w:sz w:val="18"/>
                  <w:szCs w:val="18"/>
                  <w:color w:val="0D6EFD"/>
                </w:rPr>
                <w:t>Agreement and Plan of Merger dated as of November 7, 2003 among Calavo Growers, Inc., Calavo</w:t>
              </w:r>
            </w:hyperlink>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80" w:type="dxa"/>
            <w:vAlign w:val="bottom"/>
            <w:tcBorders>
              <w:top w:val="single" w:sz="8" w:color="0D6EFD"/>
              <w:bottom w:val="single" w:sz="8" w:color="0D6EFD"/>
            </w:tcBorders>
            <w:gridSpan w:val="10"/>
          </w:tcPr>
          <w:p>
            <w:pPr>
              <w:spacing w:after="0" w:line="196" w:lineRule="exact"/>
              <w:rPr>
                <w:rFonts w:ascii="Times New Roman" w:cs="Times New Roman" w:eastAsia="Times New Roman" w:hAnsi="Times New Roman"/>
                <w:sz w:val="18"/>
                <w:szCs w:val="18"/>
                <w:color w:val="0D6EFD"/>
                <w:w w:val="99"/>
              </w:rPr>
            </w:pPr>
            <w:hyperlink r:id="rId12">
              <w:r>
                <w:rPr>
                  <w:rFonts w:ascii="Times New Roman" w:cs="Times New Roman" w:eastAsia="Times New Roman" w:hAnsi="Times New Roman"/>
                  <w:sz w:val="18"/>
                  <w:szCs w:val="18"/>
                  <w:color w:val="0D6EFD"/>
                  <w:w w:val="99"/>
                </w:rPr>
                <w:t>Acquisition Inc., Maui Fresh International, Inc. and Arthur J. Bruno, Robert J. Bruno and Javier J.</w:t>
              </w:r>
            </w:hyperlink>
          </w:p>
        </w:tc>
        <w:tc>
          <w:tcPr>
            <w:tcW w:w="80" w:type="dxa"/>
            <w:vAlign w:val="bottom"/>
            <w:tcBorders>
              <w:top w:val="single" w:sz="8" w:color="0D6EFD"/>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60" w:type="dxa"/>
            <w:vAlign w:val="bottom"/>
            <w:tcBorders>
              <w:bottom w:val="single" w:sz="8" w:color="0D6EFD"/>
            </w:tcBorders>
            <w:gridSpan w:val="9"/>
          </w:tcPr>
          <w:p>
            <w:pPr>
              <w:spacing w:after="0" w:line="196" w:lineRule="exact"/>
              <w:rPr>
                <w:rFonts w:ascii="Times New Roman" w:cs="Times New Roman" w:eastAsia="Times New Roman" w:hAnsi="Times New Roman"/>
                <w:sz w:val="18"/>
                <w:szCs w:val="18"/>
                <w:color w:val="0D6EFD"/>
                <w:w w:val="99"/>
              </w:rPr>
            </w:pPr>
            <w:hyperlink r:id="rId12">
              <w:r>
                <w:rPr>
                  <w:rFonts w:ascii="Times New Roman" w:cs="Times New Roman" w:eastAsia="Times New Roman" w:hAnsi="Times New Roman"/>
                  <w:sz w:val="18"/>
                  <w:szCs w:val="18"/>
                  <w:color w:val="0D6EFD"/>
                  <w:w w:val="99"/>
                </w:rPr>
                <w:t>Badillo. (incorporated by reference to Exhibit 2.2 to the Annual Report on Form 10-K filed by the</w:t>
              </w:r>
            </w:hyperlink>
          </w:p>
        </w:tc>
        <w:tc>
          <w:tcPr>
            <w:tcW w:w="5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2">
              <w:r>
                <w:rPr>
                  <w:rFonts w:ascii="Times New Roman" w:cs="Times New Roman" w:eastAsia="Times New Roman" w:hAnsi="Times New Roman"/>
                  <w:sz w:val="18"/>
                  <w:szCs w:val="18"/>
                  <w:color w:val="0D6EFD"/>
                </w:rPr>
                <w:t>Registrant on January 23, 2004)</w:t>
              </w:r>
            </w:hyperlink>
          </w:p>
        </w:tc>
      </w:tr>
      <w:tr>
        <w:trPr>
          <w:trHeight w:val="20"/>
        </w:trPr>
        <w:tc>
          <w:tcPr>
            <w:tcW w:w="1020" w:type="dxa"/>
            <w:vAlign w:val="bottom"/>
            <w:gridSpan w:val="2"/>
          </w:tcPr>
          <w:p>
            <w:pPr>
              <w:spacing w:after="0" w:line="20" w:lineRule="exact"/>
              <w:rPr>
                <w:sz w:val="1"/>
                <w:szCs w:val="1"/>
                <w:color w:val="auto"/>
              </w:rPr>
            </w:pPr>
          </w:p>
        </w:tc>
        <w:tc>
          <w:tcPr>
            <w:tcW w:w="1060" w:type="dxa"/>
            <w:vAlign w:val="bottom"/>
            <w:shd w:val="clear" w:color="auto" w:fill="0D6EFD"/>
          </w:tcPr>
          <w:p>
            <w:pPr>
              <w:spacing w:after="0" w:line="20" w:lineRule="exact"/>
              <w:rPr>
                <w:sz w:val="1"/>
                <w:szCs w:val="1"/>
                <w:color w:val="auto"/>
              </w:rPr>
            </w:pPr>
          </w:p>
        </w:tc>
        <w:tc>
          <w:tcPr>
            <w:tcW w:w="360" w:type="dxa"/>
            <w:vAlign w:val="bottom"/>
            <w:shd w:val="clear" w:color="auto" w:fill="0D6EFD"/>
          </w:tcPr>
          <w:p>
            <w:pPr>
              <w:spacing w:after="0" w:line="20" w:lineRule="exact"/>
              <w:rPr>
                <w:sz w:val="1"/>
                <w:szCs w:val="1"/>
                <w:color w:val="auto"/>
              </w:rPr>
            </w:pPr>
          </w:p>
        </w:tc>
        <w:tc>
          <w:tcPr>
            <w:tcW w:w="560" w:type="dxa"/>
            <w:vAlign w:val="bottom"/>
            <w:shd w:val="clear" w:color="auto" w:fill="0D6EFD"/>
          </w:tcPr>
          <w:p>
            <w:pPr>
              <w:spacing w:after="0" w:line="20" w:lineRule="exact"/>
              <w:rPr>
                <w:sz w:val="1"/>
                <w:szCs w:val="1"/>
                <w:color w:val="auto"/>
              </w:rPr>
            </w:pPr>
          </w:p>
        </w:tc>
        <w:tc>
          <w:tcPr>
            <w:tcW w:w="320" w:type="dxa"/>
            <w:vAlign w:val="bottom"/>
            <w:shd w:val="clear" w:color="auto" w:fill="0D6EFD"/>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7540" w:type="dxa"/>
            <w:vAlign w:val="bottom"/>
            <w:tcBorders>
              <w:bottom w:val="single" w:sz="8" w:color="0D6EFD"/>
            </w:tcBorders>
            <w:gridSpan w:val="17"/>
          </w:tcPr>
          <w:p>
            <w:pPr>
              <w:spacing w:after="0" w:line="196" w:lineRule="exact"/>
              <w:rPr>
                <w:rFonts w:ascii="Times New Roman" w:cs="Times New Roman" w:eastAsia="Times New Roman" w:hAnsi="Times New Roman"/>
                <w:sz w:val="18"/>
                <w:szCs w:val="18"/>
                <w:color w:val="0D6EFD"/>
                <w:w w:val="99"/>
              </w:rPr>
            </w:pPr>
            <w:hyperlink r:id="rId13">
              <w:r>
                <w:rPr>
                  <w:rFonts w:ascii="Times New Roman" w:cs="Times New Roman" w:eastAsia="Times New Roman" w:hAnsi="Times New Roman"/>
                  <w:sz w:val="18"/>
                  <w:szCs w:val="18"/>
                  <w:color w:val="0D6EFD"/>
                  <w:w w:val="99"/>
                </w:rPr>
                <w:t>Stock Purchase Agreement dated as of June 1, 2005, between Limoneira Company and Calavo Growers,</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3">
              <w:r>
                <w:rPr>
                  <w:rFonts w:ascii="Times New Roman" w:cs="Times New Roman" w:eastAsia="Times New Roman" w:hAnsi="Times New Roman"/>
                  <w:sz w:val="18"/>
                  <w:szCs w:val="18"/>
                  <w:color w:val="0D6EFD"/>
                </w:rPr>
                <w:t>Inc. (incorporated by reference to Exhibit 10.1 to the Quarterly Report on Form 10-Q filed by the</w:t>
              </w:r>
            </w:hyperlink>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0" w:type="dxa"/>
            <w:vAlign w:val="bottom"/>
            <w:tcBorders>
              <w:top w:val="single" w:sz="8" w:color="0D6EFD"/>
            </w:tcBorders>
            <w:gridSpan w:val="8"/>
          </w:tcPr>
          <w:p>
            <w:pPr>
              <w:spacing w:after="0" w:line="196" w:lineRule="exact"/>
              <w:rPr>
                <w:rFonts w:ascii="Times New Roman" w:cs="Times New Roman" w:eastAsia="Times New Roman" w:hAnsi="Times New Roman"/>
                <w:sz w:val="18"/>
                <w:szCs w:val="18"/>
                <w:color w:val="0D6EFD"/>
              </w:rPr>
            </w:pPr>
            <w:hyperlink r:id="rId13">
              <w:r>
                <w:rPr>
                  <w:rFonts w:ascii="Times New Roman" w:cs="Times New Roman" w:eastAsia="Times New Roman" w:hAnsi="Times New Roman"/>
                  <w:sz w:val="18"/>
                  <w:szCs w:val="18"/>
                  <w:color w:val="0D6EFD"/>
                </w:rPr>
                <w:t>Registrant on June 9, 2005)</w:t>
              </w:r>
            </w:hyperlink>
          </w:p>
        </w:tc>
        <w:tc>
          <w:tcPr>
            <w:tcW w:w="580" w:type="dxa"/>
            <w:vAlign w:val="bottom"/>
            <w:gridSpan w:val="10"/>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1060" w:type="dxa"/>
            <w:vAlign w:val="bottom"/>
            <w:shd w:val="clear" w:color="auto" w:fill="0D6EFD"/>
          </w:tcPr>
          <w:p>
            <w:pPr>
              <w:spacing w:after="0" w:line="20" w:lineRule="exact"/>
              <w:rPr>
                <w:sz w:val="1"/>
                <w:szCs w:val="1"/>
                <w:color w:val="auto"/>
              </w:rPr>
            </w:pPr>
          </w:p>
        </w:tc>
        <w:tc>
          <w:tcPr>
            <w:tcW w:w="360" w:type="dxa"/>
            <w:vAlign w:val="bottom"/>
            <w:shd w:val="clear" w:color="auto" w:fill="0D6EFD"/>
          </w:tcPr>
          <w:p>
            <w:pPr>
              <w:spacing w:after="0" w:line="20" w:lineRule="exact"/>
              <w:rPr>
                <w:sz w:val="1"/>
                <w:szCs w:val="1"/>
                <w:color w:val="auto"/>
              </w:rPr>
            </w:pPr>
          </w:p>
        </w:tc>
        <w:tc>
          <w:tcPr>
            <w:tcW w:w="560" w:type="dxa"/>
            <w:vAlign w:val="bottom"/>
            <w:shd w:val="clear" w:color="auto" w:fill="0D6EFD"/>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4">
              <w:r>
                <w:rPr>
                  <w:rFonts w:ascii="Times New Roman" w:cs="Times New Roman" w:eastAsia="Times New Roman" w:hAnsi="Times New Roman"/>
                  <w:sz w:val="18"/>
                  <w:szCs w:val="18"/>
                  <w:color w:val="0D6EFD"/>
                </w:rPr>
                <w:t>Acquisition Agreement between Calavo Growers, Inc., a California corporation and Lecil E. Cole, Eric</w:t>
              </w:r>
            </w:hyperlink>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shd w:val="clear" w:color="auto" w:fill="0D6EFD"/>
          </w:tcPr>
          <w:p>
            <w:pPr>
              <w:spacing w:after="0" w:line="20" w:lineRule="exact"/>
              <w:rPr>
                <w:sz w:val="1"/>
                <w:szCs w:val="1"/>
                <w:color w:val="auto"/>
              </w:rPr>
            </w:pPr>
          </w:p>
        </w:tc>
        <w:tc>
          <w:tcPr>
            <w:tcW w:w="360" w:type="dxa"/>
            <w:vAlign w:val="bottom"/>
            <w:shd w:val="clear" w:color="auto" w:fill="0D6EFD"/>
          </w:tcPr>
          <w:p>
            <w:pPr>
              <w:spacing w:after="0" w:line="20" w:lineRule="exact"/>
              <w:rPr>
                <w:sz w:val="1"/>
                <w:szCs w:val="1"/>
                <w:color w:val="auto"/>
              </w:rPr>
            </w:pPr>
          </w:p>
        </w:tc>
        <w:tc>
          <w:tcPr>
            <w:tcW w:w="5140" w:type="dxa"/>
            <w:vAlign w:val="bottom"/>
            <w:gridSpan w:val="3"/>
            <w:shd w:val="clear" w:color="auto" w:fill="0D6EFD"/>
          </w:tcPr>
          <w:p>
            <w:pPr>
              <w:spacing w:after="0" w:line="20" w:lineRule="exact"/>
              <w:rPr>
                <w:sz w:val="1"/>
                <w:szCs w:val="1"/>
                <w:color w:val="auto"/>
              </w:rPr>
            </w:pPr>
          </w:p>
        </w:tc>
        <w:tc>
          <w:tcPr>
            <w:tcW w:w="200" w:type="dxa"/>
            <w:vAlign w:val="bottom"/>
            <w:shd w:val="clear" w:color="auto" w:fill="0D6EFD"/>
          </w:tcPr>
          <w:p>
            <w:pPr>
              <w:spacing w:after="0" w:line="20" w:lineRule="exact"/>
              <w:rPr>
                <w:sz w:val="1"/>
                <w:szCs w:val="1"/>
                <w:color w:val="auto"/>
              </w:rPr>
            </w:pPr>
          </w:p>
        </w:tc>
        <w:tc>
          <w:tcPr>
            <w:tcW w:w="500" w:type="dxa"/>
            <w:vAlign w:val="bottom"/>
            <w:gridSpan w:val="7"/>
            <w:shd w:val="clear" w:color="auto" w:fill="0D6EFD"/>
          </w:tcPr>
          <w:p>
            <w:pPr>
              <w:spacing w:after="0" w:line="20" w:lineRule="exact"/>
              <w:rPr>
                <w:sz w:val="1"/>
                <w:szCs w:val="1"/>
                <w:color w:val="auto"/>
              </w:rPr>
            </w:pPr>
          </w:p>
        </w:tc>
        <w:tc>
          <w:tcPr>
            <w:tcW w:w="40" w:type="dxa"/>
            <w:vAlign w:val="bottom"/>
            <w:shd w:val="clear" w:color="auto" w:fill="0D6EFD"/>
          </w:tcPr>
          <w:p>
            <w:pPr>
              <w:spacing w:after="0" w:line="20" w:lineRule="exact"/>
              <w:rPr>
                <w:sz w:val="1"/>
                <w:szCs w:val="1"/>
                <w:color w:val="auto"/>
              </w:rPr>
            </w:pPr>
          </w:p>
        </w:tc>
        <w:tc>
          <w:tcPr>
            <w:tcW w:w="120" w:type="dxa"/>
            <w:vAlign w:val="bottom"/>
            <w:tcBorders>
              <w:right w:val="single" w:sz="8" w:color="0D6EFD"/>
            </w:tcBorders>
            <w:shd w:val="clear" w:color="auto" w:fill="0D6E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4">
              <w:r>
                <w:rPr>
                  <w:rFonts w:ascii="Times New Roman" w:cs="Times New Roman" w:eastAsia="Times New Roman" w:hAnsi="Times New Roman"/>
                  <w:sz w:val="18"/>
                  <w:szCs w:val="18"/>
                  <w:color w:val="0D6EFD"/>
                </w:rPr>
                <w:t>Weinert, Suzanne Cole-Savard, Guy Cole, and Lecil E. Cole and Mary Jeanette Cole, acting jointly and</w:t>
              </w:r>
            </w:hyperlink>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40" w:type="dxa"/>
            <w:vAlign w:val="bottom"/>
            <w:tcBorders>
              <w:top w:val="single" w:sz="8" w:color="0D6EFD"/>
            </w:tcBorders>
            <w:gridSpan w:val="16"/>
          </w:tcPr>
          <w:p>
            <w:pPr>
              <w:spacing w:after="0" w:line="196" w:lineRule="exact"/>
              <w:rPr>
                <w:rFonts w:ascii="Times New Roman" w:cs="Times New Roman" w:eastAsia="Times New Roman" w:hAnsi="Times New Roman"/>
                <w:sz w:val="18"/>
                <w:szCs w:val="18"/>
                <w:color w:val="0D6EFD"/>
              </w:rPr>
            </w:pPr>
            <w:hyperlink r:id="rId14">
              <w:r>
                <w:rPr>
                  <w:rFonts w:ascii="Times New Roman" w:cs="Times New Roman" w:eastAsia="Times New Roman" w:hAnsi="Times New Roman"/>
                  <w:sz w:val="18"/>
                  <w:szCs w:val="18"/>
                  <w:color w:val="0D6EFD"/>
                </w:rPr>
                <w:t>severally as trustees of the Lecil E. and Mary Jeanette Cole Revocable Trust dated October 19, 1993,</w:t>
              </w:r>
            </w:hyperlink>
          </w:p>
        </w:tc>
        <w:tc>
          <w:tcPr>
            <w:tcW w:w="1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60" w:type="dxa"/>
            <w:vAlign w:val="bottom"/>
            <w:tcBorders>
              <w:top w:val="single" w:sz="8" w:color="0D6EFD"/>
            </w:tcBorders>
            <w:gridSpan w:val="13"/>
          </w:tcPr>
          <w:p>
            <w:pPr>
              <w:spacing w:after="0" w:line="196" w:lineRule="exact"/>
              <w:rPr>
                <w:rFonts w:ascii="Times New Roman" w:cs="Times New Roman" w:eastAsia="Times New Roman" w:hAnsi="Times New Roman"/>
                <w:sz w:val="18"/>
                <w:szCs w:val="18"/>
                <w:color w:val="0D6EFD"/>
              </w:rPr>
            </w:pPr>
            <w:hyperlink r:id="rId14">
              <w:r>
                <w:rPr>
                  <w:rFonts w:ascii="Times New Roman" w:cs="Times New Roman" w:eastAsia="Times New Roman" w:hAnsi="Times New Roman"/>
                  <w:sz w:val="18"/>
                  <w:szCs w:val="18"/>
                  <w:color w:val="0D6EFD"/>
                </w:rPr>
                <w:t>also known as the Lecil E. and Mary Jeanette Cole Revocable 1993 Trust dated May 19, 2008</w:t>
              </w:r>
            </w:hyperlink>
          </w:p>
        </w:tc>
        <w:tc>
          <w:tcPr>
            <w:tcW w:w="320" w:type="dxa"/>
            <w:vAlign w:val="bottom"/>
            <w:gridSpan w:val="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shd w:val="clear" w:color="auto" w:fill="0D6EFD"/>
          </w:tcPr>
          <w:p>
            <w:pPr>
              <w:spacing w:after="0" w:line="20" w:lineRule="exact"/>
              <w:rPr>
                <w:sz w:val="1"/>
                <w:szCs w:val="1"/>
                <w:color w:val="auto"/>
              </w:rPr>
            </w:pPr>
          </w:p>
        </w:tc>
        <w:tc>
          <w:tcPr>
            <w:tcW w:w="360" w:type="dxa"/>
            <w:vAlign w:val="bottom"/>
            <w:shd w:val="clear" w:color="auto" w:fill="0D6EFD"/>
          </w:tcPr>
          <w:p>
            <w:pPr>
              <w:spacing w:after="0" w:line="20" w:lineRule="exact"/>
              <w:rPr>
                <w:sz w:val="1"/>
                <w:szCs w:val="1"/>
                <w:color w:val="auto"/>
              </w:rPr>
            </w:pPr>
          </w:p>
        </w:tc>
        <w:tc>
          <w:tcPr>
            <w:tcW w:w="5140" w:type="dxa"/>
            <w:vAlign w:val="bottom"/>
            <w:gridSpan w:val="3"/>
            <w:shd w:val="clear" w:color="auto" w:fill="0D6EFD"/>
          </w:tcPr>
          <w:p>
            <w:pPr>
              <w:spacing w:after="0" w:line="20" w:lineRule="exact"/>
              <w:rPr>
                <w:sz w:val="1"/>
                <w:szCs w:val="1"/>
                <w:color w:val="auto"/>
              </w:rPr>
            </w:pPr>
          </w:p>
        </w:tc>
        <w:tc>
          <w:tcPr>
            <w:tcW w:w="200" w:type="dxa"/>
            <w:vAlign w:val="bottom"/>
            <w:shd w:val="clear" w:color="auto" w:fill="0D6EFD"/>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20" w:type="dxa"/>
            <w:vAlign w:val="bottom"/>
            <w:tcBorders>
              <w:bottom w:val="single" w:sz="8" w:color="0D6EFD"/>
            </w:tcBorders>
            <w:gridSpan w:val="15"/>
          </w:tcPr>
          <w:p>
            <w:pPr>
              <w:spacing w:after="0" w:line="196" w:lineRule="exact"/>
              <w:rPr>
                <w:rFonts w:ascii="Times New Roman" w:cs="Times New Roman" w:eastAsia="Times New Roman" w:hAnsi="Times New Roman"/>
                <w:sz w:val="18"/>
                <w:szCs w:val="18"/>
                <w:color w:val="0D6EFD"/>
              </w:rPr>
            </w:pPr>
            <w:hyperlink r:id="rId14">
              <w:r>
                <w:rPr>
                  <w:rFonts w:ascii="Times New Roman" w:cs="Times New Roman" w:eastAsia="Times New Roman" w:hAnsi="Times New Roman"/>
                  <w:sz w:val="18"/>
                  <w:szCs w:val="18"/>
                  <w:color w:val="0D6EFD"/>
                </w:rPr>
                <w:t>(incorporated by reference to Exhibit 2.1 to the Current Report on Form 8-K filed by the Registrant on</w:t>
              </w:r>
            </w:hyperlink>
          </w:p>
        </w:tc>
        <w:tc>
          <w:tcPr>
            <w:tcW w:w="1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4">
              <w:r>
                <w:rPr>
                  <w:rFonts w:ascii="Times New Roman" w:cs="Times New Roman" w:eastAsia="Times New Roman" w:hAnsi="Times New Roman"/>
                  <w:sz w:val="18"/>
                  <w:szCs w:val="18"/>
                  <w:color w:val="0D6EFD"/>
                </w:rPr>
                <w:t>May 29, 2008)</w:t>
              </w:r>
            </w:hyperlink>
          </w:p>
        </w:tc>
      </w:tr>
      <w:tr>
        <w:trPr>
          <w:trHeight w:val="20"/>
        </w:trPr>
        <w:tc>
          <w:tcPr>
            <w:tcW w:w="1020" w:type="dxa"/>
            <w:vAlign w:val="bottom"/>
            <w:gridSpan w:val="2"/>
          </w:tcPr>
          <w:p>
            <w:pPr>
              <w:spacing w:after="0" w:line="20" w:lineRule="exact"/>
              <w:rPr>
                <w:sz w:val="1"/>
                <w:szCs w:val="1"/>
                <w:color w:val="auto"/>
              </w:rPr>
            </w:pPr>
          </w:p>
        </w:tc>
        <w:tc>
          <w:tcPr>
            <w:tcW w:w="1060" w:type="dxa"/>
            <w:vAlign w:val="bottom"/>
            <w:shd w:val="clear" w:color="auto" w:fill="0D6EFD"/>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7300" w:type="dxa"/>
            <w:vAlign w:val="bottom"/>
            <w:tcBorders>
              <w:bottom w:val="single" w:sz="8" w:color="0D6EFD"/>
            </w:tcBorders>
            <w:gridSpan w:val="14"/>
          </w:tcPr>
          <w:p>
            <w:pPr>
              <w:spacing w:after="0" w:line="196" w:lineRule="exact"/>
              <w:rPr>
                <w:rFonts w:ascii="Times New Roman" w:cs="Times New Roman" w:eastAsia="Times New Roman" w:hAnsi="Times New Roman"/>
                <w:sz w:val="18"/>
                <w:szCs w:val="18"/>
                <w:color w:val="0D6EFD"/>
                <w:w w:val="99"/>
              </w:rPr>
            </w:pPr>
            <w:hyperlink r:id="rId15">
              <w:r>
                <w:rPr>
                  <w:rFonts w:ascii="Times New Roman" w:cs="Times New Roman" w:eastAsia="Times New Roman" w:hAnsi="Times New Roman"/>
                  <w:sz w:val="18"/>
                  <w:szCs w:val="18"/>
                  <w:color w:val="0D6EFD"/>
                  <w:w w:val="99"/>
                </w:rPr>
                <w:t>Asset Purchase and Contribution Agreement between Calavo Growers, Inc., Calavo Salsa Lisa, LLC,</w:t>
              </w:r>
            </w:hyperlink>
          </w:p>
        </w:tc>
        <w:tc>
          <w:tcPr>
            <w:tcW w:w="2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5">
              <w:r>
                <w:rPr>
                  <w:rFonts w:ascii="Times New Roman" w:cs="Times New Roman" w:eastAsia="Times New Roman" w:hAnsi="Times New Roman"/>
                  <w:sz w:val="18"/>
                  <w:szCs w:val="18"/>
                  <w:color w:val="0D6EFD"/>
                </w:rPr>
                <w:t>Lisa’s Salsa Company and Elizabeth Nicholson and Eric Nicholson dated February 8, 2010</w:t>
              </w:r>
            </w:hyperlink>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gridSpan w:val="2"/>
            <w:shd w:val="clear" w:color="auto" w:fill="0D6EFD"/>
          </w:tcPr>
          <w:p>
            <w:pPr>
              <w:spacing w:after="0" w:line="20" w:lineRule="exact"/>
              <w:rPr>
                <w:sz w:val="1"/>
                <w:szCs w:val="1"/>
                <w:color w:val="auto"/>
              </w:rPr>
            </w:pPr>
          </w:p>
        </w:tc>
        <w:tc>
          <w:tcPr>
            <w:tcW w:w="5140" w:type="dxa"/>
            <w:vAlign w:val="bottom"/>
            <w:gridSpan w:val="3"/>
            <w:shd w:val="clear" w:color="auto" w:fill="0D6EFD"/>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80" w:type="dxa"/>
            <w:vAlign w:val="bottom"/>
            <w:gridSpan w:val="18"/>
          </w:tcPr>
          <w:p>
            <w:pPr>
              <w:spacing w:after="0" w:line="196" w:lineRule="exact"/>
              <w:rPr>
                <w:rFonts w:ascii="Times New Roman" w:cs="Times New Roman" w:eastAsia="Times New Roman" w:hAnsi="Times New Roman"/>
                <w:sz w:val="18"/>
                <w:szCs w:val="18"/>
                <w:color w:val="0D6EFD"/>
              </w:rPr>
            </w:pPr>
            <w:hyperlink r:id="rId15">
              <w:r>
                <w:rPr>
                  <w:rFonts w:ascii="Times New Roman" w:cs="Times New Roman" w:eastAsia="Times New Roman" w:hAnsi="Times New Roman"/>
                  <w:sz w:val="18"/>
                  <w:szCs w:val="18"/>
                  <w:color w:val="0D6EFD"/>
                </w:rPr>
                <w:t>(incorporated by reference to Exhibit 2.1 to the Quarterly Report on Form 10-Q filed by the Registrant</w:t>
              </w:r>
            </w:hyperlink>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20" w:type="dxa"/>
            <w:vAlign w:val="bottom"/>
            <w:tcBorders>
              <w:top w:val="single" w:sz="8" w:color="0D6EFD"/>
            </w:tcBorders>
            <w:gridSpan w:val="15"/>
          </w:tcPr>
          <w:p>
            <w:pPr>
              <w:spacing w:after="0" w:line="196" w:lineRule="exact"/>
              <w:rPr>
                <w:rFonts w:ascii="Times New Roman" w:cs="Times New Roman" w:eastAsia="Times New Roman" w:hAnsi="Times New Roman"/>
                <w:sz w:val="18"/>
                <w:szCs w:val="18"/>
                <w:color w:val="0D6EFD"/>
              </w:rPr>
            </w:pPr>
            <w:hyperlink r:id="rId15">
              <w:r>
                <w:rPr>
                  <w:rFonts w:ascii="Times New Roman" w:cs="Times New Roman" w:eastAsia="Times New Roman" w:hAnsi="Times New Roman"/>
                  <w:sz w:val="18"/>
                  <w:szCs w:val="18"/>
                  <w:color w:val="0D6EFD"/>
                </w:rPr>
                <w:t>on March 11, 2010)</w:t>
              </w:r>
            </w:hyperlink>
          </w:p>
        </w:tc>
        <w:tc>
          <w:tcPr>
            <w:tcW w:w="160" w:type="dxa"/>
            <w:vAlign w:val="bottom"/>
            <w:gridSpan w:val="3"/>
          </w:tcPr>
          <w:p>
            <w:pPr>
              <w:spacing w:after="0"/>
              <w:rPr>
                <w:sz w:val="17"/>
                <w:szCs w:val="17"/>
                <w:color w:val="auto"/>
              </w:rPr>
            </w:pPr>
          </w:p>
        </w:tc>
      </w:tr>
      <w:tr>
        <w:trPr>
          <w:trHeight w:val="43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Borders>
              <w:top w:val="single" w:sz="8" w:color="0D6EFD"/>
            </w:tcBorders>
            <w:gridSpan w:val="2"/>
          </w:tcPr>
          <w:p>
            <w:pPr>
              <w:spacing w:after="0"/>
              <w:rPr>
                <w:sz w:val="24"/>
                <w:szCs w:val="24"/>
                <w:color w:val="auto"/>
              </w:rPr>
            </w:pPr>
          </w:p>
        </w:tc>
        <w:tc>
          <w:tcPr>
            <w:tcW w:w="5140" w:type="dxa"/>
            <w:vAlign w:val="bottom"/>
            <w:gridSpan w:val="3"/>
          </w:tcPr>
          <w:p>
            <w:pPr>
              <w:jc w:val="right"/>
              <w:ind w:right="3079"/>
              <w:spacing w:after="0"/>
              <w:rPr>
                <w:sz w:val="20"/>
                <w:szCs w:val="20"/>
                <w:color w:val="auto"/>
              </w:rPr>
            </w:pPr>
            <w:r>
              <w:rPr>
                <w:rFonts w:ascii="Times New Roman" w:cs="Times New Roman" w:eastAsia="Times New Roman" w:hAnsi="Times New Roman"/>
                <w:sz w:val="22"/>
                <w:szCs w:val="22"/>
                <w:color w:val="auto"/>
              </w:rPr>
              <w:t>-4-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91"/>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4" w:name="page5"/>
    <w:bookmarkEnd w:id="4"/>
    <w:p>
      <w:pPr>
        <w:ind w:left="1220" w:right="239" w:hanging="584"/>
        <w:spacing w:after="0" w:line="253"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2.6*</w:t>
      </w:r>
      <w:r>
        <w:rPr>
          <w:sz w:val="20"/>
          <w:szCs w:val="20"/>
          <w:color w:val="auto"/>
        </w:rPr>
        <w:tab/>
      </w:r>
      <w:hyperlink r:id="rId16">
        <w:r>
          <w:rPr>
            <w:rFonts w:ascii="Times New Roman" w:cs="Times New Roman" w:eastAsia="Times New Roman" w:hAnsi="Times New Roman"/>
            <w:sz w:val="18"/>
            <w:szCs w:val="18"/>
            <w:u w:val="single" w:color="auto"/>
            <w:color w:val="0D6EFD"/>
          </w:rPr>
          <w:t>Amended and Restated Limited Liability Company Agreement for Calavo Salsa Lisa, LLC dated</w:t>
        </w:r>
      </w:hyperlink>
      <w:r>
        <w:rPr>
          <w:rFonts w:ascii="Times New Roman" w:cs="Times New Roman" w:eastAsia="Times New Roman" w:hAnsi="Times New Roman"/>
          <w:sz w:val="18"/>
          <w:szCs w:val="18"/>
          <w:u w:val="single" w:color="auto"/>
          <w:color w:val="0D6EFD"/>
        </w:rPr>
        <w:t xml:space="preserve"> </w:t>
      </w:r>
      <w:hyperlink r:id="rId16">
        <w:r>
          <w:rPr>
            <w:rFonts w:ascii="Times New Roman" w:cs="Times New Roman" w:eastAsia="Times New Roman" w:hAnsi="Times New Roman"/>
            <w:sz w:val="18"/>
            <w:szCs w:val="18"/>
            <w:u w:val="single" w:color="auto"/>
            <w:color w:val="0D6EFD"/>
          </w:rPr>
          <w:t>February 8, 2010 among Calavo Growers, Inc., Calavo Salsa Lisa LLC, Lisa’s Salsa Company, Elizabeth</w:t>
        </w:r>
      </w:hyperlink>
      <w:r>
        <w:rPr>
          <w:rFonts w:ascii="Times New Roman" w:cs="Times New Roman" w:eastAsia="Times New Roman" w:hAnsi="Times New Roman"/>
          <w:sz w:val="18"/>
          <w:szCs w:val="18"/>
          <w:u w:val="single" w:color="auto"/>
          <w:color w:val="0D6EFD"/>
        </w:rPr>
        <w:t xml:space="preserve"> </w:t>
      </w:r>
      <w:hyperlink r:id="rId16">
        <w:r>
          <w:rPr>
            <w:rFonts w:ascii="Times New Roman" w:cs="Times New Roman" w:eastAsia="Times New Roman" w:hAnsi="Times New Roman"/>
            <w:sz w:val="18"/>
            <w:szCs w:val="18"/>
            <w:u w:val="single" w:color="auto"/>
            <w:color w:val="0D6EFD"/>
          </w:rPr>
          <w:t>Nicholson and Eric Nicholson. (Portions of this agreement have been deleted and filed separately with</w:t>
        </w:r>
      </w:hyperlink>
      <w:r>
        <w:rPr>
          <w:rFonts w:ascii="Times New Roman" w:cs="Times New Roman" w:eastAsia="Times New Roman" w:hAnsi="Times New Roman"/>
          <w:sz w:val="18"/>
          <w:szCs w:val="18"/>
          <w:u w:val="single" w:color="auto"/>
          <w:color w:val="0D6EFD"/>
        </w:rPr>
        <w:t xml:space="preserve"> </w:t>
      </w:r>
      <w:hyperlink r:id="rId16">
        <w:r>
          <w:rPr>
            <w:rFonts w:ascii="Times New Roman" w:cs="Times New Roman" w:eastAsia="Times New Roman" w:hAnsi="Times New Roman"/>
            <w:sz w:val="18"/>
            <w:szCs w:val="18"/>
            <w:u w:val="single" w:color="auto"/>
            <w:color w:val="0D6EFD"/>
          </w:rPr>
          <w:t>the Securities and Exchange Commission Pursuant to a request for confidential treatment.) (incorporated</w:t>
        </w:r>
      </w:hyperlink>
      <w:r>
        <w:rPr>
          <w:rFonts w:ascii="Times New Roman" w:cs="Times New Roman" w:eastAsia="Times New Roman" w:hAnsi="Times New Roman"/>
          <w:sz w:val="18"/>
          <w:szCs w:val="18"/>
          <w:u w:val="single" w:color="auto"/>
          <w:color w:val="0D6EFD"/>
        </w:rPr>
        <w:t xml:space="preserve"> </w:t>
      </w:r>
      <w:hyperlink r:id="rId16">
        <w:r>
          <w:rPr>
            <w:rFonts w:ascii="Times New Roman" w:cs="Times New Roman" w:eastAsia="Times New Roman" w:hAnsi="Times New Roman"/>
            <w:sz w:val="18"/>
            <w:szCs w:val="18"/>
            <w:u w:val="single" w:color="auto"/>
            <w:color w:val="0D6EFD"/>
          </w:rPr>
          <w:t>by reference to Exhibit 10.3 to the Quarterly Report on Form 10-Q filed by the Registrant on March 11,</w:t>
        </w:r>
      </w:hyperlink>
      <w:r>
        <w:rPr>
          <w:rFonts w:ascii="Times New Roman" w:cs="Times New Roman" w:eastAsia="Times New Roman" w:hAnsi="Times New Roman"/>
          <w:sz w:val="18"/>
          <w:szCs w:val="18"/>
          <w:u w:val="single" w:color="auto"/>
          <w:color w:val="0D6EFD"/>
        </w:rPr>
        <w:t xml:space="preserve"> </w:t>
      </w:r>
      <w:hyperlink r:id="rId16">
        <w:r>
          <w:rPr>
            <w:rFonts w:ascii="Times New Roman" w:cs="Times New Roman" w:eastAsia="Times New Roman" w:hAnsi="Times New Roman"/>
            <w:sz w:val="18"/>
            <w:szCs w:val="18"/>
            <w:u w:val="single" w:color="auto"/>
            <w:color w:val="0D6EFD"/>
          </w:rPr>
          <w:t>2010)</w:t>
        </w:r>
      </w:hyperlink>
    </w:p>
    <w:p>
      <w:pPr>
        <w:spacing w:after="0" w:line="5" w:lineRule="exact"/>
        <w:rPr>
          <w:rFonts w:ascii="Times New Roman" w:cs="Times New Roman" w:eastAsia="Times New Roman" w:hAnsi="Times New Roman"/>
          <w:sz w:val="18"/>
          <w:szCs w:val="18"/>
          <w:u w:val="single" w:color="auto"/>
          <w:color w:val="0D6EFD"/>
        </w:rPr>
      </w:pPr>
    </w:p>
    <w:p>
      <w:pPr>
        <w:ind w:left="1220" w:right="299" w:hanging="584"/>
        <w:spacing w:after="0" w:line="260" w:lineRule="auto"/>
        <w:tabs>
          <w:tab w:leader="none" w:pos="1200" w:val="left"/>
        </w:tabs>
        <w:rPr>
          <w:rFonts w:ascii="Times New Roman" w:cs="Times New Roman" w:eastAsia="Times New Roman" w:hAnsi="Times New Roman"/>
          <w:sz w:val="17"/>
          <w:szCs w:val="17"/>
          <w:u w:val="single" w:color="auto"/>
          <w:color w:val="0D6EFD"/>
        </w:rPr>
      </w:pPr>
      <w:r>
        <w:rPr>
          <w:rFonts w:ascii="Times New Roman" w:cs="Times New Roman" w:eastAsia="Times New Roman" w:hAnsi="Times New Roman"/>
          <w:sz w:val="18"/>
          <w:szCs w:val="18"/>
          <w:color w:val="auto"/>
        </w:rPr>
        <w:t>2.7*</w:t>
      </w:r>
      <w:r>
        <w:rPr>
          <w:sz w:val="20"/>
          <w:szCs w:val="20"/>
          <w:color w:val="auto"/>
        </w:rPr>
        <w:tab/>
      </w:r>
      <w:hyperlink r:id="rId17">
        <w:r>
          <w:rPr>
            <w:rFonts w:ascii="Times New Roman" w:cs="Times New Roman" w:eastAsia="Times New Roman" w:hAnsi="Times New Roman"/>
            <w:sz w:val="17"/>
            <w:szCs w:val="17"/>
            <w:u w:val="single" w:color="auto"/>
            <w:color w:val="0D6EFD"/>
          </w:rPr>
          <w:t>Agreement and Plan of Merger dated May 25, 2011 among Calavo Growers, Inc., CG Mergersub LLC,</w:t>
        </w:r>
      </w:hyperlink>
      <w:r>
        <w:rPr>
          <w:rFonts w:ascii="Times New Roman" w:cs="Times New Roman" w:eastAsia="Times New Roman" w:hAnsi="Times New Roman"/>
          <w:sz w:val="17"/>
          <w:szCs w:val="17"/>
          <w:u w:val="single" w:color="auto"/>
          <w:color w:val="0D6EFD"/>
        </w:rPr>
        <w:t xml:space="preserve"> </w:t>
      </w:r>
      <w:hyperlink r:id="rId17">
        <w:r>
          <w:rPr>
            <w:rFonts w:ascii="Times New Roman" w:cs="Times New Roman" w:eastAsia="Times New Roman" w:hAnsi="Times New Roman"/>
            <w:sz w:val="17"/>
            <w:szCs w:val="17"/>
            <w:u w:val="single" w:color="auto"/>
            <w:color w:val="0D6EFD"/>
          </w:rPr>
          <w:t>Renaissance Food Group, LLC and Liberty Fresh Foods, LLC, Kenneth Catchot, Cut Fruit, LLC, James</w:t>
        </w:r>
      </w:hyperlink>
      <w:r>
        <w:rPr>
          <w:rFonts w:ascii="Times New Roman" w:cs="Times New Roman" w:eastAsia="Times New Roman" w:hAnsi="Times New Roman"/>
          <w:sz w:val="17"/>
          <w:szCs w:val="17"/>
          <w:u w:val="single" w:color="auto"/>
          <w:color w:val="0D6EFD"/>
        </w:rPr>
        <w:t xml:space="preserve"> </w:t>
      </w:r>
      <w:hyperlink r:id="rId17">
        <w:r>
          <w:rPr>
            <w:rFonts w:ascii="Times New Roman" w:cs="Times New Roman" w:eastAsia="Times New Roman" w:hAnsi="Times New Roman"/>
            <w:sz w:val="17"/>
            <w:szCs w:val="17"/>
            <w:u w:val="single" w:color="auto"/>
            <w:color w:val="0D6EFD"/>
          </w:rPr>
          <w:t>Catchot, James Gibson, Jose O. Castillo, Donald L. Johnson and RFG Nominee Trust</w:t>
        </w:r>
        <w:r>
          <w:rPr>
            <w:rFonts w:ascii="Times New Roman" w:cs="Times New Roman" w:eastAsia="Times New Roman" w:hAnsi="Times New Roman"/>
            <w:sz w:val="19"/>
            <w:szCs w:val="19"/>
            <w:u w:val="single" w:color="auto"/>
            <w:color w:val="0D6EFD"/>
            <w:vertAlign w:val="superscript"/>
          </w:rPr>
          <w:t>1</w:t>
        </w:r>
        <w:r>
          <w:rPr>
            <w:rFonts w:ascii="Times New Roman" w:cs="Times New Roman" w:eastAsia="Times New Roman" w:hAnsi="Times New Roman"/>
            <w:sz w:val="17"/>
            <w:szCs w:val="17"/>
            <w:u w:val="single" w:color="auto"/>
            <w:color w:val="0D6EFD"/>
          </w:rPr>
          <w:t xml:space="preserve"> (Certain portions</w:t>
        </w:r>
      </w:hyperlink>
      <w:r>
        <w:rPr>
          <w:rFonts w:ascii="Times New Roman" w:cs="Times New Roman" w:eastAsia="Times New Roman" w:hAnsi="Times New Roman"/>
          <w:sz w:val="17"/>
          <w:szCs w:val="17"/>
          <w:u w:val="single" w:color="auto"/>
          <w:color w:val="0D6EFD"/>
        </w:rPr>
        <w:t xml:space="preserve"> </w:t>
      </w:r>
      <w:hyperlink r:id="rId17">
        <w:r>
          <w:rPr>
            <w:rFonts w:ascii="Times New Roman" w:cs="Times New Roman" w:eastAsia="Times New Roman" w:hAnsi="Times New Roman"/>
            <w:sz w:val="17"/>
            <w:szCs w:val="17"/>
            <w:u w:val="single" w:color="auto"/>
            <w:color w:val="0D6EFD"/>
          </w:rPr>
          <w:t>of the exhibit have been omitted based upon a request for confidential treatment filed by the Registrant</w:t>
        </w:r>
      </w:hyperlink>
      <w:r>
        <w:rPr>
          <w:rFonts w:ascii="Times New Roman" w:cs="Times New Roman" w:eastAsia="Times New Roman" w:hAnsi="Times New Roman"/>
          <w:sz w:val="17"/>
          <w:szCs w:val="17"/>
          <w:u w:val="single" w:color="auto"/>
          <w:color w:val="0D6EFD"/>
        </w:rPr>
        <w:t xml:space="preserve"> </w:t>
      </w:r>
      <w:hyperlink r:id="rId17">
        <w:r>
          <w:rPr>
            <w:rFonts w:ascii="Times New Roman" w:cs="Times New Roman" w:eastAsia="Times New Roman" w:hAnsi="Times New Roman"/>
            <w:sz w:val="17"/>
            <w:szCs w:val="17"/>
            <w:u w:val="single" w:color="auto"/>
            <w:color w:val="0D6EFD"/>
          </w:rPr>
          <w:t>with the Securities and Exchange Commission. The omitted portions of the exhibit have been separately</w:t>
        </w:r>
      </w:hyperlink>
      <w:r>
        <w:rPr>
          <w:rFonts w:ascii="Times New Roman" w:cs="Times New Roman" w:eastAsia="Times New Roman" w:hAnsi="Times New Roman"/>
          <w:sz w:val="17"/>
          <w:szCs w:val="17"/>
          <w:u w:val="single" w:color="auto"/>
          <w:color w:val="0D6EFD"/>
        </w:rPr>
        <w:t xml:space="preserve"> </w:t>
      </w:r>
      <w:hyperlink r:id="rId17">
        <w:r>
          <w:rPr>
            <w:rFonts w:ascii="Times New Roman" w:cs="Times New Roman" w:eastAsia="Times New Roman" w:hAnsi="Times New Roman"/>
            <w:sz w:val="17"/>
            <w:szCs w:val="17"/>
            <w:u w:val="single" w:color="auto"/>
            <w:color w:val="0D6EFD"/>
          </w:rPr>
          <w:t>filed by the Registrant with the Securities and Exchange Commission.) (incorporated by reference to</w:t>
        </w:r>
      </w:hyperlink>
      <w:r>
        <w:rPr>
          <w:rFonts w:ascii="Times New Roman" w:cs="Times New Roman" w:eastAsia="Times New Roman" w:hAnsi="Times New Roman"/>
          <w:sz w:val="17"/>
          <w:szCs w:val="17"/>
          <w:u w:val="single" w:color="auto"/>
          <w:color w:val="0D6EFD"/>
        </w:rPr>
        <w:t xml:space="preserve"> </w:t>
      </w:r>
      <w:hyperlink r:id="rId17">
        <w:r>
          <w:rPr>
            <w:rFonts w:ascii="Times New Roman" w:cs="Times New Roman" w:eastAsia="Times New Roman" w:hAnsi="Times New Roman"/>
            <w:sz w:val="17"/>
            <w:szCs w:val="17"/>
            <w:u w:val="single" w:color="auto"/>
            <w:color w:val="0D6EFD"/>
          </w:rPr>
          <w:t>Exhibit 2.1 to the Current Report on Form 8-K/A filed by the Registrant on January 10, 2012).</w:t>
        </w:r>
      </w:hyperlink>
    </w:p>
    <w:p>
      <w:pPr>
        <w:spacing w:after="0" w:line="5" w:lineRule="exact"/>
        <w:rPr>
          <w:rFonts w:ascii="Times New Roman" w:cs="Times New Roman" w:eastAsia="Times New Roman" w:hAnsi="Times New Roman"/>
          <w:sz w:val="17"/>
          <w:szCs w:val="17"/>
          <w:u w:val="single" w:color="auto"/>
          <w:color w:val="0D6EFD"/>
        </w:rPr>
      </w:pPr>
    </w:p>
    <w:p>
      <w:pPr>
        <w:jc w:val="both"/>
        <w:ind w:left="1220" w:right="319" w:hanging="58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2.8*</w:t>
      </w:r>
      <w:r>
        <w:rPr>
          <w:sz w:val="20"/>
          <w:szCs w:val="20"/>
          <w:color w:val="auto"/>
        </w:rPr>
        <w:tab/>
      </w:r>
      <w:hyperlink r:id="rId18">
        <w:r>
          <w:rPr>
            <w:rFonts w:ascii="Times New Roman" w:cs="Times New Roman" w:eastAsia="Times New Roman" w:hAnsi="Times New Roman"/>
            <w:sz w:val="18"/>
            <w:szCs w:val="18"/>
            <w:u w:val="single" w:color="auto"/>
            <w:color w:val="0D6EFD"/>
          </w:rPr>
          <w:t>Sale of LLC Interest Agreement dated October 31, 2012 between Calavo Growers, Inc. and San Rafael</w:t>
        </w:r>
      </w:hyperlink>
      <w:r>
        <w:rPr>
          <w:rFonts w:ascii="Times New Roman" w:cs="Times New Roman" w:eastAsia="Times New Roman" w:hAnsi="Times New Roman"/>
          <w:sz w:val="18"/>
          <w:szCs w:val="18"/>
          <w:u w:val="single" w:color="auto"/>
          <w:color w:val="0D6EFD"/>
        </w:rPr>
        <w:t xml:space="preserve"> </w:t>
      </w:r>
      <w:hyperlink r:id="rId18">
        <w:r>
          <w:rPr>
            <w:rFonts w:ascii="Times New Roman" w:cs="Times New Roman" w:eastAsia="Times New Roman" w:hAnsi="Times New Roman"/>
            <w:sz w:val="18"/>
            <w:szCs w:val="18"/>
            <w:u w:val="single" w:color="auto"/>
            <w:color w:val="0D6EFD"/>
          </w:rPr>
          <w:t>Distributing, Inc. (incorporated by reference to Exhibit 10.1 to the Current Report on Form 8-K filed by</w:t>
        </w:r>
      </w:hyperlink>
      <w:r>
        <w:rPr>
          <w:rFonts w:ascii="Times New Roman" w:cs="Times New Roman" w:eastAsia="Times New Roman" w:hAnsi="Times New Roman"/>
          <w:sz w:val="18"/>
          <w:szCs w:val="18"/>
          <w:u w:val="single" w:color="auto"/>
          <w:color w:val="0D6EFD"/>
        </w:rPr>
        <w:t xml:space="preserve"> </w:t>
      </w:r>
      <w:hyperlink r:id="rId18">
        <w:r>
          <w:rPr>
            <w:rFonts w:ascii="Times New Roman" w:cs="Times New Roman" w:eastAsia="Times New Roman" w:hAnsi="Times New Roman"/>
            <w:sz w:val="18"/>
            <w:szCs w:val="18"/>
            <w:u w:val="single" w:color="auto"/>
            <w:color w:val="0D6EFD"/>
          </w:rPr>
          <w:t>the Registrant on November 6, 2012).</w:t>
        </w:r>
      </w:hyperlink>
    </w:p>
    <w:p>
      <w:pPr>
        <w:spacing w:after="0" w:line="1" w:lineRule="exact"/>
        <w:rPr>
          <w:rFonts w:ascii="Times New Roman" w:cs="Times New Roman" w:eastAsia="Times New Roman" w:hAnsi="Times New Roman"/>
          <w:sz w:val="18"/>
          <w:szCs w:val="18"/>
          <w:u w:val="single" w:color="auto"/>
          <w:color w:val="0D6EFD"/>
        </w:rPr>
      </w:pPr>
    </w:p>
    <w:p>
      <w:pPr>
        <w:ind w:left="1220" w:right="299" w:hanging="58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2.9*</w:t>
      </w:r>
      <w:r>
        <w:rPr>
          <w:sz w:val="20"/>
          <w:szCs w:val="20"/>
          <w:color w:val="auto"/>
        </w:rPr>
        <w:tab/>
      </w:r>
      <w:hyperlink r:id="rId19">
        <w:r>
          <w:rPr>
            <w:rFonts w:ascii="Times New Roman" w:cs="Times New Roman" w:eastAsia="Times New Roman" w:hAnsi="Times New Roman"/>
            <w:sz w:val="18"/>
            <w:szCs w:val="18"/>
            <w:u w:val="single" w:color="auto"/>
            <w:color w:val="0D6EFD"/>
          </w:rPr>
          <w:t>Amendment No. 1 to Agreement and Plan of Merger, dated July 31, 2013, among Calavo Growers, Inc.,</w:t>
        </w:r>
      </w:hyperlink>
      <w:r>
        <w:rPr>
          <w:rFonts w:ascii="Times New Roman" w:cs="Times New Roman" w:eastAsia="Times New Roman" w:hAnsi="Times New Roman"/>
          <w:sz w:val="18"/>
          <w:szCs w:val="18"/>
          <w:u w:val="single" w:color="auto"/>
          <w:color w:val="0D6EFD"/>
        </w:rPr>
        <w:t xml:space="preserve"> </w:t>
      </w:r>
      <w:hyperlink r:id="rId19">
        <w:r>
          <w:rPr>
            <w:rFonts w:ascii="Times New Roman" w:cs="Times New Roman" w:eastAsia="Times New Roman" w:hAnsi="Times New Roman"/>
            <w:sz w:val="18"/>
            <w:szCs w:val="18"/>
            <w:u w:val="single" w:color="auto"/>
            <w:color w:val="0D6EFD"/>
          </w:rPr>
          <w:t>Renaissance Food Group, LLC and Liberty Fresh Foods, LLC, Kenneth Catchot, Cut Fruit, LLC, James</w:t>
        </w:r>
      </w:hyperlink>
      <w:r>
        <w:rPr>
          <w:rFonts w:ascii="Times New Roman" w:cs="Times New Roman" w:eastAsia="Times New Roman" w:hAnsi="Times New Roman"/>
          <w:sz w:val="18"/>
          <w:szCs w:val="18"/>
          <w:u w:val="single" w:color="auto"/>
          <w:color w:val="0D6EFD"/>
        </w:rPr>
        <w:t xml:space="preserve"> </w:t>
      </w:r>
      <w:hyperlink r:id="rId19">
        <w:r>
          <w:rPr>
            <w:rFonts w:ascii="Times New Roman" w:cs="Times New Roman" w:eastAsia="Times New Roman" w:hAnsi="Times New Roman"/>
            <w:sz w:val="18"/>
            <w:szCs w:val="18"/>
            <w:u w:val="single" w:color="auto"/>
            <w:color w:val="0D6EFD"/>
          </w:rPr>
          <w:t>Catchot, James Gibson, Jose O. Castillo, Donald L. Johnson and RFG Nominee Trust (incorporated by</w:t>
        </w:r>
      </w:hyperlink>
      <w:r>
        <w:rPr>
          <w:rFonts w:ascii="Times New Roman" w:cs="Times New Roman" w:eastAsia="Times New Roman" w:hAnsi="Times New Roman"/>
          <w:sz w:val="18"/>
          <w:szCs w:val="18"/>
          <w:u w:val="single" w:color="auto"/>
          <w:color w:val="0D6EFD"/>
        </w:rPr>
        <w:t xml:space="preserve"> </w:t>
      </w:r>
      <w:hyperlink r:id="rId19">
        <w:r>
          <w:rPr>
            <w:rFonts w:ascii="Times New Roman" w:cs="Times New Roman" w:eastAsia="Times New Roman" w:hAnsi="Times New Roman"/>
            <w:sz w:val="18"/>
            <w:szCs w:val="18"/>
            <w:u w:val="single" w:color="auto"/>
            <w:color w:val="0D6EFD"/>
          </w:rPr>
          <w:t>reference to Exhibit 10.1 to the Current Report on Form 8-K filed by the Registrant on September 4,</w:t>
        </w:r>
      </w:hyperlink>
      <w:r>
        <w:rPr>
          <w:rFonts w:ascii="Times New Roman" w:cs="Times New Roman" w:eastAsia="Times New Roman" w:hAnsi="Times New Roman"/>
          <w:sz w:val="18"/>
          <w:szCs w:val="18"/>
          <w:u w:val="single" w:color="auto"/>
          <w:color w:val="0D6EFD"/>
        </w:rPr>
        <w:t xml:space="preserve"> </w:t>
      </w:r>
      <w:hyperlink r:id="rId19">
        <w:r>
          <w:rPr>
            <w:rFonts w:ascii="Times New Roman" w:cs="Times New Roman" w:eastAsia="Times New Roman" w:hAnsi="Times New Roman"/>
            <w:sz w:val="18"/>
            <w:szCs w:val="18"/>
            <w:u w:val="single" w:color="auto"/>
            <w:color w:val="0D6EFD"/>
          </w:rPr>
          <w:t>2013).</w:t>
        </w:r>
      </w:hyperlink>
    </w:p>
    <w:p>
      <w:pPr>
        <w:spacing w:after="0" w:line="2" w:lineRule="exact"/>
        <w:rPr>
          <w:rFonts w:ascii="Times New Roman" w:cs="Times New Roman" w:eastAsia="Times New Roman" w:hAnsi="Times New Roman"/>
          <w:sz w:val="18"/>
          <w:szCs w:val="18"/>
          <w:u w:val="single" w:color="auto"/>
          <w:color w:val="0D6EFD"/>
        </w:rPr>
      </w:pPr>
    </w:p>
    <w:p>
      <w:pPr>
        <w:ind w:left="1220" w:right="259" w:hanging="67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2.10*</w:t>
      </w:r>
      <w:r>
        <w:rPr>
          <w:sz w:val="20"/>
          <w:szCs w:val="20"/>
          <w:color w:val="auto"/>
        </w:rPr>
        <w:tab/>
      </w:r>
      <w:hyperlink r:id="rId20">
        <w:r>
          <w:rPr>
            <w:rFonts w:ascii="Times New Roman" w:cs="Times New Roman" w:eastAsia="Times New Roman" w:hAnsi="Times New Roman"/>
            <w:sz w:val="18"/>
            <w:szCs w:val="18"/>
            <w:u w:val="single" w:color="auto"/>
            <w:color w:val="0D6EFD"/>
          </w:rPr>
          <w:t>Amended and Restated Limited Liability Company Agreement, dated August 16, 2013, by and among</w:t>
        </w:r>
      </w:hyperlink>
      <w:r>
        <w:rPr>
          <w:rFonts w:ascii="Times New Roman" w:cs="Times New Roman" w:eastAsia="Times New Roman" w:hAnsi="Times New Roman"/>
          <w:sz w:val="18"/>
          <w:szCs w:val="18"/>
          <w:u w:val="single" w:color="auto"/>
          <w:color w:val="0D6EFD"/>
        </w:rPr>
        <w:t xml:space="preserve"> </w:t>
      </w:r>
      <w:hyperlink r:id="rId20">
        <w:r>
          <w:rPr>
            <w:rFonts w:ascii="Times New Roman" w:cs="Times New Roman" w:eastAsia="Times New Roman" w:hAnsi="Times New Roman"/>
            <w:sz w:val="18"/>
            <w:szCs w:val="18"/>
            <w:u w:val="single" w:color="auto"/>
            <w:color w:val="0D6EFD"/>
          </w:rPr>
          <w:t>FreshRealm, LLC, a Delaware limited liability company, and the Members (incorporated by reference to</w:t>
        </w:r>
      </w:hyperlink>
      <w:r>
        <w:rPr>
          <w:rFonts w:ascii="Times New Roman" w:cs="Times New Roman" w:eastAsia="Times New Roman" w:hAnsi="Times New Roman"/>
          <w:sz w:val="18"/>
          <w:szCs w:val="18"/>
          <w:u w:val="single" w:color="auto"/>
          <w:color w:val="0D6EFD"/>
        </w:rPr>
        <w:t xml:space="preserve"> </w:t>
      </w:r>
      <w:hyperlink r:id="rId20">
        <w:r>
          <w:rPr>
            <w:rFonts w:ascii="Times New Roman" w:cs="Times New Roman" w:eastAsia="Times New Roman" w:hAnsi="Times New Roman"/>
            <w:sz w:val="18"/>
            <w:szCs w:val="18"/>
            <w:u w:val="single" w:color="auto"/>
            <w:color w:val="0D6EFD"/>
          </w:rPr>
          <w:t>Exhibit 10.2 to the Quarterly Report on Form 10-Q filed by the Registrant on September 9, 2013).</w:t>
        </w:r>
      </w:hyperlink>
    </w:p>
    <w:p>
      <w:pPr>
        <w:spacing w:after="0" w:line="1" w:lineRule="exact"/>
        <w:rPr>
          <w:rFonts w:ascii="Times New Roman" w:cs="Times New Roman" w:eastAsia="Times New Roman" w:hAnsi="Times New Roman"/>
          <w:sz w:val="18"/>
          <w:szCs w:val="18"/>
          <w:u w:val="single" w:color="auto"/>
          <w:color w:val="0D6EFD"/>
        </w:rPr>
      </w:pPr>
    </w:p>
    <w:p>
      <w:pPr>
        <w:ind w:left="1220" w:right="259" w:hanging="667"/>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2.11*</w:t>
      </w:r>
      <w:r>
        <w:rPr>
          <w:sz w:val="20"/>
          <w:szCs w:val="20"/>
          <w:color w:val="auto"/>
        </w:rPr>
        <w:tab/>
      </w:r>
      <w:hyperlink r:id="rId21">
        <w:r>
          <w:rPr>
            <w:rFonts w:ascii="Times New Roman" w:cs="Times New Roman" w:eastAsia="Times New Roman" w:hAnsi="Times New Roman"/>
            <w:sz w:val="18"/>
            <w:szCs w:val="18"/>
            <w:u w:val="single" w:color="auto"/>
            <w:color w:val="0D6EFD"/>
          </w:rPr>
          <w:t>Amendment No. 2 to Agreement and Plan of Merger, dated as of October 1, 2013, among Calavo</w:t>
        </w:r>
      </w:hyperlink>
      <w:r>
        <w:rPr>
          <w:rFonts w:ascii="Times New Roman" w:cs="Times New Roman" w:eastAsia="Times New Roman" w:hAnsi="Times New Roman"/>
          <w:sz w:val="18"/>
          <w:szCs w:val="18"/>
          <w:u w:val="single" w:color="auto"/>
          <w:color w:val="0D6EFD"/>
        </w:rPr>
        <w:t xml:space="preserve"> </w:t>
      </w:r>
      <w:hyperlink r:id="rId21">
        <w:r>
          <w:rPr>
            <w:rFonts w:ascii="Times New Roman" w:cs="Times New Roman" w:eastAsia="Times New Roman" w:hAnsi="Times New Roman"/>
            <w:sz w:val="18"/>
            <w:szCs w:val="18"/>
            <w:u w:val="single" w:color="auto"/>
            <w:color w:val="0D6EFD"/>
          </w:rPr>
          <w:t>Growers, Inc., Renaissance Food Group, LLC and Liberty Fresh Foods, LLC, Kenneth J. Catchot, Cut</w:t>
        </w:r>
      </w:hyperlink>
      <w:r>
        <w:rPr>
          <w:rFonts w:ascii="Times New Roman" w:cs="Times New Roman" w:eastAsia="Times New Roman" w:hAnsi="Times New Roman"/>
          <w:sz w:val="18"/>
          <w:szCs w:val="18"/>
          <w:u w:val="single" w:color="auto"/>
          <w:color w:val="0D6EFD"/>
        </w:rPr>
        <w:t xml:space="preserve"> </w:t>
      </w:r>
      <w:hyperlink r:id="rId21">
        <w:r>
          <w:rPr>
            <w:rFonts w:ascii="Times New Roman" w:cs="Times New Roman" w:eastAsia="Times New Roman" w:hAnsi="Times New Roman"/>
            <w:sz w:val="18"/>
            <w:szCs w:val="18"/>
            <w:u w:val="single" w:color="auto"/>
            <w:color w:val="0D6EFD"/>
          </w:rPr>
          <w:t>Fruit, LLC, James S. Catchot, James Gibson, Jose O. Castillo, Donald L. Johnson and the RFG Nominee</w:t>
        </w:r>
      </w:hyperlink>
      <w:r>
        <w:rPr>
          <w:rFonts w:ascii="Times New Roman" w:cs="Times New Roman" w:eastAsia="Times New Roman" w:hAnsi="Times New Roman"/>
          <w:sz w:val="18"/>
          <w:szCs w:val="18"/>
          <w:u w:val="single" w:color="auto"/>
          <w:color w:val="0D6EFD"/>
        </w:rPr>
        <w:t xml:space="preserve"> </w:t>
      </w:r>
      <w:hyperlink r:id="rId21">
        <w:r>
          <w:rPr>
            <w:rFonts w:ascii="Times New Roman" w:cs="Times New Roman" w:eastAsia="Times New Roman" w:hAnsi="Times New Roman"/>
            <w:sz w:val="18"/>
            <w:szCs w:val="18"/>
            <w:u w:val="single" w:color="auto"/>
            <w:color w:val="0D6EFD"/>
          </w:rPr>
          <w:t>Trust (incorporated by reference to Exhibit 10.1 to the Current Report on Form 8-K filed by the</w:t>
        </w:r>
      </w:hyperlink>
      <w:r>
        <w:rPr>
          <w:rFonts w:ascii="Times New Roman" w:cs="Times New Roman" w:eastAsia="Times New Roman" w:hAnsi="Times New Roman"/>
          <w:sz w:val="18"/>
          <w:szCs w:val="18"/>
          <w:u w:val="single" w:color="auto"/>
          <w:color w:val="0D6EFD"/>
        </w:rPr>
        <w:t xml:space="preserve"> </w:t>
      </w:r>
      <w:hyperlink r:id="rId21">
        <w:r>
          <w:rPr>
            <w:rFonts w:ascii="Times New Roman" w:cs="Times New Roman" w:eastAsia="Times New Roman" w:hAnsi="Times New Roman"/>
            <w:sz w:val="18"/>
            <w:szCs w:val="18"/>
            <w:u w:val="single" w:color="auto"/>
            <w:color w:val="0D6EFD"/>
          </w:rPr>
          <w:t>Registrant on November 16, 2023).</w:t>
        </w:r>
      </w:hyperlink>
    </w:p>
    <w:p>
      <w:pPr>
        <w:spacing w:after="0" w:line="2" w:lineRule="exact"/>
        <w:rPr>
          <w:rFonts w:ascii="Times New Roman" w:cs="Times New Roman" w:eastAsia="Times New Roman" w:hAnsi="Times New Roman"/>
          <w:sz w:val="18"/>
          <w:szCs w:val="18"/>
          <w:u w:val="single" w:color="auto"/>
          <w:color w:val="0D6EFD"/>
        </w:rPr>
      </w:pPr>
    </w:p>
    <w:p>
      <w:pPr>
        <w:ind w:left="1220" w:right="599" w:hanging="584"/>
        <w:spacing w:after="0" w:line="265" w:lineRule="auto"/>
        <w:tabs>
          <w:tab w:leader="none" w:pos="1200" w:val="left"/>
        </w:tabs>
        <w:rPr>
          <w:rFonts w:ascii="Times New Roman" w:cs="Times New Roman" w:eastAsia="Times New Roman" w:hAnsi="Times New Roman"/>
          <w:sz w:val="17"/>
          <w:szCs w:val="17"/>
          <w:u w:val="single" w:color="auto"/>
          <w:color w:val="0D6EFD"/>
        </w:rPr>
      </w:pPr>
      <w:r>
        <w:rPr>
          <w:rFonts w:ascii="Times New Roman" w:cs="Times New Roman" w:eastAsia="Times New Roman" w:hAnsi="Times New Roman"/>
          <w:sz w:val="18"/>
          <w:szCs w:val="18"/>
          <w:color w:val="auto"/>
        </w:rPr>
        <w:t>3.1*</w:t>
      </w:r>
      <w:r>
        <w:rPr>
          <w:sz w:val="20"/>
          <w:szCs w:val="20"/>
          <w:color w:val="auto"/>
        </w:rPr>
        <w:tab/>
      </w:r>
      <w:hyperlink r:id="rId22">
        <w:r>
          <w:rPr>
            <w:rFonts w:ascii="Times New Roman" w:cs="Times New Roman" w:eastAsia="Times New Roman" w:hAnsi="Times New Roman"/>
            <w:sz w:val="17"/>
            <w:szCs w:val="17"/>
            <w:u w:val="single" w:color="auto"/>
            <w:color w:val="0D6EFD"/>
          </w:rPr>
          <w:t>Articles of Incorporation of Calavo Growers, Inc. (incorporated by reference to Exhibit 3.1 to the</w:t>
        </w:r>
      </w:hyperlink>
      <w:r>
        <w:rPr>
          <w:rFonts w:ascii="Times New Roman" w:cs="Times New Roman" w:eastAsia="Times New Roman" w:hAnsi="Times New Roman"/>
          <w:sz w:val="17"/>
          <w:szCs w:val="17"/>
          <w:u w:val="single" w:color="auto"/>
          <w:color w:val="0D6EFD"/>
        </w:rPr>
        <w:t xml:space="preserve"> </w:t>
      </w:r>
      <w:hyperlink r:id="rId22">
        <w:r>
          <w:rPr>
            <w:rFonts w:ascii="Times New Roman" w:cs="Times New Roman" w:eastAsia="Times New Roman" w:hAnsi="Times New Roman"/>
            <w:sz w:val="17"/>
            <w:szCs w:val="17"/>
            <w:u w:val="single" w:color="auto"/>
            <w:color w:val="0D6EFD"/>
          </w:rPr>
          <w:t>Registration Statement on Form S-4 (File No. 333-59418 filed by the Registrant on April 24, 2001).</w:t>
        </w:r>
      </w:hyperlink>
    </w:p>
    <w:p>
      <w:pPr>
        <w:ind w:left="1220" w:right="419" w:hanging="584"/>
        <w:spacing w:after="0" w:line="250"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3">
        <w:r>
          <w:rPr>
            <w:rFonts w:ascii="Times New Roman" w:cs="Times New Roman" w:eastAsia="Times New Roman" w:hAnsi="Times New Roman"/>
            <w:sz w:val="18"/>
            <w:szCs w:val="18"/>
            <w:u w:val="single" w:color="auto"/>
            <w:color w:val="0000EE"/>
          </w:rPr>
          <w:t>Amended and Restated Bylaws of Calavo Growers, Inc., effective as of September 25, 2014</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(incorporated by reference to Exhibit 3.1 to the Quarterly Report on Form 10-Q filed by the Registrant</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on September 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20" w:right="259" w:hanging="58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4.1*</w:t>
      </w:r>
      <w:r>
        <w:rPr>
          <w:sz w:val="20"/>
          <w:szCs w:val="20"/>
          <w:color w:val="auto"/>
        </w:rPr>
        <w:tab/>
      </w:r>
      <w:hyperlink r:id="rId24">
        <w:r>
          <w:rPr>
            <w:rFonts w:ascii="Times New Roman" w:cs="Times New Roman" w:eastAsia="Times New Roman" w:hAnsi="Times New Roman"/>
            <w:sz w:val="18"/>
            <w:szCs w:val="18"/>
            <w:u w:val="single" w:color="auto"/>
            <w:color w:val="0D6EFD"/>
          </w:rPr>
          <w:t>Description of the Securities of Calavo Growers, Inc. Registered Pursuant to Section 12 of the Securities</w:t>
        </w:r>
      </w:hyperlink>
      <w:r>
        <w:rPr>
          <w:rFonts w:ascii="Times New Roman" w:cs="Times New Roman" w:eastAsia="Times New Roman" w:hAnsi="Times New Roman"/>
          <w:sz w:val="18"/>
          <w:szCs w:val="18"/>
          <w:u w:val="single" w:color="auto"/>
          <w:color w:val="0D6EFD"/>
        </w:rPr>
        <w:t xml:space="preserve"> </w:t>
      </w:r>
      <w:hyperlink r:id="rId24">
        <w:r>
          <w:rPr>
            <w:rFonts w:ascii="Times New Roman" w:cs="Times New Roman" w:eastAsia="Times New Roman" w:hAnsi="Times New Roman"/>
            <w:sz w:val="18"/>
            <w:szCs w:val="18"/>
            <w:u w:val="single" w:color="auto"/>
            <w:color w:val="0D6EFD"/>
          </w:rPr>
          <w:t>Exchange Act of 1934. (incorporated by reference to Exhibit 4.1 to the Annual Report on Form 10-K/A</w:t>
        </w:r>
      </w:hyperlink>
      <w:r>
        <w:rPr>
          <w:rFonts w:ascii="Times New Roman" w:cs="Times New Roman" w:eastAsia="Times New Roman" w:hAnsi="Times New Roman"/>
          <w:sz w:val="18"/>
          <w:szCs w:val="18"/>
          <w:u w:val="single" w:color="auto"/>
          <w:color w:val="0D6EFD"/>
        </w:rPr>
        <w:t xml:space="preserve"> </w:t>
      </w:r>
      <w:hyperlink r:id="rId24">
        <w:r>
          <w:rPr>
            <w:rFonts w:ascii="Times New Roman" w:cs="Times New Roman" w:eastAsia="Times New Roman" w:hAnsi="Times New Roman"/>
            <w:sz w:val="18"/>
            <w:szCs w:val="18"/>
            <w:u w:val="single" w:color="auto"/>
            <w:color w:val="0D6EFD"/>
          </w:rPr>
          <w:t>filed by the Registrant on March 30, 2020).</w:t>
        </w:r>
      </w:hyperlink>
    </w:p>
    <w:p>
      <w:pPr>
        <w:spacing w:after="0" w:line="1" w:lineRule="exact"/>
        <w:rPr>
          <w:rFonts w:ascii="Times New Roman" w:cs="Times New Roman" w:eastAsia="Times New Roman" w:hAnsi="Times New Roman"/>
          <w:sz w:val="18"/>
          <w:szCs w:val="18"/>
          <w:u w:val="single" w:color="auto"/>
          <w:color w:val="0D6EFD"/>
        </w:rPr>
      </w:pPr>
    </w:p>
    <w:p>
      <w:pPr>
        <w:ind w:left="1220" w:right="479" w:hanging="67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10.1*</w:t>
      </w:r>
      <w:r>
        <w:rPr>
          <w:sz w:val="20"/>
          <w:szCs w:val="20"/>
          <w:color w:val="auto"/>
        </w:rPr>
        <w:tab/>
      </w:r>
      <w:hyperlink r:id="rId25">
        <w:r>
          <w:rPr>
            <w:rFonts w:ascii="Times New Roman" w:cs="Times New Roman" w:eastAsia="Times New Roman" w:hAnsi="Times New Roman"/>
            <w:sz w:val="18"/>
            <w:szCs w:val="18"/>
            <w:u w:val="single" w:color="auto"/>
            <w:color w:val="0D6EFD"/>
          </w:rPr>
          <w:t>Form of Marketing Agreement for Calavo Growers, Inc. (incorporated by reference to Exhibit 10.1 to</w:t>
        </w:r>
      </w:hyperlink>
      <w:r>
        <w:rPr>
          <w:rFonts w:ascii="Times New Roman" w:cs="Times New Roman" w:eastAsia="Times New Roman" w:hAnsi="Times New Roman"/>
          <w:sz w:val="18"/>
          <w:szCs w:val="18"/>
          <w:u w:val="single" w:color="auto"/>
          <w:color w:val="0D6EFD"/>
        </w:rPr>
        <w:t xml:space="preserve"> </w:t>
      </w:r>
      <w:hyperlink r:id="rId25">
        <w:r>
          <w:rPr>
            <w:rFonts w:ascii="Times New Roman" w:cs="Times New Roman" w:eastAsia="Times New Roman" w:hAnsi="Times New Roman"/>
            <w:sz w:val="18"/>
            <w:szCs w:val="18"/>
            <w:u w:val="single" w:color="auto"/>
            <w:color w:val="0D6EFD"/>
          </w:rPr>
          <w:t>the Annual Report on Form 10-K filed by the Registrant on January 28, 2003).</w:t>
        </w:r>
      </w:hyperlink>
    </w:p>
    <w:p>
      <w:pPr>
        <w:spacing w:after="0" w:line="1" w:lineRule="exact"/>
        <w:rPr>
          <w:sz w:val="20"/>
          <w:szCs w:val="20"/>
          <w:color w:val="auto"/>
        </w:rPr>
      </w:pPr>
    </w:p>
    <w:p>
      <w:pPr>
        <w:ind w:left="1220" w:right="499" w:hanging="67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10.2*</w:t>
      </w:r>
      <w:r>
        <w:rPr>
          <w:sz w:val="20"/>
          <w:szCs w:val="20"/>
          <w:color w:val="auto"/>
        </w:rPr>
        <w:tab/>
      </w:r>
      <w:hyperlink r:id="rId26">
        <w:r>
          <w:rPr>
            <w:rFonts w:ascii="Times New Roman" w:cs="Times New Roman" w:eastAsia="Times New Roman" w:hAnsi="Times New Roman"/>
            <w:sz w:val="18"/>
            <w:szCs w:val="18"/>
            <w:u w:val="single" w:color="auto"/>
            <w:color w:val="0D6EFD"/>
          </w:rPr>
          <w:t>Form of Notice of Restricted Stock Award (incorporated by reference to Exhibit 10.1 to the Quarterly</w:t>
        </w:r>
      </w:hyperlink>
      <w:r>
        <w:rPr>
          <w:rFonts w:ascii="Times New Roman" w:cs="Times New Roman" w:eastAsia="Times New Roman" w:hAnsi="Times New Roman"/>
          <w:sz w:val="18"/>
          <w:szCs w:val="18"/>
          <w:u w:val="single" w:color="auto"/>
          <w:color w:val="0D6EFD"/>
        </w:rPr>
        <w:t xml:space="preserve"> </w:t>
      </w:r>
      <w:hyperlink r:id="rId26">
        <w:r>
          <w:rPr>
            <w:rFonts w:ascii="Times New Roman" w:cs="Times New Roman" w:eastAsia="Times New Roman" w:hAnsi="Times New Roman"/>
            <w:sz w:val="18"/>
            <w:szCs w:val="18"/>
            <w:u w:val="single" w:color="auto"/>
            <w:color w:val="0D6EFD"/>
          </w:rPr>
          <w:t>Report on Form 10-Q filed by the Registrant on March 14, 2022).</w:t>
        </w:r>
      </w:hyperlink>
    </w:p>
    <w:p>
      <w:pPr>
        <w:spacing w:after="0" w:line="1" w:lineRule="exact"/>
        <w:rPr>
          <w:sz w:val="20"/>
          <w:szCs w:val="20"/>
          <w:color w:val="auto"/>
        </w:rPr>
      </w:pPr>
    </w:p>
    <w:p>
      <w:pPr>
        <w:ind w:left="1220" w:right="719" w:hanging="67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10.3*</w:t>
      </w:r>
      <w:r>
        <w:rPr>
          <w:sz w:val="20"/>
          <w:szCs w:val="20"/>
          <w:color w:val="auto"/>
        </w:rPr>
        <w:tab/>
      </w:r>
      <w:hyperlink r:id="rId27">
        <w:r>
          <w:rPr>
            <w:rFonts w:ascii="Times New Roman" w:cs="Times New Roman" w:eastAsia="Times New Roman" w:hAnsi="Times New Roman"/>
            <w:sz w:val="18"/>
            <w:szCs w:val="18"/>
            <w:u w:val="single" w:color="auto"/>
            <w:color w:val="0D6EFD"/>
          </w:rPr>
          <w:t>Form of Notice of Stock Option Award (incorporated by reference to Exhibit 10.2 to the Quarterly</w:t>
        </w:r>
      </w:hyperlink>
      <w:r>
        <w:rPr>
          <w:rFonts w:ascii="Times New Roman" w:cs="Times New Roman" w:eastAsia="Times New Roman" w:hAnsi="Times New Roman"/>
          <w:sz w:val="18"/>
          <w:szCs w:val="18"/>
          <w:u w:val="single" w:color="auto"/>
          <w:color w:val="0D6EFD"/>
        </w:rPr>
        <w:t xml:space="preserve"> </w:t>
      </w:r>
      <w:hyperlink r:id="rId27">
        <w:r>
          <w:rPr>
            <w:rFonts w:ascii="Times New Roman" w:cs="Times New Roman" w:eastAsia="Times New Roman" w:hAnsi="Times New Roman"/>
            <w:sz w:val="18"/>
            <w:szCs w:val="18"/>
            <w:u w:val="single" w:color="auto"/>
            <w:color w:val="0D6EFD"/>
          </w:rPr>
          <w:t>Report on Form 10-Q filed by the Registrant on March 14, 2022).</w:t>
        </w:r>
      </w:hyperlink>
    </w:p>
    <w:p>
      <w:pPr>
        <w:spacing w:after="0" w:line="1" w:lineRule="exact"/>
        <w:rPr>
          <w:sz w:val="20"/>
          <w:szCs w:val="20"/>
          <w:color w:val="auto"/>
        </w:rPr>
      </w:pPr>
    </w:p>
    <w:p>
      <w:pPr>
        <w:ind w:left="1220" w:right="279" w:hanging="674"/>
        <w:spacing w:after="0" w:line="250" w:lineRule="auto"/>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10.4*</w:t>
      </w:r>
      <w:r>
        <w:rPr>
          <w:sz w:val="20"/>
          <w:szCs w:val="20"/>
          <w:color w:val="auto"/>
        </w:rPr>
        <w:tab/>
      </w:r>
      <w:hyperlink r:id="rId28">
        <w:r>
          <w:rPr>
            <w:rFonts w:ascii="Times New Roman" w:cs="Times New Roman" w:eastAsia="Times New Roman" w:hAnsi="Times New Roman"/>
            <w:sz w:val="18"/>
            <w:szCs w:val="18"/>
            <w:u w:val="single" w:color="auto"/>
            <w:color w:val="0D6EFD"/>
          </w:rPr>
          <w:t>2020 Equity Incentive Plan (incorporated by reference to Exhibit 4.3(a) to the Registration Statement on</w:t>
        </w:r>
      </w:hyperlink>
      <w:r>
        <w:rPr>
          <w:rFonts w:ascii="Times New Roman" w:cs="Times New Roman" w:eastAsia="Times New Roman" w:hAnsi="Times New Roman"/>
          <w:sz w:val="18"/>
          <w:szCs w:val="18"/>
          <w:u w:val="single" w:color="auto"/>
          <w:color w:val="0D6EFD"/>
        </w:rPr>
        <w:t xml:space="preserve"> </w:t>
      </w:r>
      <w:hyperlink r:id="rId28">
        <w:r>
          <w:rPr>
            <w:rFonts w:ascii="Times New Roman" w:cs="Times New Roman" w:eastAsia="Times New Roman" w:hAnsi="Times New Roman"/>
            <w:sz w:val="18"/>
            <w:szCs w:val="18"/>
            <w:u w:val="single" w:color="auto"/>
            <w:color w:val="0D6EFD"/>
          </w:rPr>
          <w:t>Form S-8 filed by the Registrant on June 10, 2021).</w:t>
        </w:r>
      </w:hyperlink>
    </w:p>
    <w:p>
      <w:pPr>
        <w:spacing w:after="0" w:line="1" w:lineRule="exact"/>
        <w:rPr>
          <w:sz w:val="20"/>
          <w:szCs w:val="20"/>
          <w:color w:val="auto"/>
        </w:rPr>
      </w:pPr>
    </w:p>
    <w:p>
      <w:pPr>
        <w:ind w:left="540"/>
        <w:spacing w:after="0"/>
        <w:tabs>
          <w:tab w:leader="none" w:pos="1200" w:val="left"/>
        </w:tabs>
        <w:rPr>
          <w:rFonts w:ascii="Times New Roman" w:cs="Times New Roman" w:eastAsia="Times New Roman" w:hAnsi="Times New Roman"/>
          <w:sz w:val="18"/>
          <w:szCs w:val="18"/>
          <w:u w:val="single" w:color="auto"/>
          <w:color w:val="0D6EFD"/>
        </w:rPr>
      </w:pPr>
      <w:r>
        <w:rPr>
          <w:rFonts w:ascii="Times New Roman" w:cs="Times New Roman" w:eastAsia="Times New Roman" w:hAnsi="Times New Roman"/>
          <w:sz w:val="18"/>
          <w:szCs w:val="18"/>
          <w:color w:val="auto"/>
        </w:rPr>
        <w:t>10.5*</w:t>
      </w:r>
      <w:r>
        <w:rPr>
          <w:sz w:val="20"/>
          <w:szCs w:val="20"/>
          <w:color w:val="auto"/>
        </w:rPr>
        <w:tab/>
      </w:r>
      <w:hyperlink r:id="rId29">
        <w:r>
          <w:rPr>
            <w:rFonts w:ascii="Times New Roman" w:cs="Times New Roman" w:eastAsia="Times New Roman" w:hAnsi="Times New Roman"/>
            <w:sz w:val="18"/>
            <w:szCs w:val="18"/>
            <w:u w:val="single" w:color="auto"/>
            <w:color w:val="0D6EFD"/>
          </w:rPr>
          <w:t>Form of Indemnification Agreement between with each of its directors and executive</w:t>
        </w:r>
      </w:hyperlink>
    </w:p>
    <w:p>
      <w:pPr>
        <w:spacing w:after="0" w:line="9" w:lineRule="exact"/>
        <w:rPr>
          <w:sz w:val="20"/>
          <w:szCs w:val="20"/>
          <w:color w:val="auto"/>
        </w:rPr>
      </w:pPr>
    </w:p>
    <w:p>
      <w:pPr>
        <w:ind w:left="1220" w:right="519"/>
        <w:spacing w:after="0" w:line="250" w:lineRule="auto"/>
        <w:rPr>
          <w:rFonts w:ascii="Times New Roman" w:cs="Times New Roman" w:eastAsia="Times New Roman" w:hAnsi="Times New Roman"/>
          <w:sz w:val="18"/>
          <w:szCs w:val="18"/>
          <w:u w:val="single" w:color="auto"/>
          <w:color w:val="0D6EFD"/>
        </w:rPr>
      </w:pPr>
      <w:hyperlink r:id="rId29">
        <w:r>
          <w:rPr>
            <w:rFonts w:ascii="Times New Roman" w:cs="Times New Roman" w:eastAsia="Times New Roman" w:hAnsi="Times New Roman"/>
            <w:sz w:val="18"/>
            <w:szCs w:val="18"/>
            <w:u w:val="single" w:color="auto"/>
            <w:color w:val="0D6EFD"/>
          </w:rPr>
          <w:t>officers (incorporated by reference to Exhibit 10.1 to the Quarterly Report on Form 10-Q filed by the</w:t>
        </w:r>
      </w:hyperlink>
      <w:r>
        <w:rPr>
          <w:rFonts w:ascii="Times New Roman" w:cs="Times New Roman" w:eastAsia="Times New Roman" w:hAnsi="Times New Roman"/>
          <w:sz w:val="18"/>
          <w:szCs w:val="18"/>
          <w:u w:val="single" w:color="auto"/>
          <w:color w:val="0D6EFD"/>
        </w:rPr>
        <w:t xml:space="preserve"> </w:t>
      </w:r>
      <w:hyperlink r:id="rId29">
        <w:r>
          <w:rPr>
            <w:rFonts w:ascii="Times New Roman" w:cs="Times New Roman" w:eastAsia="Times New Roman" w:hAnsi="Times New Roman"/>
            <w:sz w:val="18"/>
            <w:szCs w:val="18"/>
            <w:u w:val="single" w:color="auto"/>
            <w:color w:val="0D6EFD"/>
          </w:rPr>
          <w:t>Registrant on September 1, 2022).</w:t>
        </w:r>
      </w:hyperlink>
    </w:p>
    <w:p>
      <w:pPr>
        <w:spacing w:after="0" w:line="1" w:lineRule="exact"/>
        <w:rPr>
          <w:sz w:val="20"/>
          <w:szCs w:val="20"/>
          <w:color w:val="auto"/>
        </w:rPr>
      </w:pPr>
    </w:p>
    <w:p>
      <w:pPr>
        <w:ind w:left="1220" w:right="519" w:hanging="674"/>
        <w:spacing w:after="0" w:line="250" w:lineRule="auto"/>
        <w:tabs>
          <w:tab w:leader="none" w:pos="1200" w:val="left"/>
        </w:tabs>
        <w:rPr>
          <w:rFonts w:ascii="Times New Roman" w:cs="Times New Roman" w:eastAsia="Times New Roman" w:hAnsi="Times New Roman"/>
          <w:sz w:val="18"/>
          <w:szCs w:val="18"/>
          <w:color w:val="0D6EFD"/>
        </w:rPr>
      </w:pPr>
      <w:r>
        <w:rPr>
          <w:rFonts w:ascii="Times New Roman" w:cs="Times New Roman" w:eastAsia="Times New Roman" w:hAnsi="Times New Roman"/>
          <w:sz w:val="18"/>
          <w:szCs w:val="18"/>
          <w:color w:val="auto"/>
        </w:rPr>
        <w:t>10.6*</w:t>
      </w:r>
      <w:r>
        <w:rPr>
          <w:sz w:val="20"/>
          <w:szCs w:val="20"/>
          <w:color w:val="auto"/>
        </w:rPr>
        <w:tab/>
      </w:r>
      <w:hyperlink r:id="rId30">
        <w:r>
          <w:rPr>
            <w:rFonts w:ascii="Times New Roman" w:cs="Times New Roman" w:eastAsia="Times New Roman" w:hAnsi="Times New Roman"/>
            <w:sz w:val="18"/>
            <w:szCs w:val="18"/>
            <w:u w:val="single" w:color="auto"/>
            <w:color w:val="0D6EFD"/>
          </w:rPr>
          <w:t>Employment Agreement dated June 9, 2022 (incorporated by reference to Exhibit 99.2 to the Current</w:t>
        </w:r>
      </w:hyperlink>
      <w:r>
        <w:rPr>
          <w:rFonts w:ascii="Times New Roman" w:cs="Times New Roman" w:eastAsia="Times New Roman" w:hAnsi="Times New Roman"/>
          <w:sz w:val="18"/>
          <w:szCs w:val="18"/>
          <w:u w:val="single" w:color="auto"/>
          <w:color w:val="0D6EFD"/>
        </w:rPr>
        <w:t xml:space="preserve"> </w:t>
      </w:r>
      <w:hyperlink r:id="rId30">
        <w:r>
          <w:rPr>
            <w:rFonts w:ascii="Times New Roman" w:cs="Times New Roman" w:eastAsia="Times New Roman" w:hAnsi="Times New Roman"/>
            <w:sz w:val="18"/>
            <w:szCs w:val="18"/>
            <w:u w:val="single" w:color="auto"/>
            <w:color w:val="0D6EFD"/>
          </w:rPr>
          <w:t>Report on Form 8-K filed by the Registrant on June 10</w:t>
        </w:r>
        <w:r>
          <w:rPr>
            <w:rFonts w:ascii="Times New Roman" w:cs="Times New Roman" w:eastAsia="Times New Roman" w:hAnsi="Times New Roman"/>
            <w:sz w:val="18"/>
            <w:szCs w:val="18"/>
            <w:color w:val="0D6EFD"/>
            <w:highlight w:val="white"/>
          </w:rPr>
          <w:t>, 2022</w:t>
        </w:r>
        <w:r>
          <w:rPr>
            <w:rFonts w:ascii="Times New Roman" w:cs="Times New Roman" w:eastAsia="Times New Roman" w:hAnsi="Times New Roman"/>
            <w:sz w:val="18"/>
            <w:szCs w:val="18"/>
            <w:color w:val="0D6EFD"/>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-24765</wp:posOffset>
            </wp:positionV>
            <wp:extent cx="352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ind w:left="1220" w:right="439" w:hanging="674"/>
        <w:spacing w:after="0" w:line="273" w:lineRule="auto"/>
        <w:tabs>
          <w:tab w:leader="none" w:pos="1200" w:val="left"/>
        </w:tabs>
        <w:rPr>
          <w:rFonts w:ascii="Times New Roman" w:cs="Times New Roman" w:eastAsia="Times New Roman" w:hAnsi="Times New Roman"/>
          <w:sz w:val="17"/>
          <w:szCs w:val="17"/>
          <w:u w:val="single" w:color="auto"/>
          <w:color w:val="0D6EFD"/>
        </w:rPr>
      </w:pPr>
      <w:r>
        <w:rPr>
          <w:rFonts w:ascii="Times New Roman" w:cs="Times New Roman" w:eastAsia="Times New Roman" w:hAnsi="Times New Roman"/>
          <w:sz w:val="18"/>
          <w:szCs w:val="18"/>
          <w:color w:val="auto"/>
        </w:rPr>
        <w:t>10.7*</w:t>
      </w:r>
      <w:r>
        <w:rPr>
          <w:sz w:val="20"/>
          <w:szCs w:val="20"/>
          <w:color w:val="auto"/>
        </w:rPr>
        <w:tab/>
      </w:r>
      <w:hyperlink r:id="rId32">
        <w:r>
          <w:rPr>
            <w:rFonts w:ascii="Times New Roman" w:cs="Times New Roman" w:eastAsia="Times New Roman" w:hAnsi="Times New Roman"/>
            <w:sz w:val="17"/>
            <w:szCs w:val="17"/>
            <w:u w:val="single" w:color="auto"/>
            <w:color w:val="0D6EFD"/>
          </w:rPr>
          <w:t>Lease Agreement dated as of November 21, 1997, between Tede S.A. de C.V., a Mexican corporation,</w:t>
        </w:r>
      </w:hyperlink>
      <w:r>
        <w:rPr>
          <w:rFonts w:ascii="Times New Roman" w:cs="Times New Roman" w:eastAsia="Times New Roman" w:hAnsi="Times New Roman"/>
          <w:sz w:val="17"/>
          <w:szCs w:val="17"/>
          <w:u w:val="single" w:color="auto"/>
          <w:color w:val="0D6EFD"/>
        </w:rPr>
        <w:t xml:space="preserve"> </w:t>
      </w:r>
      <w:hyperlink r:id="rId32">
        <w:r>
          <w:rPr>
            <w:rFonts w:ascii="Times New Roman" w:cs="Times New Roman" w:eastAsia="Times New Roman" w:hAnsi="Times New Roman"/>
            <w:sz w:val="17"/>
            <w:szCs w:val="17"/>
            <w:u w:val="single" w:color="auto"/>
            <w:color w:val="0D6EFD"/>
          </w:rPr>
          <w:t>and Calavo de Mexico, S.A. de C.V., a Mexican corporation, including attached Guaranty of Calavo</w:t>
        </w:r>
      </w:hyperlink>
      <w:r>
        <w:rPr>
          <w:rFonts w:ascii="Times New Roman" w:cs="Times New Roman" w:eastAsia="Times New Roman" w:hAnsi="Times New Roman"/>
          <w:sz w:val="17"/>
          <w:szCs w:val="17"/>
          <w:u w:val="single" w:color="auto"/>
          <w:color w:val="0D6EFD"/>
        </w:rPr>
        <w:t xml:space="preserve"> </w:t>
      </w:r>
      <w:hyperlink r:id="rId32">
        <w:r>
          <w:rPr>
            <w:rFonts w:ascii="Times New Roman" w:cs="Times New Roman" w:eastAsia="Times New Roman" w:hAnsi="Times New Roman"/>
            <w:sz w:val="17"/>
            <w:szCs w:val="17"/>
            <w:u w:val="single" w:color="auto"/>
            <w:color w:val="0D6EFD"/>
          </w:rPr>
          <w:t>Growers of California dated December 16, 1996 (incorporated by reference to Exhibit 10.4 to the</w:t>
        </w:r>
      </w:hyperlink>
      <w:r>
        <w:rPr>
          <w:rFonts w:ascii="Times New Roman" w:cs="Times New Roman" w:eastAsia="Times New Roman" w:hAnsi="Times New Roman"/>
          <w:sz w:val="17"/>
          <w:szCs w:val="17"/>
          <w:u w:val="single" w:color="auto"/>
          <w:color w:val="0D6EFD"/>
        </w:rPr>
        <w:t xml:space="preserve"> </w:t>
      </w:r>
      <w:hyperlink r:id="rId32">
        <w:r>
          <w:rPr>
            <w:rFonts w:ascii="Times New Roman" w:cs="Times New Roman" w:eastAsia="Times New Roman" w:hAnsi="Times New Roman"/>
            <w:sz w:val="17"/>
            <w:szCs w:val="17"/>
            <w:u w:val="single" w:color="auto"/>
            <w:color w:val="0D6EFD"/>
          </w:rPr>
          <w:t>Registration Statement on Form S-4 (File No. 333-59418 filed by the Registrant on April 24, 2001)</w:t>
        </w:r>
      </w:hyperlink>
    </w:p>
    <w:p>
      <w:pPr>
        <w:spacing w:after="0" w:line="109" w:lineRule="exact"/>
        <w:rPr>
          <w:rFonts w:ascii="Times New Roman" w:cs="Times New Roman" w:eastAsia="Times New Roman" w:hAnsi="Times New Roman"/>
          <w:sz w:val="17"/>
          <w:szCs w:val="17"/>
          <w:u w:val="single" w:color="auto"/>
          <w:color w:val="0D6EFD"/>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rFonts w:ascii="Times New Roman" w:cs="Times New Roman" w:eastAsia="Times New Roman" w:hAnsi="Times New Roman"/>
          <w:sz w:val="17"/>
          <w:szCs w:val="17"/>
          <w:u w:val="single" w:color="auto"/>
          <w:color w:val="0D6EFD"/>
        </w:rPr>
      </w:pPr>
      <w:r>
        <w:rPr>
          <w:rFonts w:ascii="Times New Roman" w:cs="Times New Roman" w:eastAsia="Times New Roman" w:hAnsi="Times New Roman"/>
          <w:sz w:val="17"/>
          <w:szCs w:val="17"/>
          <w:u w:val="single" w:color="auto"/>
          <w:color w:val="0D6EFD"/>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tbl>
      <w:tblPr>
        <w:tblLayout w:type="fixed"/>
        <w:tblInd w:w="180" w:type="dxa"/>
        <w:tblCellMar>
          <w:top w:w="0" w:type="dxa"/>
          <w:left w:w="0" w:type="dxa"/>
          <w:bottom w:w="0" w:type="dxa"/>
          <w:right w:w="0" w:type="dxa"/>
        </w:tblCellMar>
      </w:tblPr>
      <w:tr>
        <w:trPr>
          <w:trHeight w:val="207"/>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w:t>
            </w:r>
          </w:p>
        </w:tc>
        <w:tc>
          <w:tcPr>
            <w:tcW w:w="7220" w:type="dxa"/>
            <w:vAlign w:val="bottom"/>
            <w:tcBorders>
              <w:bottom w:val="single" w:sz="8" w:color="0D6EFD"/>
            </w:tcBorders>
            <w:gridSpan w:val="18"/>
          </w:tcPr>
          <w:p>
            <w:pPr>
              <w:spacing w:after="0"/>
              <w:rPr>
                <w:rFonts w:ascii="Times New Roman" w:cs="Times New Roman" w:eastAsia="Times New Roman" w:hAnsi="Times New Roman"/>
                <w:sz w:val="18"/>
                <w:szCs w:val="18"/>
                <w:color w:val="0D6EFD"/>
                <w:w w:val="99"/>
              </w:rPr>
            </w:pPr>
            <w:hyperlink r:id="rId34">
              <w:r>
                <w:rPr>
                  <w:rFonts w:ascii="Times New Roman" w:cs="Times New Roman" w:eastAsia="Times New Roman" w:hAnsi="Times New Roman"/>
                  <w:sz w:val="18"/>
                  <w:szCs w:val="18"/>
                  <w:color w:val="0D6EFD"/>
                  <w:w w:val="99"/>
                </w:rPr>
                <w:t>Lease agreement dated as of February 15, 2005, between Limoneira Company and Calavo Growers,</w:t>
              </w:r>
            </w:hyperlink>
          </w:p>
        </w:tc>
        <w:tc>
          <w:tcPr>
            <w:tcW w:w="34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020" w:type="dxa"/>
            <w:vAlign w:val="bottom"/>
            <w:tcBorders>
              <w:bottom w:val="single" w:sz="8" w:color="0D6EFD"/>
            </w:tcBorders>
            <w:gridSpan w:val="13"/>
          </w:tcPr>
          <w:p>
            <w:pPr>
              <w:spacing w:after="0" w:line="196" w:lineRule="exact"/>
              <w:rPr>
                <w:rFonts w:ascii="Times New Roman" w:cs="Times New Roman" w:eastAsia="Times New Roman" w:hAnsi="Times New Roman"/>
                <w:sz w:val="18"/>
                <w:szCs w:val="18"/>
                <w:color w:val="0D6EFD"/>
                <w:w w:val="99"/>
              </w:rPr>
            </w:pPr>
            <w:hyperlink r:id="rId34">
              <w:r>
                <w:rPr>
                  <w:rFonts w:ascii="Times New Roman" w:cs="Times New Roman" w:eastAsia="Times New Roman" w:hAnsi="Times New Roman"/>
                  <w:sz w:val="18"/>
                  <w:szCs w:val="18"/>
                  <w:color w:val="0D6EFD"/>
                  <w:w w:val="99"/>
                </w:rPr>
                <w:t>Inc. (incorporated by reference to Exhibit 10.2 to the Quarterly Report on Form 10-Q filed by the</w:t>
              </w:r>
            </w:hyperlink>
          </w:p>
        </w:tc>
        <w:tc>
          <w:tcPr>
            <w:tcW w:w="54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000" w:type="dxa"/>
            <w:vAlign w:val="bottom"/>
            <w:tcBorders>
              <w:bottom w:val="single" w:sz="8" w:color="0D6EFD"/>
            </w:tcBorders>
            <w:gridSpan w:val="2"/>
          </w:tcPr>
          <w:p>
            <w:pPr>
              <w:spacing w:after="0" w:line="196" w:lineRule="exact"/>
              <w:rPr>
                <w:rFonts w:ascii="Times New Roman" w:cs="Times New Roman" w:eastAsia="Times New Roman" w:hAnsi="Times New Roman"/>
                <w:sz w:val="18"/>
                <w:szCs w:val="18"/>
                <w:color w:val="0D6EFD"/>
                <w:w w:val="99"/>
              </w:rPr>
            </w:pPr>
            <w:hyperlink r:id="rId34">
              <w:r>
                <w:rPr>
                  <w:rFonts w:ascii="Times New Roman" w:cs="Times New Roman" w:eastAsia="Times New Roman" w:hAnsi="Times New Roman"/>
                  <w:sz w:val="18"/>
                  <w:szCs w:val="18"/>
                  <w:color w:val="0D6EFD"/>
                  <w:w w:val="99"/>
                </w:rPr>
                <w:t>Registrant on June 9, 2005)</w:t>
              </w:r>
            </w:hyperlink>
          </w:p>
        </w:tc>
        <w:tc>
          <w:tcPr>
            <w:tcW w:w="5560" w:type="dxa"/>
            <w:vAlign w:val="bottom"/>
            <w:gridSpan w:val="21"/>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560" w:type="dxa"/>
            <w:vAlign w:val="bottom"/>
            <w:tcBorders>
              <w:bottom w:val="single" w:sz="8" w:color="0D6EFD"/>
            </w:tcBorders>
            <w:gridSpan w:val="23"/>
          </w:tcPr>
          <w:p>
            <w:pPr>
              <w:spacing w:after="0" w:line="196" w:lineRule="exact"/>
              <w:rPr>
                <w:rFonts w:ascii="Times New Roman" w:cs="Times New Roman" w:eastAsia="Times New Roman" w:hAnsi="Times New Roman"/>
                <w:sz w:val="18"/>
                <w:szCs w:val="18"/>
                <w:color w:val="0D6EFD"/>
                <w:w w:val="99"/>
              </w:rPr>
            </w:pPr>
            <w:hyperlink r:id="rId35">
              <w:r>
                <w:rPr>
                  <w:rFonts w:ascii="Times New Roman" w:cs="Times New Roman" w:eastAsia="Times New Roman" w:hAnsi="Times New Roman"/>
                  <w:sz w:val="18"/>
                  <w:szCs w:val="18"/>
                  <w:color w:val="0D6EFD"/>
                  <w:w w:val="99"/>
                </w:rPr>
                <w:t>2011 Management Incentive Plan of Calavo Growers, Inc. (incorporated by reference to Exhibit 10.18 to</w:t>
              </w:r>
            </w:hyperlink>
          </w:p>
        </w:tc>
      </w:tr>
      <w:tr>
        <w:trPr>
          <w:trHeight w:val="196"/>
        </w:trPr>
        <w:tc>
          <w:tcPr>
            <w:tcW w:w="102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D6EFD"/>
              </w:rPr>
            </w:pPr>
            <w:hyperlink r:id="rId35">
              <w:r>
                <w:rPr>
                  <w:rFonts w:ascii="Times New Roman" w:cs="Times New Roman" w:eastAsia="Times New Roman" w:hAnsi="Times New Roman"/>
                  <w:sz w:val="18"/>
                  <w:szCs w:val="18"/>
                  <w:color w:val="0D6EFD"/>
                </w:rPr>
                <w:t>the Annual Report on Form 10-K filed by the Registrant on January 14, 2011).</w:t>
              </w:r>
            </w:hyperlink>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D6EFD"/>
          </w:tcPr>
          <w:p>
            <w:pPr>
              <w:spacing w:after="0" w:line="20" w:lineRule="exact"/>
              <w:rPr>
                <w:sz w:val="1"/>
                <w:szCs w:val="1"/>
                <w:color w:val="auto"/>
              </w:rPr>
            </w:pPr>
          </w:p>
        </w:tc>
        <w:tc>
          <w:tcPr>
            <w:tcW w:w="1060" w:type="dxa"/>
            <w:vAlign w:val="bottom"/>
            <w:gridSpan w:val="2"/>
            <w:shd w:val="clear" w:color="auto" w:fill="0D6EFD"/>
          </w:tcPr>
          <w:p>
            <w:pPr>
              <w:spacing w:after="0" w:line="20" w:lineRule="exact"/>
              <w:rPr>
                <w:sz w:val="1"/>
                <w:szCs w:val="1"/>
                <w:color w:val="auto"/>
              </w:rPr>
            </w:pPr>
          </w:p>
        </w:tc>
        <w:tc>
          <w:tcPr>
            <w:tcW w:w="280" w:type="dxa"/>
            <w:vAlign w:val="bottom"/>
            <w:shd w:val="clear" w:color="auto" w:fill="0D6EFD"/>
          </w:tcPr>
          <w:p>
            <w:pPr>
              <w:spacing w:after="0" w:line="20" w:lineRule="exact"/>
              <w:rPr>
                <w:sz w:val="1"/>
                <w:szCs w:val="1"/>
                <w:color w:val="auto"/>
              </w:rPr>
            </w:pPr>
          </w:p>
        </w:tc>
        <w:tc>
          <w:tcPr>
            <w:tcW w:w="1700" w:type="dxa"/>
            <w:vAlign w:val="bottom"/>
            <w:shd w:val="clear" w:color="auto" w:fill="0D6EFD"/>
          </w:tcPr>
          <w:p>
            <w:pPr>
              <w:spacing w:after="0" w:line="20" w:lineRule="exact"/>
              <w:rPr>
                <w:sz w:val="1"/>
                <w:szCs w:val="1"/>
                <w:color w:val="auto"/>
              </w:rPr>
            </w:pPr>
          </w:p>
        </w:tc>
        <w:tc>
          <w:tcPr>
            <w:tcW w:w="340" w:type="dxa"/>
            <w:vAlign w:val="bottom"/>
            <w:shd w:val="clear" w:color="auto" w:fill="0D6EFD"/>
          </w:tcPr>
          <w:p>
            <w:pPr>
              <w:spacing w:after="0" w:line="20" w:lineRule="exact"/>
              <w:rPr>
                <w:sz w:val="1"/>
                <w:szCs w:val="1"/>
                <w:color w:val="auto"/>
              </w:rPr>
            </w:pPr>
          </w:p>
        </w:tc>
        <w:tc>
          <w:tcPr>
            <w:tcW w:w="380" w:type="dxa"/>
            <w:vAlign w:val="bottom"/>
            <w:shd w:val="clear" w:color="auto" w:fill="0D6EFD"/>
          </w:tcPr>
          <w:p>
            <w:pPr>
              <w:spacing w:after="0" w:line="20" w:lineRule="exact"/>
              <w:rPr>
                <w:sz w:val="1"/>
                <w:szCs w:val="1"/>
                <w:color w:val="auto"/>
              </w:rPr>
            </w:pPr>
          </w:p>
        </w:tc>
        <w:tc>
          <w:tcPr>
            <w:tcW w:w="420" w:type="dxa"/>
            <w:vAlign w:val="bottom"/>
            <w:shd w:val="clear" w:color="auto" w:fill="0D6EFD"/>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560" w:type="dxa"/>
            <w:vAlign w:val="bottom"/>
            <w:gridSpan w:val="23"/>
          </w:tcPr>
          <w:p>
            <w:pPr>
              <w:spacing w:after="0" w:line="196" w:lineRule="exact"/>
              <w:rPr>
                <w:rFonts w:ascii="Times New Roman" w:cs="Times New Roman" w:eastAsia="Times New Roman" w:hAnsi="Times New Roman"/>
                <w:sz w:val="18"/>
                <w:szCs w:val="18"/>
                <w:color w:val="0D6EFD"/>
              </w:rPr>
            </w:pPr>
            <w:hyperlink r:id="rId36">
              <w:r>
                <w:rPr>
                  <w:rFonts w:ascii="Times New Roman" w:cs="Times New Roman" w:eastAsia="Times New Roman" w:hAnsi="Times New Roman"/>
                  <w:sz w:val="18"/>
                  <w:szCs w:val="18"/>
                  <w:color w:val="0D6EFD"/>
                </w:rPr>
                <w:t>Seventh Amendment to Credit Agreement (incorporated by reference to Exhibit 10.1 to the Current</w:t>
              </w:r>
            </w:hyperlink>
          </w:p>
        </w:tc>
      </w:tr>
      <w:tr>
        <w:trPr>
          <w:trHeight w:val="196"/>
        </w:trPr>
        <w:tc>
          <w:tcPr>
            <w:tcW w:w="1020" w:type="dxa"/>
            <w:vAlign w:val="bottom"/>
          </w:tcPr>
          <w:p>
            <w:pPr>
              <w:spacing w:after="0"/>
              <w:rPr>
                <w:sz w:val="17"/>
                <w:szCs w:val="17"/>
                <w:color w:val="auto"/>
              </w:rPr>
            </w:pPr>
          </w:p>
        </w:tc>
        <w:tc>
          <w:tcPr>
            <w:tcW w:w="4860" w:type="dxa"/>
            <w:vAlign w:val="bottom"/>
            <w:tcBorders>
              <w:top w:val="single" w:sz="8" w:color="0D6EFD"/>
              <w:bottom w:val="single" w:sz="8" w:color="0D6EFD"/>
            </w:tcBorders>
            <w:gridSpan w:val="6"/>
          </w:tcPr>
          <w:p>
            <w:pPr>
              <w:spacing w:after="0" w:line="196" w:lineRule="exact"/>
              <w:rPr>
                <w:rFonts w:ascii="Times New Roman" w:cs="Times New Roman" w:eastAsia="Times New Roman" w:hAnsi="Times New Roman"/>
                <w:sz w:val="18"/>
                <w:szCs w:val="18"/>
                <w:color w:val="0D6EFD"/>
                <w:w w:val="99"/>
              </w:rPr>
            </w:pPr>
            <w:hyperlink r:id="rId36">
              <w:r>
                <w:rPr>
                  <w:rFonts w:ascii="Times New Roman" w:cs="Times New Roman" w:eastAsia="Times New Roman" w:hAnsi="Times New Roman"/>
                  <w:sz w:val="18"/>
                  <w:szCs w:val="18"/>
                  <w:color w:val="0D6EFD"/>
                  <w:w w:val="99"/>
                </w:rPr>
                <w:t>Report on Form 8-K filed by the Registrant on November 2, 2022).</w:t>
              </w:r>
            </w:hyperlink>
          </w:p>
        </w:tc>
        <w:tc>
          <w:tcPr>
            <w:tcW w:w="2300" w:type="dxa"/>
            <w:vAlign w:val="bottom"/>
            <w:tcBorders>
              <w:top w:val="single" w:sz="8" w:color="0D6EFD"/>
            </w:tcBorders>
            <w:gridSpan w:val="10"/>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260" w:type="dxa"/>
            <w:vAlign w:val="bottom"/>
            <w:tcBorders>
              <w:bottom w:val="single" w:sz="8" w:color="0D6EFD"/>
            </w:tcBorders>
            <w:gridSpan w:val="20"/>
          </w:tcPr>
          <w:p>
            <w:pPr>
              <w:spacing w:after="0" w:line="196" w:lineRule="exact"/>
              <w:rPr>
                <w:rFonts w:ascii="Times New Roman" w:cs="Times New Roman" w:eastAsia="Times New Roman" w:hAnsi="Times New Roman"/>
                <w:sz w:val="18"/>
                <w:szCs w:val="18"/>
                <w:color w:val="0D6EFD"/>
              </w:rPr>
            </w:pPr>
            <w:hyperlink r:id="rId37">
              <w:r>
                <w:rPr>
                  <w:rFonts w:ascii="Times New Roman" w:cs="Times New Roman" w:eastAsia="Times New Roman" w:hAnsi="Times New Roman"/>
                  <w:sz w:val="18"/>
                  <w:szCs w:val="18"/>
                  <w:color w:val="0D6EFD"/>
                </w:rPr>
                <w:t>Severance and Release Agreement of Brian Kocher (incorporated by reference to Exhibit 10.1 to the</w:t>
              </w:r>
            </w:hyperlink>
          </w:p>
        </w:tc>
        <w:tc>
          <w:tcPr>
            <w:tcW w:w="30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D6EFD"/>
              </w:rPr>
            </w:pPr>
            <w:hyperlink r:id="rId37">
              <w:r>
                <w:rPr>
                  <w:rFonts w:ascii="Times New Roman" w:cs="Times New Roman" w:eastAsia="Times New Roman" w:hAnsi="Times New Roman"/>
                  <w:sz w:val="18"/>
                  <w:szCs w:val="18"/>
                  <w:color w:val="0D6EFD"/>
                </w:rPr>
                <w:t>Quarterly Report on Form 10-Q filed by the Registrant on June 6, 2023).</w:t>
              </w:r>
            </w:hyperlink>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D6EFD"/>
          </w:tcPr>
          <w:p>
            <w:pPr>
              <w:spacing w:after="0" w:line="20" w:lineRule="exact"/>
              <w:rPr>
                <w:sz w:val="1"/>
                <w:szCs w:val="1"/>
                <w:color w:val="auto"/>
              </w:rPr>
            </w:pPr>
          </w:p>
        </w:tc>
        <w:tc>
          <w:tcPr>
            <w:tcW w:w="1060" w:type="dxa"/>
            <w:vAlign w:val="bottom"/>
            <w:gridSpan w:val="2"/>
            <w:shd w:val="clear" w:color="auto" w:fill="0D6EFD"/>
          </w:tcPr>
          <w:p>
            <w:pPr>
              <w:spacing w:after="0" w:line="20" w:lineRule="exact"/>
              <w:rPr>
                <w:sz w:val="1"/>
                <w:szCs w:val="1"/>
                <w:color w:val="auto"/>
              </w:rPr>
            </w:pPr>
          </w:p>
        </w:tc>
        <w:tc>
          <w:tcPr>
            <w:tcW w:w="280" w:type="dxa"/>
            <w:vAlign w:val="bottom"/>
            <w:shd w:val="clear" w:color="auto" w:fill="0D6EFD"/>
          </w:tcPr>
          <w:p>
            <w:pPr>
              <w:spacing w:after="0" w:line="20" w:lineRule="exact"/>
              <w:rPr>
                <w:sz w:val="1"/>
                <w:szCs w:val="1"/>
                <w:color w:val="auto"/>
              </w:rPr>
            </w:pPr>
          </w:p>
        </w:tc>
        <w:tc>
          <w:tcPr>
            <w:tcW w:w="1700" w:type="dxa"/>
            <w:vAlign w:val="bottom"/>
            <w:shd w:val="clear" w:color="auto" w:fill="0D6EFD"/>
          </w:tcPr>
          <w:p>
            <w:pPr>
              <w:spacing w:after="0" w:line="20" w:lineRule="exact"/>
              <w:rPr>
                <w:sz w:val="1"/>
                <w:szCs w:val="1"/>
                <w:color w:val="auto"/>
              </w:rPr>
            </w:pPr>
          </w:p>
        </w:tc>
        <w:tc>
          <w:tcPr>
            <w:tcW w:w="720" w:type="dxa"/>
            <w:vAlign w:val="bottom"/>
            <w:gridSpan w:val="2"/>
            <w:shd w:val="clear" w:color="auto" w:fill="0D6EFD"/>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240" w:type="dxa"/>
            <w:vAlign w:val="bottom"/>
            <w:tcBorders>
              <w:bottom w:val="single" w:sz="8" w:color="0D6EFD"/>
            </w:tcBorders>
            <w:gridSpan w:val="19"/>
          </w:tcPr>
          <w:p>
            <w:pPr>
              <w:spacing w:after="0" w:line="196" w:lineRule="exact"/>
              <w:rPr>
                <w:rFonts w:ascii="Times New Roman" w:cs="Times New Roman" w:eastAsia="Times New Roman" w:hAnsi="Times New Roman"/>
                <w:sz w:val="18"/>
                <w:szCs w:val="18"/>
                <w:color w:val="0D6EFD"/>
                <w:w w:val="99"/>
              </w:rPr>
            </w:pPr>
            <w:hyperlink r:id="rId38">
              <w:r>
                <w:rPr>
                  <w:rFonts w:ascii="Times New Roman" w:cs="Times New Roman" w:eastAsia="Times New Roman" w:hAnsi="Times New Roman"/>
                  <w:sz w:val="18"/>
                  <w:szCs w:val="18"/>
                  <w:color w:val="0D6EFD"/>
                  <w:w w:val="99"/>
                </w:rPr>
                <w:t>Employment Agreement of Lecil E. Cole (incorporated by reference to Exhibit 10.2 to the Quarterly</w:t>
              </w:r>
            </w:hyperlink>
          </w:p>
        </w:tc>
        <w:tc>
          <w:tcPr>
            <w:tcW w:w="32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520" w:type="dxa"/>
            <w:vAlign w:val="bottom"/>
            <w:tcBorders>
              <w:bottom w:val="single" w:sz="8" w:color="0D6EFD"/>
            </w:tcBorders>
            <w:gridSpan w:val="5"/>
          </w:tcPr>
          <w:p>
            <w:pPr>
              <w:spacing w:after="0" w:line="196" w:lineRule="exact"/>
              <w:rPr>
                <w:rFonts w:ascii="Times New Roman" w:cs="Times New Roman" w:eastAsia="Times New Roman" w:hAnsi="Times New Roman"/>
                <w:sz w:val="18"/>
                <w:szCs w:val="18"/>
                <w:color w:val="0D6EFD"/>
                <w:w w:val="99"/>
              </w:rPr>
            </w:pPr>
            <w:hyperlink r:id="rId38">
              <w:r>
                <w:rPr>
                  <w:rFonts w:ascii="Times New Roman" w:cs="Times New Roman" w:eastAsia="Times New Roman" w:hAnsi="Times New Roman"/>
                  <w:sz w:val="18"/>
                  <w:szCs w:val="18"/>
                  <w:color w:val="0D6EFD"/>
                  <w:w w:val="99"/>
                </w:rPr>
                <w:t>Report on Form 10-Q filed by the Registrant on June 6, 2023).</w:t>
              </w:r>
            </w:hyperlink>
          </w:p>
        </w:tc>
        <w:tc>
          <w:tcPr>
            <w:tcW w:w="3040" w:type="dxa"/>
            <w:vAlign w:val="bottom"/>
            <w:gridSpan w:val="18"/>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080" w:type="dxa"/>
            <w:vAlign w:val="bottom"/>
            <w:tcBorders>
              <w:bottom w:val="single" w:sz="8" w:color="0D6EFD"/>
            </w:tcBorders>
            <w:gridSpan w:val="14"/>
          </w:tcPr>
          <w:p>
            <w:pPr>
              <w:spacing w:after="0" w:line="196" w:lineRule="exact"/>
              <w:rPr>
                <w:rFonts w:ascii="Times New Roman" w:cs="Times New Roman" w:eastAsia="Times New Roman" w:hAnsi="Times New Roman"/>
                <w:sz w:val="18"/>
                <w:szCs w:val="18"/>
                <w:color w:val="0D6EFD"/>
                <w:w w:val="99"/>
              </w:rPr>
            </w:pPr>
            <w:hyperlink r:id="rId39">
              <w:r>
                <w:rPr>
                  <w:rFonts w:ascii="Times New Roman" w:cs="Times New Roman" w:eastAsia="Times New Roman" w:hAnsi="Times New Roman"/>
                  <w:sz w:val="18"/>
                  <w:szCs w:val="18"/>
                  <w:color w:val="0D6EFD"/>
                  <w:w w:val="99"/>
                </w:rPr>
                <w:t>Employment Agreement – Graciela Montgomery (incorporated by reference to Exhibit 10.3 to the</w:t>
              </w:r>
            </w:hyperlink>
          </w:p>
        </w:tc>
        <w:tc>
          <w:tcPr>
            <w:tcW w:w="48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D6EFD"/>
              </w:rPr>
            </w:pPr>
            <w:hyperlink r:id="rId39">
              <w:r>
                <w:rPr>
                  <w:rFonts w:ascii="Times New Roman" w:cs="Times New Roman" w:eastAsia="Times New Roman" w:hAnsi="Times New Roman"/>
                  <w:sz w:val="18"/>
                  <w:szCs w:val="18"/>
                  <w:color w:val="0D6EFD"/>
                </w:rPr>
                <w:t>Quarterly Report on Form 10-Q filed by the Registrant on June 6, 2023).</w:t>
              </w:r>
            </w:hyperlink>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D6EFD"/>
          </w:tcPr>
          <w:p>
            <w:pPr>
              <w:spacing w:after="0" w:line="20" w:lineRule="exact"/>
              <w:rPr>
                <w:sz w:val="1"/>
                <w:szCs w:val="1"/>
                <w:color w:val="auto"/>
              </w:rPr>
            </w:pPr>
          </w:p>
        </w:tc>
        <w:tc>
          <w:tcPr>
            <w:tcW w:w="1060" w:type="dxa"/>
            <w:vAlign w:val="bottom"/>
            <w:gridSpan w:val="2"/>
            <w:shd w:val="clear" w:color="auto" w:fill="0D6EFD"/>
          </w:tcPr>
          <w:p>
            <w:pPr>
              <w:spacing w:after="0" w:line="20" w:lineRule="exact"/>
              <w:rPr>
                <w:sz w:val="1"/>
                <w:szCs w:val="1"/>
                <w:color w:val="auto"/>
              </w:rPr>
            </w:pPr>
          </w:p>
        </w:tc>
        <w:tc>
          <w:tcPr>
            <w:tcW w:w="280" w:type="dxa"/>
            <w:vAlign w:val="bottom"/>
            <w:shd w:val="clear" w:color="auto" w:fill="0D6EFD"/>
          </w:tcPr>
          <w:p>
            <w:pPr>
              <w:spacing w:after="0" w:line="20" w:lineRule="exact"/>
              <w:rPr>
                <w:sz w:val="1"/>
                <w:szCs w:val="1"/>
                <w:color w:val="auto"/>
              </w:rPr>
            </w:pPr>
          </w:p>
        </w:tc>
        <w:tc>
          <w:tcPr>
            <w:tcW w:w="2420" w:type="dxa"/>
            <w:vAlign w:val="bottom"/>
            <w:gridSpan w:val="3"/>
            <w:shd w:val="clear" w:color="auto" w:fill="0D6EFD"/>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560" w:type="dxa"/>
            <w:vAlign w:val="bottom"/>
            <w:gridSpan w:val="23"/>
          </w:tcPr>
          <w:p>
            <w:pPr>
              <w:spacing w:after="0" w:line="196" w:lineRule="exact"/>
              <w:rPr>
                <w:rFonts w:ascii="Times New Roman" w:cs="Times New Roman" w:eastAsia="Times New Roman" w:hAnsi="Times New Roman"/>
                <w:sz w:val="18"/>
                <w:szCs w:val="18"/>
                <w:color w:val="0D6EFD"/>
              </w:rPr>
            </w:pPr>
            <w:hyperlink r:id="rId40">
              <w:r>
                <w:rPr>
                  <w:rFonts w:ascii="Times New Roman" w:cs="Times New Roman" w:eastAsia="Times New Roman" w:hAnsi="Times New Roman"/>
                  <w:sz w:val="18"/>
                  <w:szCs w:val="18"/>
                  <w:color w:val="0D6EFD"/>
                </w:rPr>
                <w:t>Form of Restricted Stock Unit Award Grant Notice (incorporated by reference to Exhibit 10.4 to the</w:t>
              </w:r>
            </w:hyperlink>
          </w:p>
        </w:tc>
      </w:tr>
      <w:tr>
        <w:trPr>
          <w:trHeight w:val="196"/>
        </w:trPr>
        <w:tc>
          <w:tcPr>
            <w:tcW w:w="1020" w:type="dxa"/>
            <w:vAlign w:val="bottom"/>
          </w:tcPr>
          <w:p>
            <w:pPr>
              <w:spacing w:after="0"/>
              <w:rPr>
                <w:sz w:val="17"/>
                <w:szCs w:val="17"/>
                <w:color w:val="auto"/>
              </w:rPr>
            </w:pPr>
          </w:p>
        </w:tc>
        <w:tc>
          <w:tcPr>
            <w:tcW w:w="7200" w:type="dxa"/>
            <w:vAlign w:val="bottom"/>
            <w:tcBorders>
              <w:top w:val="single" w:sz="8" w:color="0D6EFD"/>
            </w:tcBorders>
            <w:gridSpan w:val="17"/>
          </w:tcPr>
          <w:p>
            <w:pPr>
              <w:spacing w:after="0" w:line="196" w:lineRule="exact"/>
              <w:rPr>
                <w:rFonts w:ascii="Times New Roman" w:cs="Times New Roman" w:eastAsia="Times New Roman" w:hAnsi="Times New Roman"/>
                <w:sz w:val="18"/>
                <w:szCs w:val="18"/>
                <w:color w:val="0D6EFD"/>
              </w:rPr>
            </w:pPr>
            <w:hyperlink r:id="rId40">
              <w:r>
                <w:rPr>
                  <w:rFonts w:ascii="Times New Roman" w:cs="Times New Roman" w:eastAsia="Times New Roman" w:hAnsi="Times New Roman"/>
                  <w:sz w:val="18"/>
                  <w:szCs w:val="18"/>
                  <w:color w:val="0D6EFD"/>
                </w:rPr>
                <w:t>Quarterly Report on Form 10-Q filed by the Registrant on June 6, 2023).</w:t>
              </w:r>
            </w:hyperlink>
          </w:p>
        </w:tc>
        <w:tc>
          <w:tcPr>
            <w:tcW w:w="36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D6EFD"/>
          </w:tcPr>
          <w:p>
            <w:pPr>
              <w:spacing w:after="0" w:line="20" w:lineRule="exact"/>
              <w:rPr>
                <w:sz w:val="1"/>
                <w:szCs w:val="1"/>
                <w:color w:val="auto"/>
              </w:rPr>
            </w:pPr>
          </w:p>
        </w:tc>
        <w:tc>
          <w:tcPr>
            <w:tcW w:w="1060" w:type="dxa"/>
            <w:vAlign w:val="bottom"/>
            <w:gridSpan w:val="2"/>
            <w:shd w:val="clear" w:color="auto" w:fill="0D6EFD"/>
          </w:tcPr>
          <w:p>
            <w:pPr>
              <w:spacing w:after="0" w:line="20" w:lineRule="exact"/>
              <w:rPr>
                <w:sz w:val="1"/>
                <w:szCs w:val="1"/>
                <w:color w:val="auto"/>
              </w:rPr>
            </w:pPr>
          </w:p>
        </w:tc>
        <w:tc>
          <w:tcPr>
            <w:tcW w:w="280" w:type="dxa"/>
            <w:vAlign w:val="bottom"/>
            <w:shd w:val="clear" w:color="auto" w:fill="0D6EFD"/>
          </w:tcPr>
          <w:p>
            <w:pPr>
              <w:spacing w:after="0" w:line="20" w:lineRule="exact"/>
              <w:rPr>
                <w:sz w:val="1"/>
                <w:szCs w:val="1"/>
                <w:color w:val="auto"/>
              </w:rPr>
            </w:pPr>
          </w:p>
        </w:tc>
        <w:tc>
          <w:tcPr>
            <w:tcW w:w="2420" w:type="dxa"/>
            <w:vAlign w:val="bottom"/>
            <w:gridSpan w:val="3"/>
            <w:shd w:val="clear" w:color="auto" w:fill="0D6EFD"/>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020" w:type="dxa"/>
            <w:vAlign w:val="bottom"/>
            <w:tcBorders>
              <w:bottom w:val="single" w:sz="8" w:color="0D6EFD"/>
            </w:tcBorders>
            <w:gridSpan w:val="13"/>
          </w:tcPr>
          <w:p>
            <w:pPr>
              <w:spacing w:after="0" w:line="196" w:lineRule="exact"/>
              <w:rPr>
                <w:rFonts w:ascii="Times New Roman" w:cs="Times New Roman" w:eastAsia="Times New Roman" w:hAnsi="Times New Roman"/>
                <w:sz w:val="18"/>
                <w:szCs w:val="18"/>
                <w:color w:val="0D6EFD"/>
                <w:w w:val="99"/>
              </w:rPr>
            </w:pPr>
            <w:hyperlink r:id="rId41">
              <w:r>
                <w:rPr>
                  <w:rFonts w:ascii="Times New Roman" w:cs="Times New Roman" w:eastAsia="Times New Roman" w:hAnsi="Times New Roman"/>
                  <w:sz w:val="18"/>
                  <w:szCs w:val="18"/>
                  <w:color w:val="0D6EFD"/>
                  <w:w w:val="99"/>
                </w:rPr>
                <w:t>Credit Agreement, dated June 26, 2023, by and among the Company, certain of its subsidiaries as</w:t>
              </w:r>
            </w:hyperlink>
          </w:p>
        </w:tc>
        <w:tc>
          <w:tcPr>
            <w:tcW w:w="54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440" w:type="dxa"/>
            <w:vAlign w:val="bottom"/>
            <w:tcBorders>
              <w:bottom w:val="single" w:sz="8" w:color="0D6EFD"/>
            </w:tcBorders>
            <w:gridSpan w:val="22"/>
          </w:tcPr>
          <w:p>
            <w:pPr>
              <w:spacing w:after="0" w:line="196" w:lineRule="exact"/>
              <w:rPr>
                <w:rFonts w:ascii="Times New Roman" w:cs="Times New Roman" w:eastAsia="Times New Roman" w:hAnsi="Times New Roman"/>
                <w:sz w:val="18"/>
                <w:szCs w:val="18"/>
                <w:color w:val="0D6EFD"/>
                <w:w w:val="99"/>
              </w:rPr>
            </w:pPr>
            <w:hyperlink r:id="rId41">
              <w:r>
                <w:rPr>
                  <w:rFonts w:ascii="Times New Roman" w:cs="Times New Roman" w:eastAsia="Times New Roman" w:hAnsi="Times New Roman"/>
                  <w:sz w:val="18"/>
                  <w:szCs w:val="18"/>
                  <w:color w:val="0D6EFD"/>
                  <w:w w:val="99"/>
                </w:rPr>
                <w:t>guarantors and Wells Fargo Bank, National Association, as agent and lender (incorporated by reference</w:t>
              </w:r>
            </w:hyperlink>
          </w:p>
        </w:tc>
        <w:tc>
          <w:tcPr>
            <w:tcW w:w="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680" w:type="dxa"/>
            <w:vAlign w:val="bottom"/>
            <w:tcBorders>
              <w:bottom w:val="single" w:sz="8" w:color="0D6EFD"/>
            </w:tcBorders>
            <w:gridSpan w:val="12"/>
          </w:tcPr>
          <w:p>
            <w:pPr>
              <w:spacing w:after="0" w:line="196" w:lineRule="exact"/>
              <w:rPr>
                <w:rFonts w:ascii="Times New Roman" w:cs="Times New Roman" w:eastAsia="Times New Roman" w:hAnsi="Times New Roman"/>
                <w:sz w:val="18"/>
                <w:szCs w:val="18"/>
                <w:color w:val="0D6EFD"/>
                <w:w w:val="99"/>
              </w:rPr>
            </w:pPr>
            <w:hyperlink r:id="rId41">
              <w:r>
                <w:rPr>
                  <w:rFonts w:ascii="Times New Roman" w:cs="Times New Roman" w:eastAsia="Times New Roman" w:hAnsi="Times New Roman"/>
                  <w:sz w:val="18"/>
                  <w:szCs w:val="18"/>
                  <w:color w:val="0D6EFD"/>
                  <w:w w:val="99"/>
                </w:rPr>
                <w:t>to Exhibit 10.1 to the Current Report on Form 8-K filed by the Registrant on June 30, 2023).</w:t>
              </w:r>
            </w:hyperlink>
          </w:p>
        </w:tc>
        <w:tc>
          <w:tcPr>
            <w:tcW w:w="880" w:type="dxa"/>
            <w:vAlign w:val="bottom"/>
            <w:gridSpan w:val="11"/>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120" w:type="dxa"/>
            <w:vAlign w:val="bottom"/>
            <w:tcBorders>
              <w:bottom w:val="single" w:sz="8" w:color="0D6EFD"/>
            </w:tcBorders>
            <w:gridSpan w:val="15"/>
          </w:tcPr>
          <w:p>
            <w:pPr>
              <w:spacing w:after="0" w:line="196" w:lineRule="exact"/>
              <w:rPr>
                <w:rFonts w:ascii="Times New Roman" w:cs="Times New Roman" w:eastAsia="Times New Roman" w:hAnsi="Times New Roman"/>
                <w:sz w:val="18"/>
                <w:szCs w:val="18"/>
                <w:color w:val="0D6EFD"/>
                <w:w w:val="99"/>
              </w:rPr>
            </w:pPr>
            <w:hyperlink r:id="rId42">
              <w:r>
                <w:rPr>
                  <w:rFonts w:ascii="Times New Roman" w:cs="Times New Roman" w:eastAsia="Times New Roman" w:hAnsi="Times New Roman"/>
                  <w:sz w:val="18"/>
                  <w:szCs w:val="18"/>
                  <w:color w:val="0D6EFD"/>
                  <w:w w:val="99"/>
                </w:rPr>
                <w:t>Subsidiaries of Calavo Growers, Inc. (incorporated by reference to Exhibit 21.1 to the Registration</w:t>
              </w:r>
            </w:hyperlink>
          </w:p>
        </w:tc>
        <w:tc>
          <w:tcPr>
            <w:tcW w:w="44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280" w:type="dxa"/>
            <w:vAlign w:val="bottom"/>
            <w:tcBorders>
              <w:bottom w:val="single" w:sz="8" w:color="0D6EFD"/>
            </w:tcBorders>
            <w:gridSpan w:val="11"/>
          </w:tcPr>
          <w:p>
            <w:pPr>
              <w:spacing w:after="0" w:line="196" w:lineRule="exact"/>
              <w:rPr>
                <w:rFonts w:ascii="Times New Roman" w:cs="Times New Roman" w:eastAsia="Times New Roman" w:hAnsi="Times New Roman"/>
                <w:sz w:val="18"/>
                <w:szCs w:val="18"/>
                <w:color w:val="0D6EFD"/>
                <w:w w:val="99"/>
              </w:rPr>
            </w:pPr>
            <w:hyperlink r:id="rId42">
              <w:r>
                <w:rPr>
                  <w:rFonts w:ascii="Times New Roman" w:cs="Times New Roman" w:eastAsia="Times New Roman" w:hAnsi="Times New Roman"/>
                  <w:sz w:val="18"/>
                  <w:szCs w:val="18"/>
                  <w:color w:val="0D6EFD"/>
                  <w:w w:val="99"/>
                </w:rPr>
                <w:t>Statement on Form S-4 (File No. 333-59418 filed by the Registrant on April 24, 2001).</w:t>
              </w:r>
            </w:hyperlink>
          </w:p>
        </w:tc>
        <w:tc>
          <w:tcPr>
            <w:tcW w:w="1280" w:type="dxa"/>
            <w:vAlign w:val="bottom"/>
            <w:gridSpan w:val="12"/>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540" w:type="dxa"/>
            <w:vAlign w:val="bottom"/>
            <w:tcBorders>
              <w:bottom w:val="single" w:sz="8" w:color="0D6EFD"/>
            </w:tcBorders>
            <w:gridSpan w:val="3"/>
          </w:tcPr>
          <w:p>
            <w:pPr>
              <w:spacing w:after="0" w:line="196" w:lineRule="exact"/>
              <w:rPr>
                <w:rFonts w:ascii="Times New Roman" w:cs="Times New Roman" w:eastAsia="Times New Roman" w:hAnsi="Times New Roman"/>
                <w:sz w:val="18"/>
                <w:szCs w:val="18"/>
                <w:color w:val="0D6EFD"/>
                <w:w w:val="99"/>
              </w:rPr>
            </w:pPr>
            <w:hyperlink r:id="rId43">
              <w:r>
                <w:rPr>
                  <w:rFonts w:ascii="Times New Roman" w:cs="Times New Roman" w:eastAsia="Times New Roman" w:hAnsi="Times New Roman"/>
                  <w:sz w:val="18"/>
                  <w:szCs w:val="18"/>
                  <w:color w:val="0D6EFD"/>
                  <w:w w:val="99"/>
                </w:rPr>
                <w:t>Consent of Deloitte &amp; Touche LLP</w:t>
              </w:r>
            </w:hyperlink>
          </w:p>
        </w:tc>
        <w:tc>
          <w:tcPr>
            <w:tcW w:w="5020" w:type="dxa"/>
            <w:vAlign w:val="bottom"/>
            <w:gridSpan w:val="20"/>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or Rule 15d-14(a)</w:t>
            </w: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1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or Rule 15d-14(a)</w:t>
            </w:r>
          </w:p>
        </w:tc>
        <w:tc>
          <w:tcPr>
            <w:tcW w:w="40" w:type="dxa"/>
            <w:vAlign w:val="bottom"/>
            <w:tcBorders>
              <w:top w:val="single" w:sz="8" w:color="0000EE"/>
            </w:tcBorders>
          </w:tcPr>
          <w:p>
            <w:pPr>
              <w:spacing w:after="0"/>
              <w:rPr>
                <w:sz w:val="17"/>
                <w:szCs w:val="17"/>
                <w:color w:val="auto"/>
              </w:rPr>
            </w:pPr>
          </w:p>
        </w:tc>
        <w:tc>
          <w:tcPr>
            <w:tcW w:w="1360" w:type="dxa"/>
            <w:vAlign w:val="bottom"/>
            <w:gridSpan w:val="13"/>
          </w:tcPr>
          <w:p>
            <w:pPr>
              <w:spacing w:after="0"/>
              <w:rPr>
                <w:sz w:val="17"/>
                <w:szCs w:val="17"/>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7560" w:type="dxa"/>
            <w:vAlign w:val="bottom"/>
            <w:gridSpan w:val="23"/>
          </w:tcPr>
          <w:p>
            <w:pPr>
              <w:spacing w:after="0" w:line="196" w:lineRule="exact"/>
              <w:rPr>
                <w:rFonts w:ascii="Times New Roman" w:cs="Times New Roman" w:eastAsia="Times New Roman" w:hAnsi="Times New Roman"/>
                <w:sz w:val="18"/>
                <w:szCs w:val="18"/>
                <w:color w:val="0D6EFD"/>
              </w:rPr>
            </w:pPr>
            <w:hyperlink r:id="rId44">
              <w:r>
                <w:rPr>
                  <w:rFonts w:ascii="Times New Roman" w:cs="Times New Roman" w:eastAsia="Times New Roman" w:hAnsi="Times New Roman"/>
                  <w:sz w:val="18"/>
                  <w:szCs w:val="18"/>
                  <w:color w:val="0D6EFD"/>
                </w:rPr>
                <w:t>Certification of Chief Executive Officer and Chief Financial Officer of Periodic Report Pursuant to 18</w:t>
              </w:r>
            </w:hyperlink>
          </w:p>
        </w:tc>
      </w:tr>
      <w:tr>
        <w:trPr>
          <w:trHeight w:val="196"/>
        </w:trPr>
        <w:tc>
          <w:tcPr>
            <w:tcW w:w="1020" w:type="dxa"/>
            <w:vAlign w:val="bottom"/>
          </w:tcPr>
          <w:p>
            <w:pPr>
              <w:spacing w:after="0"/>
              <w:rPr>
                <w:sz w:val="17"/>
                <w:szCs w:val="17"/>
                <w:color w:val="auto"/>
              </w:rPr>
            </w:pPr>
          </w:p>
        </w:tc>
        <w:tc>
          <w:tcPr>
            <w:tcW w:w="7360" w:type="dxa"/>
            <w:vAlign w:val="bottom"/>
            <w:tcBorders>
              <w:top w:val="single" w:sz="8" w:color="0D6EFD"/>
            </w:tcBorders>
            <w:gridSpan w:val="21"/>
          </w:tcPr>
          <w:p>
            <w:pPr>
              <w:spacing w:after="0" w:line="196" w:lineRule="exact"/>
              <w:rPr>
                <w:rFonts w:ascii="Times New Roman" w:cs="Times New Roman" w:eastAsia="Times New Roman" w:hAnsi="Times New Roman"/>
                <w:sz w:val="18"/>
                <w:szCs w:val="18"/>
                <w:color w:val="0D6EFD"/>
              </w:rPr>
            </w:pPr>
            <w:hyperlink r:id="rId44">
              <w:r>
                <w:rPr>
                  <w:rFonts w:ascii="Times New Roman" w:cs="Times New Roman" w:eastAsia="Times New Roman" w:hAnsi="Times New Roman"/>
                  <w:sz w:val="18"/>
                  <w:szCs w:val="18"/>
                  <w:color w:val="0D6EFD"/>
                </w:rPr>
                <w:t>U.S.C. Section 1350</w:t>
              </w:r>
            </w:hyperlink>
          </w:p>
        </w:tc>
        <w:tc>
          <w:tcPr>
            <w:tcW w:w="20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D6EFD"/>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740" w:type="dxa"/>
            <w:vAlign w:val="bottom"/>
            <w:gridSpan w:val="19"/>
          </w:tcPr>
          <w:p>
            <w:pPr>
              <w:spacing w:after="0" w:line="20" w:lineRule="exact"/>
              <w:rPr>
                <w:sz w:val="1"/>
                <w:szCs w:val="1"/>
                <w:color w:val="auto"/>
              </w:rPr>
            </w:pPr>
          </w:p>
        </w:tc>
      </w:tr>
      <w:tr>
        <w:trPr>
          <w:trHeight w:val="196"/>
        </w:trPr>
        <w:tc>
          <w:tcPr>
            <w:tcW w:w="10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820" w:type="dxa"/>
            <w:vAlign w:val="bottom"/>
            <w:tcBorders>
              <w:bottom w:val="single" w:sz="8" w:color="0D6EFD"/>
            </w:tcBorders>
            <w:gridSpan w:val="4"/>
          </w:tcPr>
          <w:p>
            <w:pPr>
              <w:spacing w:after="0" w:line="196" w:lineRule="exact"/>
              <w:rPr>
                <w:rFonts w:ascii="Times New Roman" w:cs="Times New Roman" w:eastAsia="Times New Roman" w:hAnsi="Times New Roman"/>
                <w:sz w:val="18"/>
                <w:szCs w:val="18"/>
                <w:color w:val="0D6EFD"/>
                <w:w w:val="99"/>
              </w:rPr>
            </w:pPr>
            <w:hyperlink r:id="rId45">
              <w:r>
                <w:rPr>
                  <w:rFonts w:ascii="Times New Roman" w:cs="Times New Roman" w:eastAsia="Times New Roman" w:hAnsi="Times New Roman"/>
                  <w:sz w:val="18"/>
                  <w:szCs w:val="18"/>
                  <w:color w:val="0D6EFD"/>
                  <w:w w:val="99"/>
                </w:rPr>
                <w:t>Calavo Growers, Inc. Clawback Policy</w:t>
              </w:r>
            </w:hyperlink>
          </w:p>
        </w:tc>
        <w:tc>
          <w:tcPr>
            <w:tcW w:w="4740" w:type="dxa"/>
            <w:vAlign w:val="bottom"/>
            <w:gridSpan w:val="19"/>
          </w:tcPr>
          <w:p>
            <w:pPr>
              <w:spacing w:after="0"/>
              <w:rPr>
                <w:sz w:val="17"/>
                <w:szCs w:val="17"/>
                <w:color w:val="auto"/>
              </w:rPr>
            </w:pPr>
          </w:p>
        </w:tc>
      </w:tr>
      <w:tr>
        <w:trPr>
          <w:trHeight w:val="218"/>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101.INS#</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1020" w:type="dxa"/>
            <w:vAlign w:val="bottom"/>
          </w:tcPr>
          <w:p>
            <w:pPr>
              <w:spacing w:after="0"/>
              <w:rPr>
                <w:sz w:val="20"/>
                <w:szCs w:val="20"/>
                <w:color w:val="auto"/>
              </w:rPr>
            </w:pP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10"/>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101.SCH#</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1"/>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101.CAL#</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0"/>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101.DEF#</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0"/>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101.LAB#</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10"/>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101.PRE#</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63" w:lineRule="exact"/>
        <w:rPr>
          <w:sz w:val="20"/>
          <w:szCs w:val="20"/>
          <w:color w:val="auto"/>
        </w:rPr>
      </w:pPr>
    </w:p>
    <w:p>
      <w:pPr>
        <w:ind w:left="640" w:hanging="4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58" w:lineRule="exact"/>
        <w:rPr>
          <w:sz w:val="20"/>
          <w:szCs w:val="20"/>
          <w:color w:val="auto"/>
        </w:rPr>
      </w:pPr>
    </w:p>
    <w:p>
      <w:pPr>
        <w:ind w:left="640" w:right="339" w:hanging="413"/>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was previously furnished with our Annual Report on Form 10-K filed with the U.S. Securities and Exchange Commission on January 31, 2024.</w:t>
      </w:r>
    </w:p>
    <w:p>
      <w:pPr>
        <w:spacing w:after="0" w:line="94" w:lineRule="exact"/>
        <w:rPr>
          <w:sz w:val="20"/>
          <w:szCs w:val="20"/>
          <w:color w:val="auto"/>
        </w:rPr>
      </w:pPr>
    </w:p>
    <w:p>
      <w:pPr>
        <w:ind w:left="640" w:right="299" w:hanging="413"/>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or furnished with our Annual Report on Form 10-K filed with the U.S. Securities and Exchange Commission on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right="319" w:firstLine="243"/>
        <w:spacing w:after="0" w:line="31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December 13, 2024.</w:t>
      </w:r>
    </w:p>
    <w:p>
      <w:pPr>
        <w:spacing w:after="0" w:line="16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464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5715</wp:posOffset>
            </wp:positionV>
            <wp:extent cx="2305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Lecil Cole, certify that:</w:t>
      </w:r>
    </w:p>
    <w:p>
      <w:pPr>
        <w:spacing w:after="0" w:line="200" w:lineRule="exact"/>
        <w:rPr>
          <w:sz w:val="20"/>
          <w:szCs w:val="20"/>
          <w:color w:val="auto"/>
        </w:rPr>
      </w:pPr>
    </w:p>
    <w:p>
      <w:pPr>
        <w:spacing w:after="0" w:line="282"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Calavo Growers, Inc.; and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left="360" w:right="119" w:hanging="310"/>
        <w:spacing w:after="0" w:line="266"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13, 2024</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Lecil Cole</w:t>
            </w:r>
          </w:p>
        </w:tc>
      </w:tr>
      <w:tr>
        <w:trPr>
          <w:trHeight w:val="191"/>
        </w:trPr>
        <w:tc>
          <w:tcPr>
            <w:tcW w:w="44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Lecil Cole</w:t>
            </w:r>
          </w:p>
        </w:tc>
        <w:tc>
          <w:tcPr>
            <w:tcW w:w="2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4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44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 w:name="page9"/>
    <w:bookmarkEnd w:id="8"/>
    <w:p>
      <w:pPr>
        <w:ind w:left="80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Snyder, certify that:</w:t>
      </w:r>
    </w:p>
    <w:p>
      <w:pPr>
        <w:spacing w:after="0" w:line="200" w:lineRule="exact"/>
        <w:rPr>
          <w:sz w:val="20"/>
          <w:szCs w:val="20"/>
          <w:color w:val="auto"/>
        </w:rPr>
      </w:pPr>
    </w:p>
    <w:p>
      <w:pPr>
        <w:spacing w:after="0" w:line="282" w:lineRule="exact"/>
        <w:rPr>
          <w:sz w:val="20"/>
          <w:szCs w:val="20"/>
          <w:color w:val="auto"/>
        </w:rPr>
      </w:pPr>
    </w:p>
    <w:p>
      <w:pPr>
        <w:ind w:left="420" w:hanging="37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Calavo Growers, Inc.; and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420" w:right="179" w:hanging="370"/>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13, 2024</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c>
          <w:tcPr>
            <w:tcW w:w="2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7"/>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31" Type="http://schemas.openxmlformats.org/officeDocument/2006/relationships/image" Target="media/image4.png"/><Relationship Id="rId33" Type="http://schemas.openxmlformats.org/officeDocument/2006/relationships/image" Target="media/image5.png"/><Relationship Id="rId46" Type="http://schemas.openxmlformats.org/officeDocument/2006/relationships/image" Target="media/image6.png"/><Relationship Id="rId47" Type="http://schemas.openxmlformats.org/officeDocument/2006/relationships/image" Target="media/image7.png"/><Relationship Id="rId48" Type="http://schemas.openxmlformats.org/officeDocument/2006/relationships/image" Target="media/image8.png"/><Relationship Id="rId11" Type="http://schemas.openxmlformats.org/officeDocument/2006/relationships/hyperlink" Target="http://www.sec.gov/Archives/edgar/data/1133470/000095014801500411/v70569ex2-1.txt" TargetMode="External"/><Relationship Id="rId12" Type="http://schemas.openxmlformats.org/officeDocument/2006/relationships/hyperlink" Target="http://www.sec.gov/Archives/edgar/data/1133470/000095014804000129/v95808exv2w2.txt" TargetMode="External"/><Relationship Id="rId13" Type="http://schemas.openxmlformats.org/officeDocument/2006/relationships/hyperlink" Target="http://www.sec.gov/Archives/edgar/data/1133470/000095012905006084/v09841exv10w1.htm" TargetMode="External"/><Relationship Id="rId14" Type="http://schemas.openxmlformats.org/officeDocument/2006/relationships/hyperlink" Target="http://www.sec.gov/Archives/edgar/data/1133470/000095012408002518/v41085exv2w1.htm" TargetMode="External"/><Relationship Id="rId15" Type="http://schemas.openxmlformats.org/officeDocument/2006/relationships/hyperlink" Target="http://www.sec.gov/Archives/edgar/data/1133470/000095012310023590/v55403exv2w1.htm" TargetMode="External"/><Relationship Id="rId16" Type="http://schemas.openxmlformats.org/officeDocument/2006/relationships/hyperlink" Target="http://www.sec.gov/Archives/edgar/data/1133470/000095012310023590/v55403exv10w3.htm" TargetMode="External"/><Relationship Id="rId17" Type="http://schemas.openxmlformats.org/officeDocument/2006/relationships/hyperlink" Target="http://www.sec.gov/Archives/edgar/data/1133470/000119312512008063/d280367dex21.htm" TargetMode="External"/><Relationship Id="rId18" Type="http://schemas.openxmlformats.org/officeDocument/2006/relationships/hyperlink" Target="http://www.sec.gov/Archives/edgar/data/1133470/000119312512454567/d435941dex101.htm" TargetMode="External"/><Relationship Id="rId19" Type="http://schemas.openxmlformats.org/officeDocument/2006/relationships/hyperlink" Target="http://www.sec.gov/Archives/edgar/data/1133470/000119312513357144/d592266dex101.htm" TargetMode="External"/><Relationship Id="rId20" Type="http://schemas.openxmlformats.org/officeDocument/2006/relationships/hyperlink" Target="http://www.sec.gov/Archives/edgar/data/1133470/000119312513360154/d576441dex102.htm" TargetMode="External"/><Relationship Id="rId21" Type="http://schemas.openxmlformats.org/officeDocument/2006/relationships/hyperlink" Target="http://www.sec.gov/Archives/edgar/data/1133470/000119312513455104/d636762dex101.htm" TargetMode="External"/><Relationship Id="rId22" Type="http://schemas.openxmlformats.org/officeDocument/2006/relationships/hyperlink" Target="http://www.sec.gov/Archives/edgar/data/1133470/000095014801500411/v70569ex3-1.txt" TargetMode="External"/><Relationship Id="rId23" Type="http://schemas.openxmlformats.org/officeDocument/2006/relationships/hyperlink" Target="https://www.sec.gov/Archives/edgar/data/0001133470/000155837022014140/cvgw-20220731xex3d1.htm" TargetMode="External"/><Relationship Id="rId24" Type="http://schemas.openxmlformats.org/officeDocument/2006/relationships/hyperlink" Target="https://www.sec.gov/Archives/edgar/data/1133470/000155837020003374/ex-4d1.htm" TargetMode="External"/><Relationship Id="rId25" Type="http://schemas.openxmlformats.org/officeDocument/2006/relationships/hyperlink" Target="https://www.sec.gov/Archives/edgar/data/1133470/000095014803000098/v87183exv10w1.htm" TargetMode="External"/><Relationship Id="rId26" Type="http://schemas.openxmlformats.org/officeDocument/2006/relationships/hyperlink" Target="https://www.sec.gov/Archives/edgar/data/1133470/000155837022003566/cvgw-20220131xex10d1.htm" TargetMode="External"/><Relationship Id="rId27" Type="http://schemas.openxmlformats.org/officeDocument/2006/relationships/hyperlink" Target="https://www.sec.gov/Archives/edgar/data/1133470/000155837022003566/cvgw-20220131xex10d2.htm" TargetMode="External"/><Relationship Id="rId28" Type="http://schemas.openxmlformats.org/officeDocument/2006/relationships/hyperlink" Target="https://www.sec.gov/Archives/edgar/data/1133470/000155837021008126/cvgw-20210430xex10d1.htm" TargetMode="External"/><Relationship Id="rId29" Type="http://schemas.openxmlformats.org/officeDocument/2006/relationships/hyperlink" Target="https://www.sec.gov/Archives/edgar/data/1133470/000155837022009683/cvgw-20220430xex10d2.htm" TargetMode="External"/><Relationship Id="rId30" Type="http://schemas.openxmlformats.org/officeDocument/2006/relationships/hyperlink" Target="https://www.sec.gov/Archives/edgar/data/1133470/000155837022009945/cvgw-20220609xex99d2.htm" TargetMode="External"/><Relationship Id="rId32" Type="http://schemas.openxmlformats.org/officeDocument/2006/relationships/hyperlink" Target="https://www.sec.gov/Archives/edgar/data/1133470/000095014801500411/v70569ex10-4.txt" TargetMode="External"/><Relationship Id="rId34" Type="http://schemas.openxmlformats.org/officeDocument/2006/relationships/hyperlink" Target="https://www.sec.gov/Archives/edgar/data/1133470/000095012905006084/v09841exv10w2.htm" TargetMode="External"/><Relationship Id="rId35" Type="http://schemas.openxmlformats.org/officeDocument/2006/relationships/hyperlink" Target="https://www.sec.gov/Archives/edgar/data/1133470/000095012311002615/v58339exv10w18.htm" TargetMode="External"/><Relationship Id="rId36" Type="http://schemas.openxmlformats.org/officeDocument/2006/relationships/hyperlink" Target="https://www.sec.gov/Archives/edgar/data/1133470/000155837022015916/cvgw-20221101xex10d1.htm" TargetMode="External"/><Relationship Id="rId37" Type="http://schemas.openxmlformats.org/officeDocument/2006/relationships/hyperlink" Target="https://www.sec.gov/Archives/edgar/data/1133470/000155837023010838/cvgw-20230430xex10d1.htm" TargetMode="External"/><Relationship Id="rId38" Type="http://schemas.openxmlformats.org/officeDocument/2006/relationships/hyperlink" Target="https://www.sec.gov/Archives/edgar/data/1133470/000155837023010838/cvgw-20230430xex10d2.htm" TargetMode="External"/><Relationship Id="rId39" Type="http://schemas.openxmlformats.org/officeDocument/2006/relationships/hyperlink" Target="https://www.sec.gov/Archives/edgar/data/1133470/000155837023010838/cvgw-20230430xex10d3.htm" TargetMode="External"/><Relationship Id="rId40" Type="http://schemas.openxmlformats.org/officeDocument/2006/relationships/hyperlink" Target="https://www.sec.gov/Archives/edgar/data/1133470/000155837023010838/cvgw-20230430xex10d4.htm" TargetMode="External"/><Relationship Id="rId41" Type="http://schemas.openxmlformats.org/officeDocument/2006/relationships/hyperlink" Target="https://www.sec.gov/Archives/edgar/data/1133470/000155837023011642/cvgw-20230626xex10d1.htm" TargetMode="External"/><Relationship Id="rId42" Type="http://schemas.openxmlformats.org/officeDocument/2006/relationships/hyperlink" Target="http://www.sec.gov/Archives/edgar/data/1133470/000095014801500411/v70569ex21-1.txt" TargetMode="External"/><Relationship Id="rId43" Type="http://schemas.openxmlformats.org/officeDocument/2006/relationships/hyperlink" Target="https://www.sec.gov/Archives/edgar/data/1133470/000155837024000671/cvgw-20231031xex23d1.htm" TargetMode="External"/><Relationship Id="rId44" Type="http://schemas.openxmlformats.org/officeDocument/2006/relationships/hyperlink" Target="https://www.sec.gov/Archives/edgar/data/1133470/000155837024000671/cvgw-20231031xex32.htm" TargetMode="External"/><Relationship Id="rId45" Type="http://schemas.openxmlformats.org/officeDocument/2006/relationships/hyperlink" Target="https://www.sec.gov/Archives/edgar/data/1133470/000155837024000671/cvgw-202310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2024-12-13T16:22:57Z</dcterms:created>
  <dcterms:modified xsi:type="dcterms:W3CDTF">2024-12-13T16:22:57Z</dcterms:modified>
</cp:coreProperties>
</file>