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v19568e8vk.htm"/>
        <w:bookmarkStart w:id="1" w:name="ksv19568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April 12,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r>
          </w:p>
        </w:tc>
      </w:tr>
      <w:tr>
        <w:trPr/>
        <w:tc>
          <w:tcPr>
            <w:tcW w:w="3062" w:type="dxa"/>
            <w:tcBorders/>
            <w:shd w:fill="auto" w:val="clear"/>
          </w:tcPr>
          <w:p>
            <w:pPr>
              <w:pStyle w:val="TableContents"/>
              <w:spacing w:before="0" w:after="283"/>
              <w:jc w:val="center"/>
              <w:rPr/>
            </w:pPr>
            <w:r>
              <w:rPr/>
              <w:t xml:space="preserve">Jurisdiction of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Identification No.)</w:t>
            </w:r>
          </w:p>
        </w:tc>
      </w:tr>
      <w:tr>
        <w:trPr/>
        <w:tc>
          <w:tcPr>
            <w:tcW w:w="3062" w:type="dxa"/>
            <w:tcBorders/>
            <w:shd w:fill="auto" w:val="clear"/>
          </w:tcPr>
          <w:p>
            <w:pPr>
              <w:pStyle w:val="TableContents"/>
              <w:spacing w:before="0" w:after="283"/>
              <w:jc w:val="center"/>
              <w:rPr/>
            </w:pPr>
            <w:r>
              <w:rPr/>
              <w:t>Incorporation)</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24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24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66"/>
        <w:gridCol w:w="415"/>
        <w:gridCol w:w="313"/>
        <w:gridCol w:w="313"/>
        <w:gridCol w:w="313"/>
        <w:gridCol w:w="313"/>
        <w:gridCol w:w="313"/>
        <w:gridCol w:w="313"/>
        <w:gridCol w:w="6625"/>
      </w:tblGrid>
      <w:tr>
        <w:trPr/>
        <w:tc>
          <w:tcPr>
            <w:tcW w:w="26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625" w:type="dxa"/>
            <w:tcBorders/>
            <w:shd w:fill="auto" w:val="clear"/>
            <w:vAlign w:val="center"/>
          </w:tcPr>
          <w:p>
            <w:pPr>
              <w:pStyle w:val="TableContents"/>
              <w:spacing w:before="0" w:after="283"/>
              <w:rPr>
                <w:sz w:val="4"/>
                <w:szCs w:val="4"/>
              </w:rPr>
            </w:pPr>
            <w:r>
              <w:rPr>
                <w:sz w:val="4"/>
                <w:szCs w:val="4"/>
              </w:rPr>
            </w:r>
          </w:p>
        </w:tc>
      </w:tr>
      <w:tr>
        <w:trPr/>
        <w:tc>
          <w:tcPr>
            <w:tcW w:w="266" w:type="dxa"/>
            <w:tcBorders/>
            <w:shd w:fill="auto" w:val="clear"/>
            <w:vAlign w:val="center"/>
          </w:tcPr>
          <w:p>
            <w:pPr>
              <w:pStyle w:val="TableContents"/>
              <w:spacing w:before="0" w:after="283"/>
              <w:rPr>
                <w:sz w:val="4"/>
                <w:szCs w:val="4"/>
              </w:rPr>
            </w:pPr>
            <w:r>
              <w:rPr>
                <w:sz w:val="4"/>
                <w:szCs w:val="4"/>
              </w:rPr>
            </w:r>
          </w:p>
        </w:tc>
        <w:tc>
          <w:tcPr>
            <w:tcW w:w="8918" w:type="dxa"/>
            <w:gridSpan w:val="8"/>
            <w:tcBorders/>
            <w:shd w:fill="auto" w:val="clear"/>
            <w:vAlign w:val="center"/>
          </w:tcPr>
          <w:p>
            <w:pPr>
              <w:pStyle w:val="TableContents"/>
              <w:spacing w:before="0" w:after="283"/>
              <w:rPr/>
            </w:pPr>
            <w:hyperlink w:anchor="000">
              <w:r>
                <w:rPr>
                  <w:rStyle w:val="InternetLink"/>
                </w:rPr>
                <w:t>Item 1.01. Entry into a Material Definite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Definite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February 23, 2006, the Board of Directors of Calavo Growers, Inc. (Calavo) established Calavos 2006 Management Incentive Plan Program (the MIP Program). The purposes of the MIP Program are to motivate employees, including executive officers, by tying compensation to performance, reward exceptional performance that supports overall Calavo objectives, and attract and retain top performing employees. The 2006 MIP Program objectives primarily relate to the achievement of certain net income. Achievement of such net income will determine the amount of cash bonus paid to the executive officers, with the following limitations: 1) Calavo must earn at least $5.0 million in net income before a payout will be awarded under the MIP Program, 2) the award for executive officers is limited to a payout cap of 150% of their base salary, 3) Lee Coles MIP payout cannot exceed his other compensation for the 2005-2006 fiscal year, and 4) total compensation awarded to any individual under such program cannot exceed $1.0 million for fiscal year 2005-2006. Target bonus opportunities, as a percentage of net income, vary from officer to officer.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bonus program noted above, Lee Cole received a $150,000 stay-bonus on March 7, 2006, for the year March 1, 2006 through February 28, 2007, and will receive another $150,000 stay-bonus, due and payable on March 1, 2007, for the year March 1, 2007 through February 28, 2008.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3583"/>
        <w:gridCol w:w="682"/>
        <w:gridCol w:w="821"/>
        <w:gridCol w:w="4651"/>
        <w:gridCol w:w="468"/>
      </w:tblGrid>
      <w:tr>
        <w:trPr/>
        <w:tc>
          <w:tcPr>
            <w:tcW w:w="3583"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rPr/>
            </w:pPr>
            <w:r>
              <w:rPr/>
              <w:t> </w:t>
            </w:r>
          </w:p>
        </w:tc>
        <w:tc>
          <w:tcPr>
            <w:tcW w:w="4651"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r>
      <w:tr>
        <w:trPr/>
        <w:tc>
          <w:tcPr>
            <w:tcW w:w="3583" w:type="dxa"/>
            <w:tcBorders/>
            <w:shd w:fill="auto" w:val="clear"/>
          </w:tcPr>
          <w:p>
            <w:pPr>
              <w:pStyle w:val="TableContents"/>
              <w:spacing w:before="0" w:after="283"/>
              <w:jc w:val="left"/>
              <w:rPr/>
            </w:pPr>
            <w:r>
              <w:rPr/>
              <w:t> </w:t>
            </w:r>
          </w:p>
        </w:tc>
        <w:tc>
          <w:tcPr>
            <w:tcW w:w="6154" w:type="dxa"/>
            <w:gridSpan w:val="3"/>
            <w:tcBorders/>
            <w:shd w:fill="auto" w:val="clear"/>
            <w:vAlign w:val="center"/>
          </w:tcPr>
          <w:p>
            <w:pPr>
              <w:pStyle w:val="TableContents"/>
              <w:spacing w:before="0" w:after="283"/>
              <w:jc w:val="left"/>
              <w:rPr/>
            </w:pPr>
            <w:r>
              <w:rPr/>
              <w:t>Calavo Growers, Inc.  </w:t>
            </w:r>
          </w:p>
        </w:tc>
        <w:tc>
          <w:tcPr>
            <w:tcW w:w="468" w:type="dxa"/>
            <w:tcBorders/>
            <w:shd w:fill="auto" w:val="clear"/>
            <w:vAlign w:val="center"/>
          </w:tcPr>
          <w:p>
            <w:pPr>
              <w:pStyle w:val="TableContents"/>
              <w:spacing w:before="0" w:after="283"/>
              <w:rPr/>
            </w:pPr>
            <w:r>
              <w:rPr/>
              <w:t> </w:t>
            </w:r>
          </w:p>
        </w:tc>
      </w:tr>
      <w:tr>
        <w:trPr/>
        <w:tc>
          <w:tcPr>
            <w:tcW w:w="3583" w:type="dxa"/>
            <w:tcBorders/>
            <w:shd w:fill="auto" w:val="clear"/>
          </w:tcPr>
          <w:p>
            <w:pPr>
              <w:pStyle w:val="TableContents"/>
              <w:spacing w:before="0" w:after="283"/>
              <w:jc w:val="left"/>
              <w:rPr/>
            </w:pPr>
            <w:r>
              <w:rPr/>
              <w:t>April 12, 2006</w:t>
            </w:r>
          </w:p>
        </w:tc>
        <w:tc>
          <w:tcPr>
            <w:tcW w:w="6154" w:type="dxa"/>
            <w:gridSpan w:val="3"/>
            <w:tcBorders/>
            <w:shd w:fill="auto" w:val="clear"/>
            <w:vAlign w:val="center"/>
          </w:tcPr>
          <w:p>
            <w:pPr>
              <w:pStyle w:val="TableContents"/>
              <w:spacing w:before="0" w:after="283"/>
              <w:jc w:val="left"/>
              <w:rPr/>
            </w:pPr>
            <w:r>
              <w:rPr/>
              <w:t xml:space="preserve">  </w:t>
            </w:r>
          </w:p>
        </w:tc>
        <w:tc>
          <w:tcPr>
            <w:tcW w:w="468" w:type="dxa"/>
            <w:tcBorders/>
            <w:shd w:fill="auto" w:val="clear"/>
            <w:vAlign w:val="center"/>
          </w:tcPr>
          <w:p>
            <w:pPr>
              <w:pStyle w:val="TableContents"/>
              <w:spacing w:before="0" w:after="283"/>
              <w:rPr/>
            </w:pPr>
            <w:r>
              <w:rPr/>
              <w:t> </w:t>
            </w:r>
          </w:p>
        </w:tc>
      </w:tr>
      <w:tr>
        <w:trPr/>
        <w:tc>
          <w:tcPr>
            <w:tcW w:w="3583" w:type="dxa"/>
            <w:tcBorders/>
            <w:shd w:fill="auto" w:val="clear"/>
            <w:vAlign w:val="center"/>
          </w:tcPr>
          <w:p>
            <w:pPr>
              <w:pStyle w:val="TableContents"/>
              <w:spacing w:before="0" w:after="283"/>
              <w:jc w:val="left"/>
              <w:rPr/>
            </w:pPr>
            <w:r>
              <w:rPr/>
              <w:t> </w:t>
            </w:r>
          </w:p>
        </w:tc>
        <w:tc>
          <w:tcPr>
            <w:tcW w:w="682" w:type="dxa"/>
            <w:tcBorders/>
            <w:shd w:fill="auto" w:val="clear"/>
          </w:tcPr>
          <w:p>
            <w:pPr>
              <w:pStyle w:val="TableContents"/>
              <w:spacing w:before="0" w:after="283"/>
              <w:rPr/>
            </w:pPr>
            <w:r>
              <w:rPr/>
              <w:t>By:  </w:t>
            </w:r>
          </w:p>
        </w:tc>
        <w:tc>
          <w:tcPr>
            <w:tcW w:w="5472"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468" w:type="dxa"/>
            <w:tcBorders/>
            <w:shd w:fill="auto" w:val="clear"/>
            <w:vAlign w:val="center"/>
          </w:tcPr>
          <w:p>
            <w:pPr>
              <w:pStyle w:val="TableContents"/>
              <w:spacing w:before="0" w:after="283"/>
              <w:rPr/>
            </w:pPr>
            <w:r>
              <w:rPr/>
              <w:t> </w:t>
            </w:r>
          </w:p>
        </w:tc>
      </w:tr>
      <w:tr>
        <w:trPr/>
        <w:tc>
          <w:tcPr>
            <w:tcW w:w="3583" w:type="dxa"/>
            <w:tcBorders/>
            <w:shd w:fill="auto" w:val="clear"/>
            <w:vAlign w:val="center"/>
          </w:tcPr>
          <w:p>
            <w:pPr>
              <w:pStyle w:val="TableContents"/>
              <w:spacing w:before="0" w:after="283"/>
              <w:jc w:val="left"/>
              <w:rPr/>
            </w:pPr>
            <w:r>
              <w:rPr/>
              <w:t> </w:t>
            </w:r>
          </w:p>
        </w:tc>
        <w:tc>
          <w:tcPr>
            <w:tcW w:w="682" w:type="dxa"/>
            <w:tcBorders/>
            <w:shd w:fill="auto" w:val="clear"/>
            <w:vAlign w:val="center"/>
          </w:tcPr>
          <w:p>
            <w:pPr>
              <w:pStyle w:val="TableContents"/>
              <w:spacing w:before="0" w:after="283"/>
              <w:rPr/>
            </w:pPr>
            <w:r>
              <w:rPr/>
              <w:t> </w:t>
            </w:r>
          </w:p>
        </w:tc>
        <w:tc>
          <w:tcPr>
            <w:tcW w:w="5472" w:type="dxa"/>
            <w:gridSpan w:val="2"/>
            <w:tcBorders/>
            <w:shd w:fill="auto" w:val="clear"/>
            <w:vAlign w:val="center"/>
          </w:tcPr>
          <w:p>
            <w:pPr>
              <w:pStyle w:val="TableContents"/>
              <w:spacing w:before="0" w:after="283"/>
              <w:jc w:val="left"/>
              <w:rPr/>
            </w:pPr>
            <w:r>
              <w:rPr/>
              <w:t>Lecil E. Cole </w:t>
            </w:r>
          </w:p>
        </w:tc>
        <w:tc>
          <w:tcPr>
            <w:tcW w:w="468" w:type="dxa"/>
            <w:tcBorders/>
            <w:shd w:fill="auto" w:val="clear"/>
            <w:vAlign w:val="center"/>
          </w:tcPr>
          <w:p>
            <w:pPr>
              <w:pStyle w:val="TableContents"/>
              <w:spacing w:before="0" w:after="283"/>
              <w:rPr/>
            </w:pPr>
            <w:r>
              <w:rPr/>
              <w:t> </w:t>
            </w:r>
          </w:p>
        </w:tc>
      </w:tr>
      <w:tr>
        <w:trPr/>
        <w:tc>
          <w:tcPr>
            <w:tcW w:w="3583" w:type="dxa"/>
            <w:tcBorders/>
            <w:shd w:fill="auto" w:val="clear"/>
            <w:vAlign w:val="center"/>
          </w:tcPr>
          <w:p>
            <w:pPr>
              <w:pStyle w:val="TableContents"/>
              <w:spacing w:before="0" w:after="283"/>
              <w:jc w:val="left"/>
              <w:rPr/>
            </w:pPr>
            <w:r>
              <w:rPr/>
              <w:t> </w:t>
            </w:r>
          </w:p>
        </w:tc>
        <w:tc>
          <w:tcPr>
            <w:tcW w:w="682" w:type="dxa"/>
            <w:tcBorders/>
            <w:shd w:fill="auto" w:val="clear"/>
            <w:vAlign w:val="center"/>
          </w:tcPr>
          <w:p>
            <w:pPr>
              <w:pStyle w:val="TableContents"/>
              <w:spacing w:before="0" w:after="283"/>
              <w:rPr/>
            </w:pPr>
            <w:r>
              <w:rPr/>
              <w:t> </w:t>
            </w:r>
          </w:p>
        </w:tc>
        <w:tc>
          <w:tcPr>
            <w:tcW w:w="5472" w:type="dxa"/>
            <w:gridSpan w:val="2"/>
            <w:tcBorders/>
            <w:shd w:fill="auto" w:val="clear"/>
            <w:vAlign w:val="center"/>
          </w:tcPr>
          <w:p>
            <w:pPr>
              <w:pStyle w:val="TableContents"/>
              <w:spacing w:before="0" w:after="283"/>
              <w:jc w:val="left"/>
              <w:rPr/>
            </w:pPr>
            <w:r>
              <w:rPr/>
              <w:t>Chairman of the Board of Directors, Chief Executive Officer and President</w:t>
              <w:br/>
              <w:t>(Principal Executive Officer) </w:t>
            </w:r>
          </w:p>
        </w:tc>
        <w:tc>
          <w:tcPr>
            <w:tcW w:w="46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506</Words>
  <CharactersWithSpaces>3243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