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April 17, 2026</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MISSION PRODUCE,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564" w:type="dxa"/>
        <w:tblCellMar>
          <w:top w:w="0" w:type="dxa"/>
          <w:left w:w="0" w:type="dxa"/>
          <w:bottom w:w="0" w:type="dxa"/>
          <w:right w:w="0" w:type="dxa"/>
        </w:tblCellMar>
      </w:tblPr>
      <w:tr>
        <w:trPr>
          <w:trHeight w:val="214"/>
        </w:trPr>
        <w:tc>
          <w:tcPr>
            <w:tcW w:w="2820" w:type="dxa"/>
            <w:vAlign w:val="bottom"/>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6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001-39561</w:t>
            </w:r>
          </w:p>
        </w:tc>
        <w:tc>
          <w:tcPr>
            <w:tcW w:w="17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95-3847744</w:t>
            </w:r>
          </w:p>
        </w:tc>
      </w:tr>
      <w:tr>
        <w:trPr>
          <w:trHeight w:val="148"/>
        </w:trPr>
        <w:tc>
          <w:tcPr>
            <w:tcW w:w="282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660" w:type="dxa"/>
            <w:vAlign w:val="bottom"/>
          </w:tcPr>
          <w:p>
            <w:pPr>
              <w:ind w:left="18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6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0"/>
        </w:trPr>
        <w:tc>
          <w:tcPr>
            <w:tcW w:w="2820" w:type="dxa"/>
            <w:vAlign w:val="bottom"/>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2710 Camino Del Sol Oxnard, CA</w:t>
            </w:r>
          </w:p>
        </w:tc>
        <w:tc>
          <w:tcPr>
            <w:tcW w:w="4660" w:type="dxa"/>
            <w:vAlign w:val="bottom"/>
          </w:tcPr>
          <w:p>
            <w:pPr>
              <w:spacing w:after="0"/>
              <w:rPr>
                <w:sz w:val="24"/>
                <w:szCs w:val="24"/>
                <w:color w:val="auto"/>
              </w:rPr>
            </w:pPr>
          </w:p>
        </w:tc>
        <w:tc>
          <w:tcPr>
            <w:tcW w:w="17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93030</w:t>
            </w:r>
          </w:p>
        </w:tc>
      </w:tr>
      <w:tr>
        <w:trPr>
          <w:trHeight w:val="190"/>
        </w:trPr>
        <w:tc>
          <w:tcPr>
            <w:tcW w:w="28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660" w:type="dxa"/>
            <w:vAlign w:val="bottom"/>
          </w:tcPr>
          <w:p>
            <w:pPr>
              <w:spacing w:after="0"/>
              <w:rPr>
                <w:sz w:val="16"/>
                <w:szCs w:val="16"/>
                <w:color w:val="auto"/>
              </w:rPr>
            </w:pPr>
          </w:p>
        </w:tc>
        <w:tc>
          <w:tcPr>
            <w:tcW w:w="1780" w:type="dxa"/>
            <w:vAlign w:val="bottom"/>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3"/>
        </w:trPr>
        <w:tc>
          <w:tcPr>
            <w:tcW w:w="2820" w:type="dxa"/>
            <w:vAlign w:val="bottom"/>
          </w:tcPr>
          <w:p>
            <w:pPr>
              <w:spacing w:after="0"/>
              <w:rPr>
                <w:sz w:val="24"/>
                <w:szCs w:val="24"/>
                <w:color w:val="auto"/>
              </w:rPr>
            </w:pPr>
          </w:p>
        </w:tc>
        <w:tc>
          <w:tcPr>
            <w:tcW w:w="4660" w:type="dxa"/>
            <w:vAlign w:val="bottom"/>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(805) 981-3650</w:t>
            </w:r>
          </w:p>
        </w:tc>
        <w:tc>
          <w:tcPr>
            <w:tcW w:w="1780" w:type="dxa"/>
            <w:vAlign w:val="bottom"/>
          </w:tcPr>
          <w:p>
            <w:pPr>
              <w:spacing w:after="0"/>
              <w:rPr>
                <w:sz w:val="24"/>
                <w:szCs w:val="24"/>
                <w:color w:val="auto"/>
              </w:rPr>
            </w:pPr>
          </w:p>
        </w:tc>
      </w:tr>
      <w:tr>
        <w:trPr>
          <w:trHeight w:val="190"/>
        </w:trPr>
        <w:tc>
          <w:tcPr>
            <w:tcW w:w="2820" w:type="dxa"/>
            <w:vAlign w:val="bottom"/>
          </w:tcPr>
          <w:p>
            <w:pPr>
              <w:spacing w:after="0"/>
              <w:rPr>
                <w:sz w:val="16"/>
                <w:szCs w:val="16"/>
                <w:color w:val="auto"/>
              </w:rPr>
            </w:pPr>
          </w:p>
        </w:tc>
        <w:tc>
          <w:tcPr>
            <w:tcW w:w="4660" w:type="dxa"/>
            <w:vAlign w:val="bottom"/>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6"/>
                <w:szCs w:val="16"/>
                <w:color w:val="auto"/>
              </w:rPr>
            </w:pPr>
          </w:p>
        </w:tc>
      </w:tr>
      <w:tr>
        <w:trPr>
          <w:trHeight w:val="323"/>
        </w:trPr>
        <w:tc>
          <w:tcPr>
            <w:tcW w:w="2820" w:type="dxa"/>
            <w:vAlign w:val="bottom"/>
          </w:tcPr>
          <w:p>
            <w:pPr>
              <w:spacing w:after="0"/>
              <w:rPr>
                <w:sz w:val="24"/>
                <w:szCs w:val="24"/>
                <w:color w:val="auto"/>
              </w:rPr>
            </w:pPr>
          </w:p>
        </w:tc>
        <w:tc>
          <w:tcPr>
            <w:tcW w:w="4660" w:type="dxa"/>
            <w:vAlign w:val="bottom"/>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80" w:type="dxa"/>
            <w:vAlign w:val="bottom"/>
          </w:tcPr>
          <w:p>
            <w:pPr>
              <w:spacing w:after="0"/>
              <w:rPr>
                <w:sz w:val="24"/>
                <w:szCs w:val="24"/>
                <w:color w:val="auto"/>
              </w:rPr>
            </w:pPr>
          </w:p>
        </w:tc>
      </w:tr>
      <w:tr>
        <w:trPr>
          <w:trHeight w:val="190"/>
        </w:trPr>
        <w:tc>
          <w:tcPr>
            <w:tcW w:w="2820" w:type="dxa"/>
            <w:vAlign w:val="bottom"/>
          </w:tcPr>
          <w:p>
            <w:pPr>
              <w:spacing w:after="0"/>
              <w:rPr>
                <w:sz w:val="16"/>
                <w:szCs w:val="16"/>
                <w:color w:val="auto"/>
              </w:rPr>
            </w:pPr>
          </w:p>
        </w:tc>
        <w:tc>
          <w:tcPr>
            <w:tcW w:w="4660" w:type="dxa"/>
            <w:vAlign w:val="bottom"/>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151765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3" w:lineRule="exact"/>
        <w:rPr>
          <w:sz w:val="24"/>
          <w:szCs w:val="24"/>
          <w:color w:val="auto"/>
        </w:rPr>
      </w:pPr>
    </w:p>
    <w:p>
      <w:pPr>
        <w:ind w:left="4" w:right="40" w:firstLine="44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2" w:lineRule="exact"/>
        <w:rPr>
          <w:sz w:val="24"/>
          <w:szCs w:val="24"/>
          <w:color w:val="auto"/>
        </w:rPr>
      </w:pPr>
    </w:p>
    <w:p>
      <w:pPr>
        <w:jc w:val="both"/>
        <w:ind w:left="4" w:right="4120" w:hanging="4"/>
        <w:spacing w:after="0" w:line="286" w:lineRule="exact"/>
        <w:tabs>
          <w:tab w:leader="none" w:pos="436"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Written communications pursuant to Rule 425 under the Securities Act (17 CFR 230.425)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Soliciting material pursuant to Rule 14a-12 under the Exchange Act (17 CFR 240.14a-12)</w:t>
      </w:r>
    </w:p>
    <w:p>
      <w:pPr>
        <w:spacing w:after="0" w:line="8" w:lineRule="exact"/>
        <w:rPr>
          <w:rFonts w:ascii="MS PGothic" w:cs="MS PGothic" w:eastAsia="MS PGothic" w:hAnsi="MS PGothic"/>
          <w:sz w:val="17"/>
          <w:szCs w:val="17"/>
          <w:color w:val="auto"/>
        </w:rPr>
      </w:pPr>
    </w:p>
    <w:p>
      <w:pPr>
        <w:jc w:val="both"/>
        <w:ind w:left="4" w:right="2520"/>
        <w:spacing w:after="0" w:line="307" w:lineRule="exact"/>
        <w:rPr>
          <w:rFonts w:ascii="MS PGothic" w:cs="MS PGothic" w:eastAsia="MS PGothic" w:hAnsi="MS PGothic"/>
          <w:sz w:val="17"/>
          <w:szCs w:val="17"/>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14d-2(b) under the Exchange Act (17 CFR 240.14d-2(b))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13e-4(c) under the Exchange Act (17 CFR 240.13e-4(c))</w:t>
      </w:r>
    </w:p>
    <w:p>
      <w:pPr>
        <w:spacing w:after="0" w:line="89" w:lineRule="exact"/>
        <w:rPr>
          <w:rFonts w:ascii="MS PGothic" w:cs="MS PGothic" w:eastAsia="MS PGothic" w:hAnsi="MS PGothic"/>
          <w:sz w:val="17"/>
          <w:szCs w:val="17"/>
          <w:color w:val="auto"/>
        </w:rPr>
      </w:pPr>
    </w:p>
    <w:p>
      <w:pPr>
        <w:ind w:left="444"/>
        <w:spacing w:after="0"/>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2"/>
              </w:rPr>
              <w:t>AVO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Stock, par</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value $0.001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As previously disclosed, on January 14, 2026, Mission Produce, Inc. (“Mission Produce”) entered into an Agreement and Plan of Merger (the “Merger Agreement”), by and among Mission Produce, Calavo Growers, Inc. (“Calavo”), Cantaloupe Merger Sub I, Inc. (“Merger Sub I”) and Cantaloupe Merger Sub II, LLC (“Merger Sub II”). Pursuant to the Merger Agreement, and subject to the satisfaction or waiver of the conditions specified therein, (i) Merger Sub I will merge with and into Calavo (the “First Merger”), with Calavo surviving the First Merger as a wholly owned subsidiary of Mission Produce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 owned subsidiary of Mission Produce.</w:t>
      </w:r>
    </w:p>
    <w:p>
      <w:pPr>
        <w:spacing w:after="0" w:line="19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waiting period under the Hart-Scott-Rodino Antitrust Improvements Act of 1976, as amended (the “HSR Act”), in connection with the Mergers, expired at 11:59 p.m., Eastern time, on April 17, 2026. The expiration of the waiting period under the HSR Act satisfies one of the conditions to consummating the Mergers. The consummation of the Mergers remains subject to other customary closing conditions, including receipt of approval from Mission Produce stockholders and Calavo shareholders and approval from the Mexico antitrust authorities. Subject to satisfaction of these conditions, the parties expect to consummate the Mergers in the fiscal quarter ending July 31, 2026.</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Information About the Proposed Transaction and Where to Find It</w:t>
      </w:r>
    </w:p>
    <w:p>
      <w:pPr>
        <w:spacing w:after="0" w:line="11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On March 9, 2026, Mission Produce filed a registration statement on Form S-4 (as amended, the “Registration Statement”) with the Securities and Exchange Commission (the “SEC”), which includes a prospectus with respect to the shares of Mission Produce’s common stock to be issued in the First Merger and a joint proxy statement for Mission Produce’s stockholders and Calavo’s shareholders. On March 18, 2026, Mission Produce filed Amendment No. 1 to the Registration Statement. The Registration Statement was declared effective on March 20, 2026, and Mission Produce filed a final prospectus on March 20, 2026, and Calavo filed a definitive proxy statement on March 20, 2026 (together, the “Joint Proxy Statement/Prospectus”). Mission Produce commenced mailing the Joint Proxy Statement/Prospectus to its stockholders and Calavo commenced mailing the Joint Proxy Statement/Prospectus to its shareholders on or about March 25, 2026. Each of Mission Produce and Calavo may also file with or furnish to the SEC other relevant documents regarding the Mergers. This communication is not a substitute for the Registration Statement, the Joint Proxy Statement/Prospectus or any other document that Mission Produce may mail to its stockholders or Calavo may mail to its shareholders in connection with the Mergers.</w:t>
      </w:r>
    </w:p>
    <w:p>
      <w:pPr>
        <w:spacing w:after="0" w:line="1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INVESTORS AND SECURITY HOLDERS OF MISSION PRODUCE AND CALAVO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CONTAIN IMPORTANT INFORMATION REGARDING MISSION PRODUCE, CALAVO, THE MERGERS AND RELATED MATTERS.</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and Joint Proxy Statement/Prospectus (if and when available) and other documents containing important information about Mission Produce, Calavo and the proposed transaction through the website maintained by the SEC at http://www.sec.gov. Copies of the Registration Statement and Joint Proxy Statement/Prospectus (if and when available) and other documents filed with the SEC by Mission Produce may be obtained free of charge on Mission Produce’s website at www.investors.missionproduce.com/financial-information/sec-filings or, alternatively, by directing a request by mail to Mission Produce’s Corporate Secretary at Attention: Corporate Secretary, Mission Produce, Inc., 2710 Camino Del Sol, Oxnard, CA 93030. Copies of the Registration Statement and Joint Proxy Statement/Prospectus (if and when available)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w:t>
      </w:r>
    </w:p>
    <w:p>
      <w:pPr>
        <w:sectPr>
          <w:pgSz w:w="11900" w:h="16838" w:orient="portrait"/>
          <w:cols w:equalWidth="0" w:num="1">
            <w:col w:w="11000"/>
          </w:cols>
          <w:pgMar w:left="440"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Mission Produce, Calavo and their respective directors and executive officers may be deemed to be participants in any solicitation of proxies in connection with the proposed transaction. Information about Mission Produce’s directors and executive officers is available in Mission Produce’s Annual Proxy Statement, which was filed with the SEC on February 24, 2026. Information about Calavo’s directors and executive officers is available in Calavo’s annual report on Form 10-K for the year ended October 31, 2025, as amended.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Offer or Solicitation</w:t>
      </w:r>
    </w:p>
    <w:p>
      <w:pPr>
        <w:spacing w:after="0" w:line="11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119" w:lineRule="exact"/>
        <w:rPr>
          <w:sz w:val="20"/>
          <w:szCs w:val="20"/>
          <w:color w:val="auto"/>
        </w:rPr>
      </w:pPr>
    </w:p>
    <w:p>
      <w:pPr>
        <w:ind w:right="60" w:firstLine="440"/>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statements relating to future events and results of Mission Produce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Mission Produce may differ materially from those expressed or implied by such forward-looking statements and assumptions. We refer to Mission Produce, Inc. as “Mission Produce,” “we,” “our” and “us.” The use of words such as “anticipates,” “estimates,” “expects,” “projects,” “intends,” “plans,” and “believes,” among others, generally identify forward-looking statements. All statements, other than statements of historical fact, are statements that could be deemed forward-looking statements, including, but not limited to, statements about trends in sales and volume growth of tomatoes, avocados and guacamole products in the United States and international markets; the success and likelihood of obtaining necessary regulatory approvals for the proposed transaction; the success and profitability of certain branded products; the seasonality of certain retail and foodservice opportunities; the benefits of the proposed transaction involving Mission Produce and Calavo, including future financial and operating results, Mission Produce’s and Calavo’s plans, objectives, expectations and intentions, the expected timing and likelihood of completion of the proposed transaction, and other statements that are not historical facts;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Mission Produce and its financial performance; statements regarding pending internal or external investigations, legal claims or tax disputes; statements regarding our cybersecurity risk management and planned enhancements to controls and documentation; statements regarding working capital and liquidity, including the timing and magnitude of tariff prepayments and the timing of value added tax (“IVA”) refund collections in Mexico; statements regarding the timing and outcomes of legal and tax proceedings in Mexico, including the recovery of IVA receivables and the resolution of assessments by the Mexican Tax Administrative Service (“SAT”); statements regarding potential changes in Mexico’s tax policies or enforcement actions and the expected effects on our operations, costs, tax positions or liquidity; any statements of expectation or belief; and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w:t>
      </w:r>
    </w:p>
    <w:p>
      <w:pPr>
        <w:sectPr>
          <w:pgSz w:w="11900" w:h="16838" w:orient="portrait"/>
          <w:cols w:equalWidth="0" w:num="1">
            <w:col w:w="11020"/>
          </w:cols>
          <w:pgMar w:left="440" w:top="268" w:right="439" w:bottom="1440" w:gutter="0" w:footer="0" w:header="0"/>
        </w:sectPr>
      </w:pPr>
    </w:p>
    <w:bookmarkStart w:id="3" w:name="page4"/>
    <w:bookmarkEnd w:id="3"/>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Risks and uncertainties that may cause our actual results to be materially different from any future results expressed or implied by the forward-looking statements include, but are not limited to, the following: the ability to obtain the requisite approval by Mission Produce stockholders or Calavo shareholders; the risk that Mission Produce or Calavo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Mission Produce’s or Calavo’s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Mission Produce or Calavo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the ability of our management team to work together successfully; the impact of weather on market conditions; seasonality of our business; sensitivity of our business to changes in market prices of avocados and other agricultural products and other raw materials including fuel, packaging and paper; changes or actions associated with USDA-APHIS and the Mexican Secretary of Agriculture, Secretariat of Agriculture and Rural Development (SADER) phytosanitary regulations (certification regulation for the importation of Hass avocados to the United States);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including but not limited to new guacamole products; risks associated with doing business internationally (including possible non-compliance with U.S. and foreign laws applicable to international trade and dealings and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internal and external investigations, legal claims and tax disputes, including an assessment imposed by the SAT and our defenses against collection activities commenced by SAT; our ability to realize the expected expense savings from the sale of the Fresh Cut business; and risks related to enhanced regulatory scrutiny or inspection protocols, including detention holds by the U.S. Food and Drug Administration, which can result in shipment delays, third-party testing requirements, incremental logistics and handling costs, and inventory write-downs, and which could in the future result in additional delays, costs, loss of product value, or disruption to customer orders.</w:t>
      </w:r>
    </w:p>
    <w:p>
      <w:pPr>
        <w:spacing w:after="0" w:line="20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For further discussion of these risks and uncertainties and other risks and uncertainties that we face, please see the risk factors described in our most recent Annual Report on Form 10-K filed with the SEC and any subsequent updates that may be contained in our Quarterly Reports on Form 10-Q and other filings with the SEC. Forward-looking statements contained in this Current Report on Form 8-K are made only as of the date of this Current Report on Form 8-K, and we undertake no obligation to update or revise the forward-looking statements, whether because of new information, future events or otherwise.</w:t>
      </w:r>
    </w:p>
    <w:p>
      <w:pPr>
        <w:sectPr>
          <w:pgSz w:w="11900" w:h="16838" w:orient="portrait"/>
          <w:cols w:equalWidth="0" w:num="1">
            <w:col w:w="11000"/>
          </w:cols>
          <w:pgMar w:left="440" w:top="270"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20" w:type="dxa"/>
            <w:vAlign w:val="bottom"/>
            <w:gridSpan w:val="2"/>
          </w:tcPr>
          <w:p>
            <w:pPr>
              <w:ind w:left="5520"/>
              <w:spacing w:after="0"/>
              <w:rPr>
                <w:sz w:val="20"/>
                <w:szCs w:val="20"/>
                <w:color w:val="auto"/>
              </w:rPr>
            </w:pPr>
            <w:r>
              <w:rPr>
                <w:rFonts w:ascii="Times New Roman" w:cs="Times New Roman" w:eastAsia="Times New Roman" w:hAnsi="Times New Roman"/>
                <w:sz w:val="18"/>
                <w:szCs w:val="18"/>
                <w:color w:val="auto"/>
              </w:rPr>
              <w:t>Mission Produce, Inc.</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April 18, 2026</w:t>
            </w:r>
          </w:p>
        </w:tc>
        <w:tc>
          <w:tcPr>
            <w:tcW w:w="4860" w:type="dxa"/>
            <w:vAlign w:val="bottom"/>
          </w:tcPr>
          <w:p>
            <w:pPr>
              <w:spacing w:after="0"/>
              <w:rPr>
                <w:sz w:val="20"/>
                <w:szCs w:val="20"/>
                <w:color w:val="auto"/>
              </w:rPr>
            </w:pPr>
          </w:p>
        </w:tc>
      </w:tr>
      <w:tr>
        <w:trPr>
          <w:trHeight w:val="432"/>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Pawlowski</w:t>
            </w: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Pawlowski</w:t>
            </w:r>
          </w:p>
        </w:tc>
      </w:t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2026-04-20T08:05:46Z</dcterms:created>
  <dcterms:modified xsi:type="dcterms:W3CDTF">2026-04-20T08:05:46Z</dcterms:modified>
</cp:coreProperties>
</file>