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4029075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23495</wp:posOffset>
            </wp:positionV>
            <wp:extent cx="6990715" cy="5910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91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80"/>
            <w:col w:w="8580"/>
          </w:cols>
          <w:pgMar w:left="460" w:top="224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Munsell Shawn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CALAVO GROWERS,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06/20/2023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5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00"/>
            <w:col w:w="7220"/>
          </w:cols>
          <w:pgMar w:left="460" w:top="22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06/20/2023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31.39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3,608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-2498725</wp:posOffset>
            </wp:positionV>
            <wp:extent cx="29210" cy="2503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03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three equal annual installments beginning June 20, 2023.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Shawn Munsell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06/21/2023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42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417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2023-06-21T18:31:07Z</dcterms:created>
  <dcterms:modified xsi:type="dcterms:W3CDTF">2023-06-21T18:31:07Z</dcterms:modified>
</cp:coreProperties>
</file>