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Gibson James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12,885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3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Gibson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-3500120</wp:posOffset>
            </wp:positionV>
            <wp:extent cx="7031355" cy="3545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54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held indirectly by the reporting person in the name of The Gibson Family Trust, of which the reporting person is a trustee and in which the reporting person has a pecuniary interest.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James E. Gibson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830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2020-06-19T14:55:31Z</dcterms:created>
  <dcterms:modified xsi:type="dcterms:W3CDTF">2020-06-19T14:55:31Z</dcterms:modified>
</cp:coreProperties>
</file>