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696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965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501"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Aslam Farha</w:t>
              </w:r>
            </w:hyperlink>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CALAVO GROWERS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20" w:type="dxa"/>
            <w:vAlign w:val="bottom"/>
            <w:tcBorders>
              <w:top w:val="single" w:sz="8" w:color="0000EE"/>
            </w:tcBorders>
          </w:tcPr>
          <w:p>
            <w:pPr>
              <w:spacing w:after="0"/>
              <w:rPr>
                <w:sz w:val="5"/>
                <w:szCs w:val="5"/>
                <w:color w:val="auto"/>
              </w:rPr>
            </w:pPr>
          </w:p>
        </w:tc>
        <w:tc>
          <w:tcPr>
            <w:tcW w:w="1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1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26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501"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PAULA 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93060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50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jc w:val="right"/>
              <w:ind w:right="403"/>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05/28/2026</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7,792</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(2)(3)</w:t>
            </w:r>
          </w:p>
        </w:tc>
        <w:tc>
          <w:tcPr>
            <w:tcW w:w="22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4,259</w:t>
            </w:r>
          </w:p>
        </w:tc>
        <w:tc>
          <w:tcPr>
            <w:tcW w:w="6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27.69</w:t>
            </w:r>
            <w:r>
              <w:rPr>
                <w:rFonts w:ascii="Times New Roman" w:cs="Times New Roman" w:eastAsia="Times New Roman" w:hAnsi="Times New Roman"/>
                <w:sz w:val="21"/>
                <w:szCs w:val="21"/>
                <w:color w:val="008000"/>
                <w:w w:val="95"/>
                <w:vertAlign w:val="superscript"/>
              </w:rPr>
              <w:t>(2)</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05/28/2026</w:t>
            </w:r>
          </w:p>
        </w:tc>
        <w:tc>
          <w:tcPr>
            <w:tcW w:w="1100" w:type="dxa"/>
            <w:vAlign w:val="bottom"/>
          </w:tcPr>
          <w:p>
            <w:pPr>
              <w:spacing w:after="0"/>
              <w:rPr>
                <w:sz w:val="5"/>
                <w:szCs w:val="5"/>
                <w:color w:val="auto"/>
              </w:rPr>
            </w:pPr>
          </w:p>
        </w:tc>
        <w:tc>
          <w:tcPr>
            <w:tcW w:w="7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4,259</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(2)(4)</w:t>
            </w:r>
          </w:p>
        </w:tc>
        <w:tc>
          <w:tcPr>
            <w:tcW w:w="22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2,220</w:t>
            </w:r>
          </w:p>
        </w:tc>
        <w:tc>
          <w:tcPr>
            <w:tcW w:w="6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27.69</w:t>
            </w:r>
            <w:r>
              <w:rPr>
                <w:rFonts w:ascii="Times New Roman" w:cs="Times New Roman" w:eastAsia="Times New Roman" w:hAnsi="Times New Roman"/>
                <w:sz w:val="21"/>
                <w:szCs w:val="21"/>
                <w:color w:val="008000"/>
                <w:w w:val="95"/>
                <w:vertAlign w:val="superscript"/>
              </w:rPr>
              <w:t>(2)</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05/28/2026</w:t>
            </w:r>
          </w:p>
        </w:tc>
        <w:tc>
          <w:tcPr>
            <w:tcW w:w="1100" w:type="dxa"/>
            <w:vAlign w:val="bottom"/>
          </w:tcPr>
          <w:p>
            <w:pPr>
              <w:spacing w:after="0"/>
              <w:rPr>
                <w:sz w:val="5"/>
                <w:szCs w:val="5"/>
                <w:color w:val="auto"/>
              </w:rPr>
            </w:pPr>
          </w:p>
        </w:tc>
        <w:tc>
          <w:tcPr>
            <w:tcW w:w="7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2,220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(2)(5)</w:t>
            </w:r>
          </w:p>
        </w:tc>
        <w:tc>
          <w:tcPr>
            <w:tcW w:w="22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(2)(5)</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4,929</w:t>
            </w:r>
          </w:p>
        </w:tc>
        <w:tc>
          <w:tcPr>
            <w:tcW w:w="6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27.69</w:t>
            </w:r>
            <w:r>
              <w:rPr>
                <w:rFonts w:ascii="Times New Roman" w:cs="Times New Roman" w:eastAsia="Times New Roman" w:hAnsi="Times New Roman"/>
                <w:sz w:val="21"/>
                <w:szCs w:val="21"/>
                <w:color w:val="008000"/>
                <w:w w:val="95"/>
                <w:vertAlign w:val="superscript"/>
              </w:rPr>
              <w:t>(2)</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05/28/2026</w:t>
            </w:r>
          </w:p>
        </w:tc>
        <w:tc>
          <w:tcPr>
            <w:tcW w:w="1100" w:type="dxa"/>
            <w:vAlign w:val="bottom"/>
          </w:tcPr>
          <w:p>
            <w:pPr>
              <w:spacing w:after="0"/>
              <w:rPr>
                <w:sz w:val="5"/>
                <w:szCs w:val="5"/>
                <w:color w:val="auto"/>
              </w:rPr>
            </w:pPr>
          </w:p>
        </w:tc>
        <w:tc>
          <w:tcPr>
            <w:tcW w:w="7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4,929</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disposed of pursuant to the Agreement and Plan of Merger (the "Merger Agreement"), dated as of January 14, 2026, by and among Calavo Growers, Inc. ("Calavo") Mission Produce, Inc. ("Mission Produce"), Cantaloupe Merger Sub I, Inc. and Cantaloupe Merger Sub II, LLC. Pursuant to the Merger Agreement, at the First Effective Time (as defined in the Merger Agreement), each share of common stock, par value $0.001 per share, of Calavo ("Calavo Common Stock") was converted into the right to receive (i) 0.9790 shares of common stock, par value $0.001 per share, of Mission Produce and cash in lieu of fractional shares and (ii) $14.85 in cash, without interest.</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restricted stock unit constituting a Deferred RSU (as defined in the Merger Agreement), was cancelled at the First Effective Time and converted into a right to receive an amount in cash, without interest, equal to the product obtained by multiplying (a) the number of shares of Calavo Common Stock underlying the Deferred RSU, by (b) the merger consideration value of $27.69.</w:t>
      </w:r>
    </w:p>
    <w:p>
      <w:pPr>
        <w:spacing w:after="0" w:line="2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vested on April 23, 2026, and the reporting person's receipt of 4,259 shares of common stock was deferred pursuant to the restricted stock unit award agreement between the reporting person and Calavo.</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vested on April 23, 2025, and the reporting person's receipt of 2,220 shares of common stock was deferred pursuant to the restricted stock unit award agreement between the reporting person and Calavo.</w:t>
      </w:r>
    </w:p>
    <w:p>
      <w:pPr>
        <w:spacing w:after="0" w:line="1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vested on November 1, 2024, and the reporting person's receipt of 4,929 shares of common stock was deferred pursuant to the restricted stock unit award agreement between the reporting person and Calavo.</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Farha Aslam</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05/28/2026</w:t>
            </w: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4355"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2026-05-28T20:37:10Z</dcterms:created>
  <dcterms:modified xsi:type="dcterms:W3CDTF">2026-05-28T20:37:10Z</dcterms:modified>
</cp:coreProperties>
</file>