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-236220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2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-631190</wp:posOffset>
            </wp:positionV>
            <wp:extent cx="58420" cy="6445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3998595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24130</wp:posOffset>
            </wp:positionV>
            <wp:extent cx="7045960" cy="46399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46399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60"/>
            <w:col w:w="854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Matute Mariela Irene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1141-A CUMMINGS RD.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CALAVO GROWERS INC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CVGW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04/01/2022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6" w:right="620" w:firstLine="6"/>
        <w:spacing w:after="0" w:line="260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194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79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Financial Officer</w:t>
      </w:r>
    </w:p>
    <w:p>
      <w:pPr>
        <w:spacing w:after="0" w:line="31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40" w:space="686"/>
            <w:col w:w="3354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15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SANTA PAULA CA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93060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5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right"/>
              <w:ind w:right="1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4,014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04/01/2022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4,014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3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4,014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Each restricted stock unit represents a contingent right to receive one share of CVGW common stock.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2. The restricted stock units vest in three equal annual installments beginning November 1, 2021.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Mariela Matute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04/03/2022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885506" TargetMode="External"/><Relationship Id="rId13" Type="http://schemas.openxmlformats.org/officeDocument/2006/relationships/hyperlink" Target="http://www.sec.gov/cgi-bin/browse-edgar?action=getcompany&amp;CIK=000113347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2022-04-04T17:59:53Z</dcterms:created>
  <dcterms:modified xsi:type="dcterms:W3CDTF">2022-04-04T17:59:53Z</dcterms:modified>
</cp:coreProperties>
</file>