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9, 2025</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220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220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33-0945304</w:t>
            </w:r>
          </w:p>
        </w:tc>
        <w:tc>
          <w:tcPr>
            <w:tcW w:w="900" w:type="dxa"/>
            <w:vAlign w:val="bottom"/>
          </w:tcPr>
          <w:p>
            <w:pPr>
              <w:spacing w:after="0"/>
              <w:rPr>
                <w:sz w:val="20"/>
                <w:szCs w:val="20"/>
                <w:color w:val="auto"/>
              </w:rPr>
            </w:pPr>
          </w:p>
        </w:tc>
      </w:tr>
      <w:tr>
        <w:trPr>
          <w:trHeight w:val="191"/>
        </w:trPr>
        <w:tc>
          <w:tcPr>
            <w:tcW w:w="9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center"/>
              <w:ind w:right="830"/>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gridSpan w:val="3"/>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3"/>
        </w:trPr>
        <w:tc>
          <w:tcPr>
            <w:tcW w:w="900" w:type="dxa"/>
            <w:vAlign w:val="bottom"/>
          </w:tcPr>
          <w:p>
            <w:pPr>
              <w:spacing w:after="0"/>
              <w:rPr>
                <w:sz w:val="24"/>
                <w:szCs w:val="24"/>
                <w:color w:val="auto"/>
              </w:rPr>
            </w:pPr>
          </w:p>
        </w:tc>
        <w:tc>
          <w:tcPr>
            <w:tcW w:w="4900" w:type="dxa"/>
            <w:vAlign w:val="bottom"/>
            <w:gridSpan w:val="5"/>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1141-A Cummings Road,</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900" w:type="dxa"/>
            <w:vAlign w:val="bottom"/>
          </w:tcPr>
          <w:p>
            <w:pPr>
              <w:spacing w:after="0"/>
              <w:rPr>
                <w:sz w:val="20"/>
                <w:szCs w:val="20"/>
                <w:color w:val="auto"/>
              </w:rPr>
            </w:pPr>
          </w:p>
        </w:tc>
        <w:tc>
          <w:tcPr>
            <w:tcW w:w="4900" w:type="dxa"/>
            <w:vAlign w:val="bottom"/>
            <w:gridSpan w:val="5"/>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Santa Paula, California</w:t>
            </w:r>
          </w:p>
        </w:tc>
        <w:tc>
          <w:tcPr>
            <w:tcW w:w="220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93060</w:t>
            </w:r>
          </w:p>
        </w:tc>
        <w:tc>
          <w:tcPr>
            <w:tcW w:w="900" w:type="dxa"/>
            <w:vAlign w:val="bottom"/>
          </w:tcPr>
          <w:p>
            <w:pPr>
              <w:spacing w:after="0"/>
              <w:rPr>
                <w:sz w:val="20"/>
                <w:szCs w:val="20"/>
                <w:color w:val="auto"/>
              </w:rPr>
            </w:pPr>
          </w:p>
        </w:tc>
      </w:tr>
      <w:tr>
        <w:trPr>
          <w:trHeight w:val="228"/>
        </w:trPr>
        <w:tc>
          <w:tcPr>
            <w:tcW w:w="900" w:type="dxa"/>
            <w:vAlign w:val="bottom"/>
          </w:tcPr>
          <w:p>
            <w:pPr>
              <w:spacing w:after="0"/>
              <w:rPr>
                <w:sz w:val="19"/>
                <w:szCs w:val="19"/>
                <w:color w:val="auto"/>
              </w:rPr>
            </w:pPr>
          </w:p>
        </w:tc>
        <w:tc>
          <w:tcPr>
            <w:tcW w:w="3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gridSpan w:val="2"/>
          </w:tcPr>
          <w:p>
            <w:pPr>
              <w:jc w:val="center"/>
              <w:ind w:right="1190"/>
              <w:spacing w:after="0"/>
              <w:rPr>
                <w:sz w:val="20"/>
                <w:szCs w:val="20"/>
                <w:color w:val="auto"/>
              </w:rPr>
            </w:pPr>
            <w:r>
              <w:rPr>
                <w:rFonts w:ascii="Times New Roman" w:cs="Times New Roman" w:eastAsia="Times New Roman" w:hAnsi="Times New Roman"/>
                <w:sz w:val="18"/>
                <w:szCs w:val="18"/>
                <w:color w:val="auto"/>
              </w:rPr>
              <w:t>(Zip Code)</w:t>
            </w:r>
          </w:p>
        </w:tc>
        <w:tc>
          <w:tcPr>
            <w:tcW w:w="90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0" w:right="359" w:firstLine="314"/>
        <w:spacing w:after="0" w:line="485" w:lineRule="auto"/>
        <w:tabs>
          <w:tab w:leader="none" w:pos="6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4"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 w:name="page2"/>
    <w:bookmarkEnd w:id="1"/>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September 9, 2025, Calavo Growers Inc., (the “Company”) issued a press release announcing our financial results for the three-month and nine-month periods ended July 31, 2025. A copy of the press release is furnished as Exhibit 99.1 to this Form 8-K.</w:t>
      </w:r>
    </w:p>
    <w:p>
      <w:pPr>
        <w:spacing w:after="0" w:line="17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8 - 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the Company under the Securities Act of 1933, as amended, or the Exchange Act, except as shall be expressly set forth by specific reference in such filing.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460" w:hanging="410"/>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99.1  Press Release dated September 9, 2025 of the Company.</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11, 2025</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Lecil Cole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156845</wp:posOffset>
            </wp:positionV>
            <wp:extent cx="1748790"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879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Calavo Growers, Inc. Announces Third Quarter and Nine-Month</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Period Ended July 31, 2025 Financial Results</w:t>
      </w:r>
    </w:p>
    <w:p>
      <w:pPr>
        <w:spacing w:after="0" w:line="232"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color w:val="auto"/>
        </w:rPr>
        <w:t xml:space="preserve">SANTA PAULA, Calif., September 9, 2025 (GLOBE NEWSWIRE) -- </w:t>
      </w:r>
      <w:r>
        <w:rPr>
          <w:rFonts w:ascii="Times New Roman" w:cs="Times New Roman" w:eastAsia="Times New Roman" w:hAnsi="Times New Roman"/>
          <w:sz w:val="18"/>
          <w:szCs w:val="18"/>
          <w:b w:val="1"/>
          <w:bCs w:val="1"/>
          <w:color w:val="auto"/>
        </w:rPr>
        <w:t>Calavo Growers, Inc. (Nasdaq-GS: CVGW),</w:t>
      </w:r>
      <w:r>
        <w:rPr>
          <w:rFonts w:ascii="Times New Roman" w:cs="Times New Roman" w:eastAsia="Times New Roman" w:hAnsi="Times New Roman"/>
          <w:sz w:val="18"/>
          <w:szCs w:val="18"/>
          <w:color w:val="auto"/>
        </w:rPr>
        <w:t xml:space="preserve"> a global leader in sourcing, packing and distribution of fresh avocados, tomatoes, papayas and processing of guacamole and other avocado products, today reported its financial results for the third fiscal quarter and nine-month period ended July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Third Quarter Financial Overview</w:t>
      </w:r>
    </w:p>
    <w:p>
      <w:pPr>
        <w:spacing w:after="0" w:line="229" w:lineRule="exact"/>
        <w:rPr>
          <w:sz w:val="20"/>
          <w:szCs w:val="20"/>
          <w:color w:val="auto"/>
        </w:rPr>
      </w:pPr>
    </w:p>
    <w:p>
      <w:pPr>
        <w:ind w:left="1020" w:right="1779" w:hanging="646"/>
        <w:spacing w:after="0" w:line="500" w:lineRule="auto"/>
        <w:tabs>
          <w:tab w:leader="none" w:pos="6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were $178.8 million, a decrease of less than one percent from the prior year. o Fresh segment sales were $155.9 million, a 5% decrease from the prior year.</w:t>
      </w:r>
    </w:p>
    <w:p>
      <w:pPr>
        <w:spacing w:after="0" w:line="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Prepared segment sales were $22.9 million, a 40% increase from the prior year.</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$18.2 million, a 9% decrease from the prior year quarter. This quarter included approximately</w:t>
      </w:r>
    </w:p>
    <w:p>
      <w:pPr>
        <w:spacing w:after="0" w:line="27" w:lineRule="exact"/>
        <w:rPr>
          <w:rFonts w:ascii="Times New Roman" w:cs="Times New Roman" w:eastAsia="Times New Roman" w:hAnsi="Times New Roman"/>
          <w:sz w:val="18"/>
          <w:szCs w:val="18"/>
          <w:color w:val="auto"/>
        </w:rPr>
      </w:pPr>
    </w:p>
    <w:p>
      <w:pPr>
        <w:ind w:left="700" w:right="1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of discrete costs associated with a temporary Food and Drug Administration (“FDA”) detention hold on certain avocado imports from Mexico. The hold resulted in third-party inspection and testing costs, incremental logistics and handling expenses, and inventory write-downs on fruit diverted or sold at distressed prices. We believe these costs are unusual and not reflective of normal business operations.</w:t>
      </w:r>
    </w:p>
    <w:p>
      <w:pPr>
        <w:spacing w:after="0" w:line="189" w:lineRule="exact"/>
        <w:rPr>
          <w:sz w:val="20"/>
          <w:szCs w:val="20"/>
          <w:color w:val="auto"/>
        </w:rPr>
      </w:pPr>
    </w:p>
    <w:p>
      <w:pPr>
        <w:ind w:left="1340" w:hanging="318"/>
        <w:spacing w:after="0"/>
        <w:tabs>
          <w:tab w:leader="none" w:pos="1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gross profit was $12.4 million, a 32% decrease from the prior year.</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gross profit was $5.8 million, a 201% increase from the prior year.</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were $9.2 million, a 12% decrease from the prior year.</w:t>
      </w:r>
    </w:p>
    <w:p>
      <w:pPr>
        <w:spacing w:after="0" w:line="225"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attributable to Calavo Growers, Inc. was $4.7 million, or $0.26 per diluted share, compared to $5.4 million, or $0.30 per diluted share, in the prior year.</w:t>
      </w:r>
    </w:p>
    <w:p>
      <w:pPr>
        <w:spacing w:after="0" w:line="161" w:lineRule="exact"/>
        <w:rPr>
          <w:rFonts w:ascii="Times New Roman" w:cs="Times New Roman" w:eastAsia="Times New Roman" w:hAnsi="Times New Roman"/>
          <w:sz w:val="18"/>
          <w:szCs w:val="18"/>
          <w:color w:val="auto"/>
        </w:rPr>
      </w:pPr>
    </w:p>
    <w:p>
      <w:pPr>
        <w:ind w:left="700" w:right="519" w:hanging="326"/>
        <w:spacing w:after="0" w:line="213"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was $10.2 million, or $0.57 per diluted share, compared to $10.0 million, or $0.56 per diluted share, in the prior year.</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$15.1 million, compared to $12.9 million in the prior year.</w:t>
      </w:r>
    </w:p>
    <w:p>
      <w:pPr>
        <w:spacing w:after="0" w:line="223"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Adjusted net income (loss), adjusted net income (loss) per diluted share, and adjusted EBITDA are non-GAAP financial measures. See “Non-GAAP Financial Measures” below for additional information. In addition, reconciliations to the most directly comparable GAAP financial measures are included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88900</wp:posOffset>
            </wp:positionV>
            <wp:extent cx="1414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7" w:lineRule="exact"/>
        <w:rPr>
          <w:sz w:val="20"/>
          <w:szCs w:val="20"/>
          <w:color w:val="auto"/>
        </w:rPr>
      </w:pPr>
    </w:p>
    <w:p>
      <w:pPr>
        <w:ind w:left="120" w:right="459" w:hanging="70"/>
        <w:spacing w:after="0" w:line="227" w:lineRule="auto"/>
        <w:tabs>
          <w:tab w:leader="none" w:pos="144" w:val="left"/>
        </w:tabs>
        <w:numPr>
          <w:ilvl w:val="0"/>
          <w:numId w:val="5"/>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i w:val="1"/>
          <w:iCs w:val="1"/>
          <w:color w:val="auto"/>
        </w:rPr>
        <w:t>During the third quarter of fiscal 2025, we modified our calculation of Adjusted Net Income to add back stock-based compensation expense. Management believes this change enhances comparability with industry peers and provides a clearer representation of our core operating performance. Prior-period amounts have been recast for comparability where applicable. This adjustment does not impact previously reported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344805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Third Quarter Highlights for Continuing Operations</w:t>
      </w:r>
    </w:p>
    <w:p>
      <w:pPr>
        <w:spacing w:after="0" w:line="229" w:lineRule="exact"/>
        <w:rPr>
          <w:sz w:val="20"/>
          <w:szCs w:val="20"/>
          <w:color w:val="auto"/>
        </w:rPr>
      </w:pPr>
    </w:p>
    <w:p>
      <w:pPr>
        <w:ind w:left="700" w:right="379" w:hanging="326"/>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results reflected an 8% decrease in cartons sold, driven by declines in both avocado and tomato carton sales.</w:t>
      </w:r>
    </w:p>
    <w:p>
      <w:pPr>
        <w:spacing w:after="0" w:line="161" w:lineRule="exact"/>
        <w:rPr>
          <w:rFonts w:ascii="Times New Roman" w:cs="Times New Roman" w:eastAsia="Times New Roman" w:hAnsi="Times New Roman"/>
          <w:sz w:val="18"/>
          <w:szCs w:val="18"/>
          <w:color w:val="auto"/>
        </w:rPr>
      </w:pPr>
    </w:p>
    <w:p>
      <w:pPr>
        <w:ind w:left="700" w:right="219" w:hanging="326"/>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included approximately $4.2 million of discrete costs related to a temporary FDA detention hold, as noted above.</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net sales increased primarily due to a 35% increase in sales volume.</w:t>
      </w:r>
    </w:p>
    <w:p>
      <w:pPr>
        <w:spacing w:after="0" w:line="225" w:lineRule="exact"/>
        <w:rPr>
          <w:rFonts w:ascii="Times New Roman" w:cs="Times New Roman" w:eastAsia="Times New Roman" w:hAnsi="Times New Roman"/>
          <w:sz w:val="18"/>
          <w:szCs w:val="18"/>
          <w:color w:val="auto"/>
        </w:rPr>
      </w:pPr>
    </w:p>
    <w:p>
      <w:pPr>
        <w:ind w:left="700" w:right="79" w:hanging="326"/>
        <w:spacing w:after="0" w:line="312" w:lineRule="auto"/>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SG&amp;A expenses declined primarily due to lower professional and consulting fees (including reduced Foreign Corrupt Practices Act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FCPA”) investigation-related legal expenses), partially offset by increased bonus expense.</w:t>
      </w:r>
    </w:p>
    <w:p>
      <w:pPr>
        <w:spacing w:after="0" w:line="139" w:lineRule="exact"/>
        <w:rPr>
          <w:rFonts w:ascii="Times New Roman" w:cs="Times New Roman" w:eastAsia="Times New Roman" w:hAnsi="Times New Roman"/>
          <w:sz w:val="17"/>
          <w:szCs w:val="17"/>
          <w:color w:val="auto"/>
        </w:rPr>
      </w:pPr>
    </w:p>
    <w:p>
      <w:pPr>
        <w:ind w:left="700" w:right="319" w:hanging="326"/>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declared a quarterly cash dividend of $0.20 per share to be paid on October 31, 2025 to shareholders of record on September 30, 2025.</w:t>
      </w:r>
    </w:p>
    <w:p>
      <w:pPr>
        <w:spacing w:after="0" w:line="161" w:lineRule="exact"/>
        <w:rPr>
          <w:rFonts w:ascii="Times New Roman" w:cs="Times New Roman" w:eastAsia="Times New Roman" w:hAnsi="Times New Roman"/>
          <w:sz w:val="18"/>
          <w:szCs w:val="18"/>
          <w:color w:val="auto"/>
        </w:rPr>
      </w:pPr>
    </w:p>
    <w:p>
      <w:pPr>
        <w:ind w:left="700" w:right="379" w:hanging="326"/>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 2025, the U.S. Department of Justice officially notified us that it has closed its FCPA inquiry related to our operations in Mexico.</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Nine-Month Period Ended July 31, 2025 Financial Overview</w:t>
      </w:r>
    </w:p>
    <w:p>
      <w:pPr>
        <w:spacing w:after="0" w:line="229" w:lineRule="exact"/>
        <w:rPr>
          <w:sz w:val="20"/>
          <w:szCs w:val="20"/>
          <w:color w:val="auto"/>
        </w:rPr>
      </w:pPr>
    </w:p>
    <w:p>
      <w:pPr>
        <w:ind w:left="700" w:hanging="326"/>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were $523.8 million, a 7% increase from the prior year period.</w:t>
      </w:r>
    </w:p>
    <w:p>
      <w:pPr>
        <w:spacing w:after="0" w:line="225" w:lineRule="exact"/>
        <w:rPr>
          <w:sz w:val="20"/>
          <w:szCs w:val="20"/>
          <w:color w:val="auto"/>
        </w:rPr>
      </w:pPr>
    </w:p>
    <w:p>
      <w:pPr>
        <w:ind w:left="1340" w:hanging="318"/>
        <w:spacing w:after="0"/>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sales were $470.3 million, a 6% increase from the prior year period.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sales were $53.5 million, a 10% increase from the prior year period.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$52.0 million, a 1% increase from the prior year period.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gross profit was $38.6 million, a 6% decrease from the prior year period.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gross profit was $13.4 million, a 27% increase from the prior year period.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were $29.8 million, a 19% decrease from the prior year period.</w:t>
      </w:r>
    </w:p>
    <w:p>
      <w:pPr>
        <w:spacing w:after="0" w:line="225" w:lineRule="exact"/>
        <w:rPr>
          <w:rFonts w:ascii="Times New Roman" w:cs="Times New Roman" w:eastAsia="Times New Roman" w:hAnsi="Times New Roman"/>
          <w:sz w:val="18"/>
          <w:szCs w:val="18"/>
          <w:color w:val="auto"/>
        </w:rPr>
      </w:pPr>
    </w:p>
    <w:p>
      <w:pPr>
        <w:ind w:left="700" w:right="53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attributable to Calavo Growers, Inc. was $16.1 million, or $0.89 per diluted share, compared to $9.3 million, or $0.52 per diluted share, in the prior year period.</w:t>
      </w:r>
    </w:p>
    <w:p>
      <w:pPr>
        <w:spacing w:after="0" w:line="161"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to $23.8 million, or $1.33 per diluted share, compared to $19.2 million, or $1.08 per diluted share in the prior year period.</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$35.7 million, compared to $29.9 million in the prior year period.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Nine-Month Period Ended July 31, 2025 Highlights for Continuing Operations</w:t>
      </w:r>
    </w:p>
    <w:p>
      <w:pPr>
        <w:spacing w:after="0" w:line="229" w:lineRule="exact"/>
        <w:rPr>
          <w:sz w:val="20"/>
          <w:szCs w:val="20"/>
          <w:color w:val="auto"/>
        </w:rPr>
      </w:pPr>
    </w:p>
    <w:p>
      <w:pPr>
        <w:ind w:left="700" w:right="79" w:hanging="326"/>
        <w:spacing w:after="0" w:line="256"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results reflected a decline in avocado and tomato sales, together with approximately $4.2 million of discrete costs in the third quarter related to a temporary FDA detention hold on certain avocado imports from Mexico. The hold resulted in third-party inspection and testing costs, incremental logistics and handling expenses, and inventory write-downs on fruit diverted or sold at distressed prices. We believe these costs are unusual and not reflective of normal business operations. Tomato performance was also pressured by adverse weather and abundant domestic supply, that reduced import demand.</w:t>
      </w:r>
    </w:p>
    <w:p>
      <w:pPr>
        <w:spacing w:after="0" w:line="187" w:lineRule="exact"/>
        <w:rPr>
          <w:rFonts w:ascii="Times New Roman" w:cs="Times New Roman" w:eastAsia="Times New Roman" w:hAnsi="Times New Roman"/>
          <w:sz w:val="18"/>
          <w:szCs w:val="18"/>
          <w:color w:val="auto"/>
        </w:rPr>
      </w:pPr>
    </w:p>
    <w:p>
      <w:pPr>
        <w:ind w:left="700" w:right="519" w:hanging="326"/>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sales and profitability increased meaningfully, driven by higher volumes, lower fruit input costs, and improved operating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700" w:right="279" w:hanging="326"/>
        <w:spacing w:after="0" w:line="289" w:lineRule="auto"/>
        <w:tabs>
          <w:tab w:leader="none" w:pos="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SG&amp;A expenses declined 19% compared to the prior year period, reflecting a reduction in professional and consulting fees (including reduced FCPA investigation-related legal expenses), a reduction in compensation expenses reflecting lower headcount and severance costs and a decrease in stock-based compensation expenses.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third quarter results highlight both the challenges and the opportunities in our business,” said Lee Cole, President and Chief Executive Officer of Calavo Growers, Inc. “On the Fresh segment side, results were adversely affected by the temporary FDA detention hold tied to trace detection of Imazalil, a postharvest fungicide not approved for use on avocados, in a single shipment from our Mexican facility. This required enhanced testing and slowed cross-border movement. In addition, third quarter avocado selling prices were significantly lower sequentially versus the second quarter as avocado supply from Mexico, California, and Peru converged. In contrast, our Prepared segment delivered outstanding growth with higher volumes.”</w:t>
      </w:r>
    </w:p>
    <w:p>
      <w:pPr>
        <w:spacing w:after="0" w:line="18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“As of September 2, 2025, the FDA matter has been resolved. This was the first detention hold in the history of Calavo de Mexico since operations began in 1998, and we believe it was a non-recurring event,” Cole continued. “We also achieved an important legal milestone in August, when a Federal Court in Mexico formally recognized Calavo de Mexico as a maquila, which we believe strengthens our position to recover value-added tax (“IVA”) receivables and bolsters our defense in the 2013 assessment. Combined with the momentum in our Prepared segment, where July sales, on a monthly run-rate basis, annualize to over $100 million and where we currently project Prepared segment sales of approximately $115 million for fiscal 2026, I believe Calavo is well positioned for growth and increased shareholder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Third Quarter 2025 Consolidated Financial Review for Continuing Operations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Total net sales for the third quarter of 2025 were $178.8 million, compared to $179.6 million for the third quarter of 2024, a less than 1% decrease.</w:t>
      </w:r>
    </w:p>
    <w:p>
      <w:pPr>
        <w:spacing w:after="0" w:line="162" w:lineRule="exact"/>
        <w:rPr>
          <w:sz w:val="20"/>
          <w:szCs w:val="20"/>
          <w:color w:val="auto"/>
        </w:rPr>
      </w:pPr>
    </w:p>
    <w:p>
      <w:pPr>
        <w:ind w:left="700" w:right="299" w:hanging="326"/>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sales were $155.9 million, down 5% year over year, reflecting an 8% decrease in overall cartons sold, including lower avocado volumes (down 5%) and tomato volumes (down 27%).</w:t>
      </w:r>
    </w:p>
    <w:p>
      <w:pPr>
        <w:spacing w:after="0" w:line="161" w:lineRule="exact"/>
        <w:rPr>
          <w:rFonts w:ascii="Times New Roman" w:cs="Times New Roman" w:eastAsia="Times New Roman" w:hAnsi="Times New Roman"/>
          <w:sz w:val="18"/>
          <w:szCs w:val="18"/>
          <w:color w:val="auto"/>
        </w:rPr>
      </w:pPr>
    </w:p>
    <w:p>
      <w:pPr>
        <w:ind w:left="700" w:right="259" w:hanging="326"/>
        <w:spacing w:after="0" w:line="266"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sales were $22.9 million, up 40%, driven primarily by volume growth of approximately 35%, complemented by modestly higher average selling prices, reflecting strong demand and the benefits of scaling programs with customers.</w:t>
      </w:r>
    </w:p>
    <w:p>
      <w:pPr>
        <w:spacing w:after="0" w:line="1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Gross profit for the third quarter was $18.2 million (10% of net sales), compared to $20.1 million (10% of net sales) in the prior year period.</w:t>
      </w:r>
    </w:p>
    <w:p>
      <w:pPr>
        <w:spacing w:after="0" w:line="162" w:lineRule="exact"/>
        <w:rPr>
          <w:sz w:val="20"/>
          <w:szCs w:val="20"/>
          <w:color w:val="auto"/>
        </w:rPr>
      </w:pPr>
    </w:p>
    <w:p>
      <w:pPr>
        <w:ind w:left="700" w:right="199" w:hanging="326"/>
        <w:spacing w:after="0" w:line="258"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gross profit was $12.4 million, down 32%, primarily due to lower avocado volumes and approximately $4.2 million of discrete costs associated with a temporary FDA detention hold on certain avocado imports from Mexico. This $4.2 million reflects incremental period costs and inventory valuation impacts. We have submitted an insurance claim related to the FDA detention hold costs and are pursuing recovery from the insurance company under this claim.</w:t>
      </w:r>
    </w:p>
    <w:p>
      <w:pPr>
        <w:spacing w:after="0" w:line="183" w:lineRule="exact"/>
        <w:rPr>
          <w:rFonts w:ascii="Times New Roman" w:cs="Times New Roman" w:eastAsia="Times New Roman" w:hAnsi="Times New Roman"/>
          <w:sz w:val="18"/>
          <w:szCs w:val="18"/>
          <w:color w:val="auto"/>
        </w:rPr>
      </w:pPr>
    </w:p>
    <w:p>
      <w:pPr>
        <w:ind w:left="700" w:right="439" w:hanging="326"/>
        <w:spacing w:after="0" w:line="28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gross profit increased to $5.8 million (up 201%), primarily reflecting improved operational efficiency and stronger cost management.</w:t>
      </w:r>
    </w:p>
    <w:p>
      <w:pPr>
        <w:spacing w:after="0" w:line="162"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SG&amp;A expenses totaled $9.2 million, down 12% from the prior year quarter, primarily due to a reduction in professional and consulting fees (including lower FCPA investigation-related legal expenses), partially offset by increased bonus expense.</w:t>
      </w:r>
    </w:p>
    <w:p>
      <w:pPr>
        <w:spacing w:after="0" w:line="1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attributable to Calavo Growers, Inc. was $4.7 million, or $0.26 per diluted share, compared to $5.4 million, or $0.30 per diluted share, in the prior-year quarter. Adjusted net income was $10.2 million, or $0.57 per diluted share, compared to $10.0 million, or $0.56 per diluted share, in the prior year quarter. Adjusted EBITDA was $15.1 million, compared to $12.9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Nine-Month 2025 Consolidated Financial Review for Continuing Operations</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Total net sales for the nine months ended July 31, 2025 were $523.8 million, compared to $491.6 million in the same period in 2024, representing a 7% increase.</w:t>
      </w:r>
    </w:p>
    <w:p>
      <w:pPr>
        <w:spacing w:after="0" w:line="162" w:lineRule="exact"/>
        <w:rPr>
          <w:sz w:val="20"/>
          <w:szCs w:val="20"/>
          <w:color w:val="auto"/>
        </w:rPr>
      </w:pPr>
    </w:p>
    <w:p>
      <w:pPr>
        <w:ind w:left="700" w:right="639" w:hanging="326"/>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sales were $470.3 million, up 6%, driven by higher average avocado pricing year over year, partially offset by a decline in avocado and tomato sales.</w:t>
      </w:r>
    </w:p>
    <w:p>
      <w:pPr>
        <w:spacing w:after="0" w:line="161" w:lineRule="exact"/>
        <w:rPr>
          <w:rFonts w:ascii="Times New Roman" w:cs="Times New Roman" w:eastAsia="Times New Roman" w:hAnsi="Times New Roman"/>
          <w:sz w:val="18"/>
          <w:szCs w:val="18"/>
          <w:color w:val="auto"/>
        </w:rPr>
      </w:pPr>
    </w:p>
    <w:p>
      <w:pPr>
        <w:ind w:left="700" w:right="219" w:hanging="326"/>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sales were $53.5 million, up 10%, reflecting higher volumes and expanded programs with key customers.</w:t>
      </w:r>
    </w:p>
    <w:p>
      <w:pPr>
        <w:spacing w:after="0" w:line="16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Gross profit for the nine-month period was $52.0 million, or 10% of net sales, compared to $51.5 million, or 10% of net sales, in the same period last year.</w:t>
      </w:r>
    </w:p>
    <w:p>
      <w:pPr>
        <w:spacing w:after="0" w:line="162" w:lineRule="exact"/>
        <w:rPr>
          <w:sz w:val="20"/>
          <w:szCs w:val="20"/>
          <w:color w:val="auto"/>
        </w:rPr>
      </w:pPr>
    </w:p>
    <w:p>
      <w:pPr>
        <w:ind w:left="700" w:right="119" w:hanging="326"/>
        <w:spacing w:after="0" w:line="25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gross profit was $38.6 million, down 6% from the prior year period, primarily reflecting lower avocado and tomato volumes and approximately $4.2 million of discrete costs associated with a temporary FDA detention hold on certain avocado imports from Mexico in the third quarter. Tomato gross profit decreased, primarily due to both lower volume and modestly reduced average selling prices. Tomato demand was pressured by adverse weather conditions and abundant domestic supply, which limited import opportunities and compressed margins.</w:t>
      </w:r>
    </w:p>
    <w:p>
      <w:pPr>
        <w:spacing w:after="0" w:line="187" w:lineRule="exact"/>
        <w:rPr>
          <w:rFonts w:ascii="Times New Roman" w:cs="Times New Roman" w:eastAsia="Times New Roman" w:hAnsi="Times New Roman"/>
          <w:sz w:val="18"/>
          <w:szCs w:val="18"/>
          <w:color w:val="auto"/>
        </w:rPr>
      </w:pPr>
    </w:p>
    <w:p>
      <w:pPr>
        <w:ind w:left="700" w:right="259" w:hanging="3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gross profit increased 27% to $13.4 million, reflecting higher sales volumes, lower fruit input costs compared to last year, and improved operating efficiencies.</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SG&amp;A expenses for the nine-month period were $29.8 million, down 19% from the prior year period, primarily due to a reduction in professional and consulting fees (including reduced FCPA investigation-related legal expenses), a reduction in compensation expenses reflecting lower headcount and severance costs, and a decrease in stock-based compensation expenses.</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attributable to Calavo Growers, Inc. was $16.1 million, or $0.89 per diluted share, compared to $9.3 million, or $0.52 per diluted share, in the prior year period. Adjusted net income was $23.8 million, or $1.33 per diluted share, compared to $19.2 million, or $1.08 per diluted share, in the prior-year period. Adjusted EBITDA was $35.7 million, compared to $29.9 million in the prior year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ended the third quarter with cash and cash equivalents of $63.8 million and $114.3 million in available liquidity, which we define as cash and cash equivalents plus available borrowing capacity under our revolving credit facility. We had no borrowings under our credit facility and had total debt of $5.1 million consisting of other long-term obligations and finance leases as of July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60" w:right="179"/>
        <w:spacing w:after="0" w:line="270" w:lineRule="auto"/>
        <w:rPr>
          <w:sz w:val="20"/>
          <w:szCs w:val="20"/>
          <w:color w:val="auto"/>
        </w:rPr>
      </w:pPr>
      <w:r>
        <w:rPr>
          <w:rFonts w:ascii="Times New Roman" w:cs="Times New Roman" w:eastAsia="Times New Roman" w:hAnsi="Times New Roman"/>
          <w:sz w:val="17"/>
          <w:szCs w:val="17"/>
          <w:color w:val="auto"/>
        </w:rPr>
        <w:t>This press release includes non-GAAP measures EBITDA, adjusted EBITDA, adjusted net income (loss) and adjusted net income (loss) per diluted share, which are not prepared in accordance with U.S. generally accepted accounting principles, or “GAAP.” EBITDA is defined as net income (loss) from continuing operations attributable to Calavo Growers, Inc. excluding (1) interest income and expense, (2) income tax (benefit) provision, (3) depreciation and amortization and</w:t>
      </w:r>
    </w:p>
    <w:p>
      <w:pPr>
        <w:spacing w:after="0" w:line="3" w:lineRule="exact"/>
        <w:rPr>
          <w:sz w:val="20"/>
          <w:szCs w:val="20"/>
          <w:color w:val="auto"/>
        </w:rPr>
      </w:pPr>
    </w:p>
    <w:p>
      <w:pPr>
        <w:ind w:left="60" w:right="59" w:hanging="10"/>
        <w:spacing w:after="0" w:line="251" w:lineRule="auto"/>
        <w:tabs>
          <w:tab w:leader="none" w:pos="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Adjusted EBITDA is EBITDA with further adjustments for (1) acquisition-related costs, (2) restructuring-related costs, including certain severance costs, (3) certain litigation, internal investigation and other related costs, (4) foreign currency gain (loss), and (5) asset impairments, (6) impact of discrete tariff or other tax charges that are distortive to results, and (7) one-time items. We believe adjusted EBITDA affords investors a different view of the overall financial performance of the Company than adjusted net income (loss) and the GAAP measure of net income (loss) from continuing operations.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right="159"/>
        <w:spacing w:after="0" w:line="254" w:lineRule="auto"/>
        <w:rPr>
          <w:sz w:val="20"/>
          <w:szCs w:val="20"/>
          <w:color w:val="auto"/>
        </w:rPr>
      </w:pPr>
      <w:r>
        <w:rPr>
          <w:rFonts w:ascii="Times New Roman" w:cs="Times New Roman" w:eastAsia="Times New Roman" w:hAnsi="Times New Roman"/>
          <w:sz w:val="18"/>
          <w:szCs w:val="18"/>
          <w:color w:val="auto"/>
        </w:rPr>
        <w:t>Adjusted net income (loss) is defined as net income (loss) from continuing operations attributable to Calavo Growers, Inc. excluding (1) acquisition-related costs, (2) restructuring-related costs, including certain severance costs, (3) certain litigation, internal investigation and other related costs, (4) foreign currency loss (gain), (5) asset impairments, (6) impact of discrete tariff or other tax charges that are distortive to results,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from continuing operations.</w:t>
      </w:r>
    </w:p>
    <w:p>
      <w:pPr>
        <w:spacing w:after="0" w:line="18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Management believes these measures are useful to investors because they (i) help isolate unusual items not indicative of ongoing operations and (ii) reflect how management monitors operating performance and allocates resources.</w:t>
      </w:r>
    </w:p>
    <w:p>
      <w:pPr>
        <w:spacing w:after="0" w:line="162" w:lineRule="exact"/>
        <w:rPr>
          <w:sz w:val="20"/>
          <w:szCs w:val="20"/>
          <w:color w:val="auto"/>
        </w:rPr>
      </w:pPr>
    </w:p>
    <w:p>
      <w:pPr>
        <w:jc w:val="both"/>
        <w:ind w:left="60" w:right="199"/>
        <w:spacing w:after="0" w:line="272" w:lineRule="auto"/>
        <w:rPr>
          <w:sz w:val="20"/>
          <w:szCs w:val="20"/>
          <w:color w:val="auto"/>
        </w:rPr>
      </w:pPr>
      <w:r>
        <w:rPr>
          <w:rFonts w:ascii="Times New Roman" w:cs="Times New Roman" w:eastAsia="Times New Roman" w:hAnsi="Times New Roman"/>
          <w:sz w:val="17"/>
          <w:szCs w:val="17"/>
          <w:color w:val="auto"/>
        </w:rPr>
        <w:t>Reconciliations of non-GAAP financial measures to the most directly comparable GAAP financial measures are provided in the financial tables below. Items are considered one-time in nature if they are non-recurring, infrequent or unusual and have not occurred in the past two years or are not expected to recur in the next two years, in accordance with SEC rules.</w:t>
      </w:r>
    </w:p>
    <w:p>
      <w:pPr>
        <w:spacing w:after="0" w:line="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and adjusted net income (loss) may not be comparable to similarly titled measures presented by other companies and may not be identical to corresponding measures used in Company agreements.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 xml:space="preserve">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w:t>
      </w:r>
      <w:r>
        <w:rPr>
          <w:rFonts w:ascii="Times New Roman" w:cs="Times New Roman" w:eastAsia="Times New Roman" w:hAnsi="Times New Roman"/>
          <w:sz w:val="18"/>
          <w:szCs w:val="18"/>
          <w:i w:val="1"/>
          <w:iCs w:val="1"/>
          <w:color w:val="auto"/>
        </w:rPr>
        <w:t>The Family of Fresh™</w:t>
      </w:r>
      <w:r>
        <w:rPr>
          <w:rFonts w:ascii="Times New Roman" w:cs="Times New Roman" w:eastAsia="Times New Roman" w:hAnsi="Times New Roman"/>
          <w:sz w:val="18"/>
          <w:szCs w:val="18"/>
          <w:color w:val="auto"/>
        </w:rPr>
        <w:t xml:space="preserve"> at calavo.com.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expected IVA refund collections in Mexico; statements regarding the potential timing and outcomes of legal and tax proceedings in Mexico, including the expected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60" w:right="59"/>
        <w:spacing w:after="0" w:line="251"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SAT and our defenses against collection activities commenced by SAT; our ability to realize the expected expense savings from the sale of the Fresh Cut business; and risks related to enhanced regulatory scrutiny or inspection protocols, including detention holds by the FDA, which can result in shipment delays, third-party testing requirements, incremental logistics and handling costs, and inventory write-downs, and which could in the future result in additional delays, costs, loss of product value, and disruption to customer orders.</w:t>
      </w:r>
    </w:p>
    <w:p>
      <w:pPr>
        <w:spacing w:after="0" w:line="204"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because of new information, future events or otherwise.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Jeremy Apple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310-622-8233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565785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20" w:type="dxa"/>
            <w:vAlign w:val="bottom"/>
          </w:tcPr>
          <w:p>
            <w:pPr>
              <w:spacing w:after="0"/>
              <w:rPr>
                <w:sz w:val="15"/>
                <w:szCs w:val="15"/>
                <w:color w:val="auto"/>
              </w:rPr>
            </w:pPr>
          </w:p>
        </w:tc>
        <w:tc>
          <w:tcPr>
            <w:tcW w:w="66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57,031</w:t>
            </w: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allowances of $3,430 (2025) and $3,624 (2024)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41,909</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34,157</w:t>
            </w: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Advances to suppliers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158,579</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54,200</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54,435</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49,916</w:t>
            </w:r>
          </w:p>
        </w:tc>
      </w:tr>
      <w:tr>
        <w:trPr>
          <w:trHeight w:val="249"/>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301,249</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301,119</w:t>
            </w:r>
          </w:p>
        </w:tc>
      </w:tr>
      <w:tr>
        <w:trPr>
          <w:trHeight w:val="197"/>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Payable to growers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w:t>
            </w: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28,149</w:t>
            </w: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10"/>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73,205</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portion of operating leases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 of finance leases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26,138</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6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17,853 (2025) and 17,802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 shares issued and outstanding)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177,973</w:t>
            </w: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22,341</w:t>
            </w: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Calavo Growers, Inc shareholders’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200,332</w:t>
            </w: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201,776</w:t>
            </w:r>
          </w:p>
        </w:tc>
      </w:tr>
      <w:tr>
        <w:trPr>
          <w:trHeight w:val="210"/>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301,249</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301,119</w:t>
            </w: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973"/>
        </w:trPr>
        <w:tc>
          <w:tcPr>
            <w:tcW w:w="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 and net income (loss) from unconsolidated</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unconsolidated entities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17,899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17,893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(All amounts</w:t>
            </w: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are presented</w:t>
            </w:r>
          </w:p>
        </w:tc>
        <w:tc>
          <w:tcPr>
            <w:tcW w:w="180" w:type="dxa"/>
            <w:vAlign w:val="bottom"/>
            <w:vMerge w:val="continue"/>
          </w:tcPr>
          <w:p>
            <w:pPr>
              <w:spacing w:after="0"/>
              <w:rPr>
                <w:sz w:val="11"/>
                <w:szCs w:val="11"/>
                <w:color w:val="auto"/>
              </w:rPr>
            </w:pPr>
          </w:p>
        </w:tc>
        <w:tc>
          <w:tcPr>
            <w:tcW w:w="860" w:type="dxa"/>
            <w:vAlign w:val="bottom"/>
            <w:gridSpan w:val="2"/>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2025</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155,851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160,624</w:t>
            </w:r>
          </w:p>
        </w:tc>
        <w:tc>
          <w:tcPr>
            <w:tcW w:w="0" w:type="dxa"/>
            <w:vAlign w:val="bottom"/>
          </w:tcPr>
          <w:p>
            <w:pPr>
              <w:spacing w:after="0"/>
              <w:rPr>
                <w:sz w:val="1"/>
                <w:szCs w:val="1"/>
                <w:color w:val="auto"/>
              </w:rPr>
            </w:pPr>
          </w:p>
        </w:tc>
      </w:tr>
      <w:tr>
        <w:trPr>
          <w:trHeight w:val="21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2024</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163,218</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159,503</w:t>
            </w:r>
          </w:p>
        </w:tc>
        <w:tc>
          <w:tcPr>
            <w:tcW w:w="0" w:type="dxa"/>
            <w:vAlign w:val="bottom"/>
          </w:tcPr>
          <w:p>
            <w:pPr>
              <w:spacing w:after="0"/>
              <w:rPr>
                <w:sz w:val="1"/>
                <w:szCs w:val="1"/>
                <w:color w:val="auto"/>
              </w:rPr>
            </w:pPr>
          </w:p>
        </w:tc>
      </w:tr>
      <w:tr>
        <w:trPr>
          <w:trHeight w:val="20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(All amounts</w:t>
            </w: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are presented</w:t>
            </w:r>
          </w:p>
        </w:tc>
        <w:tc>
          <w:tcPr>
            <w:tcW w:w="180" w:type="dxa"/>
            <w:vAlign w:val="bottom"/>
            <w:vMerge w:val="continue"/>
          </w:tcPr>
          <w:p>
            <w:pPr>
              <w:spacing w:after="0"/>
              <w:rPr>
                <w:sz w:val="11"/>
                <w:szCs w:val="11"/>
                <w:color w:val="auto"/>
              </w:rPr>
            </w:pPr>
          </w:p>
        </w:tc>
        <w:tc>
          <w:tcPr>
            <w:tcW w:w="860" w:type="dxa"/>
            <w:vAlign w:val="bottom"/>
            <w:gridSpan w:val="2"/>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2025</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470,307</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431,690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471,738</w:t>
            </w:r>
          </w:p>
        </w:tc>
        <w:tc>
          <w:tcPr>
            <w:tcW w:w="0" w:type="dxa"/>
            <w:vAlign w:val="bottom"/>
          </w:tcPr>
          <w:p>
            <w:pPr>
              <w:spacing w:after="0"/>
              <w:rPr>
                <w:sz w:val="1"/>
                <w:szCs w:val="1"/>
                <w:color w:val="auto"/>
              </w:rPr>
            </w:pPr>
          </w:p>
        </w:tc>
      </w:tr>
      <w:tr>
        <w:trPr>
          <w:trHeight w:val="21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2024</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442,999</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402,041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440,071</w:t>
            </w:r>
          </w:p>
        </w:tc>
        <w:tc>
          <w:tcPr>
            <w:tcW w:w="0" w:type="dxa"/>
            <w:vAlign w:val="bottom"/>
          </w:tcPr>
          <w:p>
            <w:pPr>
              <w:spacing w:after="0"/>
              <w:rPr>
                <w:sz w:val="1"/>
                <w:szCs w:val="1"/>
                <w:color w:val="auto"/>
              </w:rPr>
            </w:pPr>
          </w:p>
        </w:tc>
      </w:tr>
      <w:tr>
        <w:trPr>
          <w:trHeight w:val="20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NET INCOME PER DILUTED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 During the first quarter of fiscal 2025, we modified our calculation of Adjusted Net Income and Adjusted EBITDA to remove income (loss) from unconsolidated entities from excluded items. During the third quarter of fiscal 2025, we further modified our calculation of Adjusted Net Income to add back stock-based compensation expense.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40" w:type="dxa"/>
            <w:vAlign w:val="bottom"/>
          </w:tcPr>
          <w:p>
            <w:pPr>
              <w:spacing w:after="0"/>
              <w:rPr>
                <w:sz w:val="15"/>
                <w:szCs w:val="15"/>
                <w:color w:val="auto"/>
              </w:rPr>
            </w:pPr>
          </w:p>
        </w:tc>
        <w:tc>
          <w:tcPr>
            <w:tcW w:w="1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from continuing operations attributable to Calavo</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management recruiting and severance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related to Mexican tax matters (b)</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Professional fees related to internal investigation and legal settlement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related expenses (c)</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loss (gain) (d)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Tariffs (e)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FDA Regulatory Hold–Related Charges (f)</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Tax impact of adjustments (g)</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net income from continuing operations per diluted share</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17,848</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479" w:hanging="330"/>
        <w:spacing w:after="0" w:line="261"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July 31, 2024, we incurred $0.9 million in severance and other costs and $0.1 million in stock-based compensation related to the departure of certain members of management.</w:t>
      </w:r>
    </w:p>
    <w:p>
      <w:pPr>
        <w:spacing w:after="0" w:line="162" w:lineRule="exact"/>
        <w:rPr>
          <w:rFonts w:ascii="Times New Roman" w:cs="Times New Roman" w:eastAsia="Times New Roman" w:hAnsi="Times New Roman"/>
          <w:sz w:val="14"/>
          <w:szCs w:val="14"/>
          <w:color w:val="auto"/>
        </w:rPr>
      </w:pPr>
    </w:p>
    <w:p>
      <w:pPr>
        <w:ind w:left="380" w:right="279" w:hanging="330"/>
        <w:spacing w:after="0" w:line="236"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July 31, 2025 and 2024, we incurred $0.3 million and $0.2 million of professional fees related to our Mexican tax matters. For the nine months ended July 31, 2025 and 2024, we incurred $0.8 million in each period. “Mexican tax matters” refers to proceedings with the SAT, including the recovery of IVA receivables, the 2013 assessment, and legal and advisory services connected to the recent court recognition of Calavo de México as a maquila. Additional information is provided in our Quarterly Report on Form 10-Q.</w:t>
      </w:r>
    </w:p>
    <w:p>
      <w:pPr>
        <w:spacing w:after="0" w:line="176" w:lineRule="exact"/>
        <w:rPr>
          <w:rFonts w:ascii="Times New Roman" w:cs="Times New Roman" w:eastAsia="Times New Roman" w:hAnsi="Times New Roman"/>
          <w:sz w:val="14"/>
          <w:szCs w:val="14"/>
          <w:color w:val="auto"/>
        </w:rPr>
      </w:pPr>
    </w:p>
    <w:p>
      <w:pPr>
        <w:jc w:val="both"/>
        <w:ind w:left="380" w:right="139" w:hanging="330"/>
        <w:spacing w:after="0" w:line="241"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July 31, 2025, and 2024, we incurred less than $0.1 million and $1.4 million of professional and consulting fees related to the FCPA investigation in Mexico. For the nine months ended July 31, 2025, and 2024, we incurred $1.0 million and $6.4 million of professional and consulting fees related to the FCPA investigation in Mexico.</w:t>
      </w:r>
    </w:p>
    <w:p>
      <w:pPr>
        <w:spacing w:after="0" w:line="176" w:lineRule="exact"/>
        <w:rPr>
          <w:rFonts w:ascii="Times New Roman" w:cs="Times New Roman" w:eastAsia="Times New Roman" w:hAnsi="Times New Roman"/>
          <w:sz w:val="14"/>
          <w:szCs w:val="14"/>
          <w:color w:val="auto"/>
        </w:rPr>
      </w:pPr>
    </w:p>
    <w:p>
      <w:pPr>
        <w:ind w:left="380" w:right="259" w:hanging="330"/>
        <w:spacing w:after="0" w:line="261"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remeasurement losses, net of gains, were $2.5 million for the three- and nine-month periods ended July 31, 2025, compared to a net loss of $4.2 million and $2.8 million for the same periods in 2024.</w:t>
      </w:r>
    </w:p>
    <w:p>
      <w:pPr>
        <w:spacing w:after="0" w:line="162" w:lineRule="exact"/>
        <w:rPr>
          <w:rFonts w:ascii="Times New Roman" w:cs="Times New Roman" w:eastAsia="Times New Roman" w:hAnsi="Times New Roman"/>
          <w:sz w:val="14"/>
          <w:szCs w:val="14"/>
          <w:color w:val="auto"/>
        </w:rPr>
      </w:pPr>
    </w:p>
    <w:p>
      <w:pPr>
        <w:ind w:left="380" w:right="139" w:hanging="330"/>
        <w:spacing w:after="0" w:line="241"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July 31, 2025, we incurred less than $0.1 million and $1.0 million in costs for tariffs that were levied primarily on United States-Mexico-Canada Agreement (USMCA) compliant goods sourced from Mexico, including over a three-day period (March 4, 2025 through March 6, 2025) before being lifted. Because of the abrupt and unanticipated nature of this discrete event, we were unable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 w:name="page14"/>
    <w:bookmarkEnd w:id="13"/>
    <w:p>
      <w:pPr>
        <w:ind w:left="380" w:right="79"/>
        <w:spacing w:after="0" w:line="260" w:lineRule="auto"/>
        <w:rPr>
          <w:sz w:val="20"/>
          <w:szCs w:val="20"/>
          <w:color w:val="auto"/>
        </w:rPr>
      </w:pPr>
      <w:r>
        <w:rPr>
          <w:rFonts w:ascii="Times New Roman" w:cs="Times New Roman" w:eastAsia="Times New Roman" w:hAnsi="Times New Roman"/>
          <w:sz w:val="14"/>
          <w:szCs w:val="14"/>
          <w:color w:val="auto"/>
        </w:rPr>
        <w:t>to pass the added cost on to customers, and we believe this expense was distortive to our results. In addition, we incurred certain minor tariffs related to fruit sourced from Peru during the third quarter of 2025.</w:t>
      </w:r>
    </w:p>
    <w:p>
      <w:pPr>
        <w:spacing w:after="0" w:line="163" w:lineRule="exact"/>
        <w:rPr>
          <w:sz w:val="20"/>
          <w:szCs w:val="20"/>
          <w:color w:val="auto"/>
        </w:rPr>
      </w:pPr>
    </w:p>
    <w:p>
      <w:pPr>
        <w:ind w:left="380" w:right="139" w:hanging="330"/>
        <w:spacing w:after="0" w:line="241"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third-party inspection and testing costs, incremental logistics/handling expenses, and inventory write-downs on fruit diverted or sold at distressed prices, resulting from the temporary FDA detention hold on certain avocado imports from Mexico during our third fiscal quarter of 2025. We believe these costs are unusual and not reflective of normal business operations.</w:t>
      </w:r>
    </w:p>
    <w:p>
      <w:pPr>
        <w:spacing w:after="0" w:line="176" w:lineRule="exact"/>
        <w:rPr>
          <w:rFonts w:ascii="Times New Roman" w:cs="Times New Roman" w:eastAsia="Times New Roman" w:hAnsi="Times New Roman"/>
          <w:sz w:val="14"/>
          <w:szCs w:val="14"/>
          <w:color w:val="auto"/>
        </w:rPr>
      </w:pP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impact of non-GAAP adjustments are based on effective year-to-date tax rates.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following table presents EBITDA and adjusted EBITDA, each a non-GAAP measure, and reconciles them to net income (loss) attributable to Calavo Growers, Inc., which is the most directly comparable GAAP measure. During the first quarter of fiscal 2025, we modified our calculation of Adjusted Net Income and Adjusted EBITDA to remove income (loss) from unconsolidated entities from excluded items.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60" w:type="dxa"/>
            <w:vAlign w:val="bottom"/>
          </w:tcPr>
          <w:p>
            <w:pPr>
              <w:spacing w:after="0"/>
              <w:rPr>
                <w:sz w:val="15"/>
                <w:szCs w:val="15"/>
                <w:color w:val="auto"/>
              </w:rPr>
            </w:pPr>
          </w:p>
        </w:tc>
        <w:tc>
          <w:tcPr>
            <w:tcW w:w="17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from continuing operations attributable to Calavo</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management recruiting and severance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 (b)</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Professional fees related to internal investigation and legal settlement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and related expenses (c)</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(gain) (d)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Tariffs (e)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FDA Regulatory Hold–Related Charges (f)</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o"/>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lvl w:ilvl="1">
      <w:lvlJc w:val="left"/>
      <w:lvlText w:val="o"/>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4"/>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2025-09-11T16:29:25Z</dcterms:created>
  <dcterms:modified xsi:type="dcterms:W3CDTF">2025-09-11T16:29:25Z</dcterms:modified>
</cp:coreProperties>
</file>