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903605</wp:posOffset>
            </wp:positionH>
            <wp:positionV relativeFrom="page">
              <wp:posOffset>431800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500380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5, 2019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California</w:t>
            </w:r>
          </w:p>
        </w:tc>
        <w:tc>
          <w:tcPr>
            <w:tcW w:w="2960" w:type="dxa"/>
            <w:vAlign w:val="bottom"/>
          </w:tcPr>
          <w:p>
            <w:pPr>
              <w:jc w:val="right"/>
              <w:ind w:right="1019"/>
              <w:spacing w:after="0"/>
              <w:rPr>
                <w:sz w:val="20"/>
                <w:szCs w:val="20"/>
                <w:color w:val="auto"/>
              </w:rPr>
            </w:pPr>
            <w:r>
              <w:rPr>
                <w:rFonts w:ascii="Arial" w:cs="Arial" w:eastAsia="Arial" w:hAnsi="Arial"/>
                <w:sz w:val="18"/>
                <w:szCs w:val="18"/>
                <w:b w:val="1"/>
                <w:bCs w:val="1"/>
                <w:color w:val="auto"/>
              </w:rPr>
              <w:t>000-33385</w:t>
            </w:r>
          </w:p>
        </w:tc>
        <w:tc>
          <w:tcPr>
            <w:tcW w:w="2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200" w:type="dxa"/>
            <w:vAlign w:val="bottom"/>
          </w:tcPr>
          <w:p>
            <w:pPr>
              <w:spacing w:after="0"/>
              <w:rPr>
                <w:sz w:val="10"/>
                <w:szCs w:val="10"/>
                <w:color w:val="auto"/>
              </w:rPr>
            </w:pPr>
          </w:p>
        </w:tc>
        <w:tc>
          <w:tcPr>
            <w:tcW w:w="2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200" w:type="dxa"/>
            <w:vAlign w:val="bottom"/>
          </w:tcPr>
          <w:p>
            <w:pPr>
              <w:spacing w:after="0"/>
              <w:rPr>
                <w:sz w:val="10"/>
                <w:szCs w:val="10"/>
                <w:color w:val="auto"/>
              </w:rPr>
            </w:pPr>
          </w:p>
        </w:tc>
        <w:tc>
          <w:tcPr>
            <w:tcW w:w="2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Jurisdiction of Incorporation)</w:t>
            </w: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20" w:hanging="241"/>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7" w:lineRule="exact"/>
        <w:rPr>
          <w:rFonts w:ascii="MS PGothic" w:cs="MS PGothic" w:eastAsia="MS PGothic" w:hAnsi="MS PGothic"/>
          <w:sz w:val="17"/>
          <w:szCs w:val="17"/>
          <w:color w:val="auto"/>
        </w:rPr>
      </w:pPr>
    </w:p>
    <w:p>
      <w:pPr>
        <w:ind w:left="266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1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12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00"/>
        </w:trPr>
        <w:tc>
          <w:tcPr>
            <w:tcW w:w="302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right="80" w:firstLine="441"/>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ectPr>
          <w:pgSz w:w="11900" w:h="16838" w:orient="portrait"/>
          <w:cols w:equalWidth="0" w:num="1">
            <w:col w:w="9060"/>
          </w:cols>
          <w:pgMar w:left="1420" w:top="989" w:right="1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left="500" w:right="219" w:hanging="490"/>
        <w:spacing w:after="0" w:line="264" w:lineRule="auto"/>
        <w:tabs>
          <w:tab w:leader="none" w:pos="8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5, 2019 Calavo Growers, Inc. issued a press release containing our financial results for the three and nine month periods ended July 31, 2019. A copy of our press release is attached hereto as Exhibit 99.1 and is incorporated by reference.</w:t>
      </w:r>
    </w:p>
    <w:p>
      <w:pPr>
        <w:spacing w:after="0" w:line="181" w:lineRule="exact"/>
        <w:rPr>
          <w:sz w:val="20"/>
          <w:szCs w:val="20"/>
          <w:color w:val="auto"/>
        </w:rPr>
      </w:pPr>
    </w:p>
    <w:p>
      <w:pPr>
        <w:ind w:left="500" w:right="99" w:firstLine="324"/>
        <w:spacing w:after="0" w:line="297" w:lineRule="auto"/>
        <w:rPr>
          <w:sz w:val="20"/>
          <w:szCs w:val="20"/>
          <w:color w:val="auto"/>
        </w:rPr>
      </w:pPr>
      <w:r>
        <w:rPr>
          <w:rFonts w:ascii="Arial" w:cs="Arial" w:eastAsia="Arial" w:hAnsi="Arial"/>
          <w:sz w:val="16"/>
          <w:szCs w:val="16"/>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00" w:hanging="49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u w:val="single" w:color="auto"/>
          <w:color w:val="0000EE"/>
        </w:rPr>
        <w:t>99.1   Press release dated September 5, 2019 of the Registrant.</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2019</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By:/s/ Lecil E. Cole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-130810</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Chairman of the Board of Directors, Chief Executive Officer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President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9060"/>
          </w:cols>
          <w:pgMar w:left="1420" w:top="121" w:right="141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Calavo Growers, Inc.</w:t>
      </w:r>
    </w:p>
    <w:p>
      <w:pPr>
        <w:spacing w:after="0" w:line="200" w:lineRule="exact"/>
        <w:rPr>
          <w:sz w:val="20"/>
          <w:szCs w:val="20"/>
          <w:color w:val="auto"/>
        </w:rPr>
      </w:pPr>
    </w:p>
    <w:p>
      <w:pPr>
        <w:sectPr>
          <w:pgSz w:w="11900" w:h="16838" w:orient="portrait"/>
          <w:cols w:equalWidth="0" w:num="2">
            <w:col w:w="380" w:space="720"/>
            <w:col w:w="7960"/>
          </w:cols>
          <w:pgMar w:left="1420" w:top="121" w:right="1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Lee E. Cole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CEO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(805) 525-1245</w:t>
      </w:r>
    </w:p>
    <w:p>
      <w:pPr>
        <w:spacing w:after="0" w:line="200" w:lineRule="exact"/>
        <w:rPr>
          <w:sz w:val="20"/>
          <w:szCs w:val="20"/>
          <w:color w:val="auto"/>
        </w:rPr>
      </w:pPr>
    </w:p>
    <w:p>
      <w:pPr>
        <w:sectPr>
          <w:pgSz w:w="11900" w:h="16838" w:orient="portrait"/>
          <w:cols w:equalWidth="0" w:num="2">
            <w:col w:w="620" w:space="480"/>
            <w:col w:w="7960"/>
          </w:cols>
          <w:pgMar w:left="1420" w:top="121" w:right="1419" w:bottom="1440" w:gutter="0" w:footer="0" w:header="0"/>
          <w:type w:val="continuous"/>
        </w:sectPr>
      </w:pPr>
    </w:p>
    <w:p>
      <w:pPr>
        <w:spacing w:after="0" w:line="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CALAVO GROWERS, INC. ANNOUNCES</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FISCAL 2019 THIRD QUARTER RESULTS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 Include:</w:t>
      </w:r>
    </w:p>
    <w:p>
      <w:pPr>
        <w:spacing w:after="0" w:line="211"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Equaled $10.6 Million; Adjusted Net Income</w:t>
      </w:r>
      <w:r>
        <w:rPr>
          <w:rFonts w:ascii="Arial" w:cs="Arial" w:eastAsia="Arial" w:hAnsi="Arial"/>
          <w:sz w:val="8"/>
          <w:szCs w:val="8"/>
          <w:color w:val="auto"/>
        </w:rPr>
        <w:t>(1)</w:t>
      </w:r>
      <w:r>
        <w:rPr>
          <w:rFonts w:ascii="Arial" w:cs="Arial" w:eastAsia="Arial" w:hAnsi="Arial"/>
          <w:sz w:val="18"/>
          <w:szCs w:val="18"/>
          <w:color w:val="auto"/>
        </w:rPr>
        <w:t xml:space="preserve"> Rose to $16.0 Million</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EPS Totaled 60 Cents; Adjusted Diluted EPS</w:t>
      </w:r>
      <w:r>
        <w:rPr>
          <w:rFonts w:ascii="Arial" w:cs="Arial" w:eastAsia="Arial" w:hAnsi="Arial"/>
          <w:sz w:val="8"/>
          <w:szCs w:val="8"/>
          <w:color w:val="auto"/>
        </w:rPr>
        <w:t>(1)</w:t>
      </w:r>
      <w:r>
        <w:rPr>
          <w:rFonts w:ascii="Arial" w:cs="Arial" w:eastAsia="Arial" w:hAnsi="Arial"/>
          <w:sz w:val="18"/>
          <w:szCs w:val="18"/>
          <w:color w:val="auto"/>
        </w:rPr>
        <w:t xml:space="preserve"> Equaled 91 Cents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Increased 8 Percent to $35.8 Million from $33.1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Rose 21 Percent to an All-Time Record $359.3 Million from $296.4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Highlights Include:</w:t>
      </w:r>
    </w:p>
    <w:p>
      <w:pPr>
        <w:spacing w:after="0" w:line="229" w:lineRule="exact"/>
        <w:rPr>
          <w:sz w:val="20"/>
          <w:szCs w:val="20"/>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Totaled $31.4 Million; Adjusted Net Income</w:t>
      </w:r>
      <w:r>
        <w:rPr>
          <w:rFonts w:ascii="Arial" w:cs="Arial" w:eastAsia="Arial" w:hAnsi="Arial"/>
          <w:sz w:val="8"/>
          <w:szCs w:val="8"/>
          <w:color w:val="auto"/>
        </w:rPr>
        <w:t>(1)</w:t>
      </w:r>
      <w:r>
        <w:rPr>
          <w:rFonts w:ascii="Arial" w:cs="Arial" w:eastAsia="Arial" w:hAnsi="Arial"/>
          <w:sz w:val="18"/>
          <w:szCs w:val="18"/>
          <w:color w:val="auto"/>
        </w:rPr>
        <w:t xml:space="preserve"> Rose 17 Percent to $45.2 Million</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Equaled $1.79; Adjusted Diluted EPS</w:t>
      </w:r>
      <w:r>
        <w:rPr>
          <w:rFonts w:ascii="Arial" w:cs="Arial" w:eastAsia="Arial" w:hAnsi="Arial"/>
          <w:sz w:val="8"/>
          <w:szCs w:val="8"/>
          <w:color w:val="auto"/>
        </w:rPr>
        <w:t>(1)</w:t>
      </w:r>
      <w:r>
        <w:rPr>
          <w:rFonts w:ascii="Arial" w:cs="Arial" w:eastAsia="Arial" w:hAnsi="Arial"/>
          <w:sz w:val="18"/>
          <w:szCs w:val="18"/>
          <w:color w:val="auto"/>
        </w:rPr>
        <w:t xml:space="preserve">  Totaled $2.57</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Increased 13 Percent to $103.4 Million from $91.3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Grew 12 Percent to $903.6 Million from $808.8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Forward for Fiscal Year 2019:</w:t>
      </w:r>
    </w:p>
    <w:p>
      <w:pPr>
        <w:spacing w:after="0" w:line="229"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CEO Cole Expects Record Revenue and over 20 Percent Increase in Adjusted Diluted EPS for Full Year</w:t>
      </w:r>
    </w:p>
    <w:p>
      <w:pPr>
        <w:spacing w:after="0" w:line="34" w:lineRule="exact"/>
        <w:rPr>
          <w:rFonts w:ascii="Arial" w:cs="Arial" w:eastAsia="Arial" w:hAnsi="Arial"/>
          <w:sz w:val="17"/>
          <w:szCs w:val="17"/>
          <w:color w:val="auto"/>
        </w:rPr>
      </w:pPr>
    </w:p>
    <w:p>
      <w:pPr>
        <w:ind w:left="2740"/>
        <w:spacing w:after="0"/>
        <w:rPr>
          <w:rFonts w:ascii="Arial" w:cs="Arial" w:eastAsia="Arial" w:hAnsi="Arial"/>
          <w:sz w:val="17"/>
          <w:szCs w:val="17"/>
          <w:color w:val="auto"/>
        </w:rPr>
      </w:pPr>
      <w:r>
        <w:rPr>
          <w:rFonts w:ascii="Arial" w:cs="Arial" w:eastAsia="Arial" w:hAnsi="Arial"/>
          <w:sz w:val="18"/>
          <w:szCs w:val="18"/>
          <w:b w:val="1"/>
          <w:bCs w:val="1"/>
          <w:color w:val="auto"/>
        </w:rPr>
        <w:t>_______________________________________________</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SANTA PAULA, Calif. (Sept. 5, 2019)—Calavo Growers, Inc. (Nasdaq-GS: CVGW) today reported that fiscal 2019 third quarter revenues rose to the highest single-period total in company history. The company, a global avocado-industry leader and rapidly expanding provider of value-added fresh food, also announced that gross profit, operating income and adjusted net income all tracked substantially higher than last year.</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For the three months ended July 31, 2019, net income totaled $10.6 million, equal to $0.60 per diluted share. This compares with net income of $12.4 million, or $0.70 per diluted share, in last year’s third quarter. Excluding certain items impacting comparability, the company reported adjusted net income</w:t>
      </w:r>
      <w:r>
        <w:rPr>
          <w:rFonts w:ascii="Arial" w:cs="Arial" w:eastAsia="Arial" w:hAnsi="Arial"/>
          <w:sz w:val="7"/>
          <w:szCs w:val="7"/>
          <w:color w:val="auto"/>
        </w:rPr>
        <w:t>(1)</w:t>
      </w:r>
      <w:r>
        <w:rPr>
          <w:rFonts w:ascii="Arial" w:cs="Arial" w:eastAsia="Arial" w:hAnsi="Arial"/>
          <w:sz w:val="16"/>
          <w:szCs w:val="16"/>
          <w:color w:val="auto"/>
        </w:rPr>
        <w:t xml:space="preserve"> of $16.0 million, equal to $0.91 per adjusted diluted share, which compares with $15.1 million, or $0.86 per adjusted diluted share, in the corresponding quarter last year.</w:t>
      </w:r>
    </w:p>
    <w:p>
      <w:pPr>
        <w:spacing w:after="0" w:line="15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Third quarter revenues rose 21 percent to a record $359.3 million from $296.4 million in the year earlier corresponding quarter. Gross profit advanced to $35.8 million, or 10.0 percent of revenues, an eight percent increase from $33.1 million, equal to 11.2 percent of revenues, in the third period of 2018. Operating income registered a 12 percent increase, climbing to $21.6 million from $19.2 million in the fiscal 2018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440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3" w:lineRule="exact"/>
        <w:rPr>
          <w:sz w:val="20"/>
          <w:szCs w:val="20"/>
          <w:color w:val="auto"/>
        </w:rPr>
      </w:pPr>
    </w:p>
    <w:p>
      <w:pPr>
        <w:jc w:val="both"/>
        <w:ind w:right="260" w:firstLine="3"/>
        <w:spacing w:after="0" w:line="221" w:lineRule="exact"/>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financial metrics, such as adjusted net income and adjusted EPS, used throughout this release are non</w:t>
      </w:r>
      <w:r>
        <w:rPr>
          <w:rFonts w:ascii="MS PGothic" w:cs="MS PGothic" w:eastAsia="MS PGothic" w:hAnsi="MS PGothic"/>
          <w:sz w:val="18"/>
          <w:szCs w:val="18"/>
          <w:color w:val="auto"/>
        </w:rPr>
        <w:t>‑</w:t>
      </w:r>
      <w:r>
        <w:rPr>
          <w:rFonts w:ascii="Arial" w:cs="Arial" w:eastAsia="Arial" w:hAnsi="Arial"/>
          <w:sz w:val="18"/>
          <w:szCs w:val="18"/>
          <w:color w:val="auto"/>
        </w:rPr>
        <w:t>GAAP measures that exclude items affecting comparability. Reconciliations of non-GAAP financial measures to GAAP financial measures are provided in the financial tables that accompany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 w:name="page5"/>
    <w:bookmarkEnd w:id="4"/>
    <w:p>
      <w:pPr>
        <w:ind w:right="180" w:firstLine="648"/>
        <w:spacing w:after="0" w:line="342" w:lineRule="auto"/>
        <w:rPr>
          <w:sz w:val="20"/>
          <w:szCs w:val="20"/>
          <w:color w:val="auto"/>
        </w:rPr>
      </w:pPr>
      <w:r>
        <w:rPr>
          <w:rFonts w:ascii="Arial" w:cs="Arial" w:eastAsia="Arial" w:hAnsi="Arial"/>
          <w:sz w:val="16"/>
          <w:szCs w:val="16"/>
          <w:color w:val="auto"/>
        </w:rPr>
        <w:t>Chairman, President and Chief Executive Officer Lee E. Cole stated: “As forecast, Calavo posted strong operating results in the third quarter, maintaining the company’s trajectory toward a record performance this fiscal year.”</w:t>
      </w:r>
    </w:p>
    <w:p>
      <w:pPr>
        <w:spacing w:after="0" w:line="124"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Cole continued: “The Fresh segment continues to power overall results, with sales increasing 38 percent and total gross profit for the segment expanding by 70 percent in the most recent quarter. Calavo’s expertise in avocado sourcing, production and sales management have enabled us to successfully navigate a range of different market conditions this year, including this most recent quarter during which strong consumer demand outpaced a lower overall industry supply.</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foreshadowed in our second quarter earnings release, the short supply and sharp increase in prices for avocados used in our Calavo Foods segment adversely impacted gross profit during our third fiscal quarter. However, we did see fruit input costs easing at the end of our third quarter which supports our expectation for improved performance in the coming fourth quarter (further described in Outlook below).</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the third quarter, Renaissance Food Group (RFG) generated higher sales and turned in sharply improved gross profit performance – nearly three-fold higher – than realized in the company’s fiscal second quarter. We are especially encouraged by the improved efficiency of our manufacturing operations, where certain factors that challenged RFG in the first half of the year – namely raw-materials cost, quality and availability – have abated.”</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Year-to-date net income through July 31, 2019 totaled $31.4 million, or $1.79 per diluted share, which compares with $33.6 million, equal to $1.91 per diluted share in the initial three quarters last year. Excluding certain items impacting comparability, the company reported that nine-month adjusted net income</w:t>
      </w:r>
      <w:r>
        <w:rPr>
          <w:rFonts w:ascii="Arial" w:cs="Arial" w:eastAsia="Arial" w:hAnsi="Arial"/>
          <w:sz w:val="8"/>
          <w:szCs w:val="8"/>
          <w:color w:val="auto"/>
        </w:rPr>
        <w:t>(1)</w:t>
      </w:r>
      <w:r>
        <w:rPr>
          <w:rFonts w:ascii="Arial" w:cs="Arial" w:eastAsia="Arial" w:hAnsi="Arial"/>
          <w:sz w:val="18"/>
          <w:szCs w:val="18"/>
          <w:color w:val="auto"/>
        </w:rPr>
        <w:t xml:space="preserve"> increased by 17 percent to $45.2 million, equal to $2.57 per adjusted diluted share, which compares with $38.7 million, or $2.20 per adjusted diluted share, in the corresponding period last year.</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Nine-month revenues rose by 12 percent to $903.6 million from $808.8 million in the fiscal 2018 initial three quarters. Year-to-date gross profit climbed 13 percent to $103.4 million, or 11.4 percent of revenues, from $91.3 million, or 11.3 percent of revenues, in the corresponding period one year ago. Operating income increased 25 percent to $61.2 million versus $49.1 million in the like three quarters of fiscal 2018.</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Calavo’s Fresh segment, third quarter sales grew 38 percent to $207.0 million from $149.8 million in the like quarter of fiscal 2018. Higher industry prices for avocados, along with a double-digit increase in tomato unit sales, principally drove top-line growth in the segment in the most recent quarter. Fresh segment gross profit climbed by more than $10 million, or about 70 percent, to $25.3 million, or 12.2 percent of segment sales, from $14.9 million, or 10.0 percent of segment sales in last year’s third quarter. Segment gross profit and margin expansion principally reflect the underlying strength of Calavo’s avocado sourcing, production and sales platform that continues “executing exceptionally well,” according to the company. Total Fresh segment (avocados, tomatoes and papayas) unit volume totaled 4.7 million in the most recent quarter, which compares with 4.9 million units in last year’s third period.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Third quarter sales in the RFG segment rose five percent to $127.5 million from $121.2 million in the corresponding quarter of fiscal 2018. The upward sales trend line is indicative of expanded customer relationships in regions where RFG has added manufacturing capabilities in recent years, most notably the segment’s Georgia production facility, which completed its first full quarter of operation. Partially offsetting that growth were lower sales from one of the segment’s co-pack partners stemming from issues discussed in last quarter’s release. Gross profit in the segment totaled $7.6 million, or 6.0 percent of segment sales. This compares with gross profit of $10.0 million, or 8.2 percent of segment sales in the fiscal 2018 third quarter. Segment gross profit in the most recent quarter represents an improvement of $4.9 million, or 177 percent from $2.8 million, or 2.4 percent of segment sales, from the immediately preceding quarter. The company said that the sharp quarter-to-quarter gross profit and margin increase primarily reflect a more favorable raw ingredient environment and improved efficiency across the segment’s manufacturing footprint.</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Calavo Foods segment third quarter sales totaled $24.8 million versus $25.3 million in the corresponding period last year. Segment gross profit totaled $2.8 million, equal to 11.4 percent of segment sales, which compares with $8.1 million, or 32.1 percent of segment sales, in the fiscal 2018 third period. As stated in CEO Cole’s comments above, Calavo Foods segment gross profit and margin were impacted by substantially higher avocado input costs versus a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ind w:right="220" w:firstLine="648"/>
        <w:spacing w:after="0" w:line="279" w:lineRule="auto"/>
        <w:rPr>
          <w:sz w:val="20"/>
          <w:szCs w:val="20"/>
          <w:color w:val="auto"/>
        </w:rPr>
      </w:pPr>
      <w:r>
        <w:rPr>
          <w:rFonts w:ascii="Arial" w:cs="Arial" w:eastAsia="Arial" w:hAnsi="Arial"/>
          <w:sz w:val="17"/>
          <w:szCs w:val="17"/>
          <w:color w:val="auto"/>
        </w:rPr>
        <w:t>Total selling, general and administrative (SG&amp;A) expense in the most recent quarter equaled $14.3 million, or 4.0 percent of total company revenues, which compares with $13.9 million or 4.7 percent of total revenues, in the third period last year. As a point of note, Calavo expanded its top line by 21 percent with just a modest increase in SG&amp;A expense, indicative of the company’s capacity to support incremental revenue and profit growth.</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Third quarter results include a non-cash, unrealized loss of approximately $5.1 million on the company’s ownership interest in Limoneira Company. (Owing to a recent generally accepted accounting principle – or “GAAP” – rule change, unrealized “paper” gains and losses on investments are now included in the company’s income statement.) The company’s loss from unconsolidated subsidiaries narrowed by nearly $1.2 million to $2.5 million in the most recent quarter from approximately $3.7 million in the fiscal 2018 third quarter. The reduced loss from unconsolidated subsidiaries both on a sequential and year-over-year basis reflects a narrower loss in the most recent period at FreshRealm.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Looking forward, CEO Cole stated: “Based on our operating performance in the most-recent quarter and fiscal 2019 to date, Calavo enters our final quarter squarely on target to post record revenues and adjusted diluted earnings per share— and I am forecasting an increase of over 20 percent in adjusted diluted earnings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“Underscoring my optimism and confidence is the robust performance of our Fresh avocado segment,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continues to execute extremely well. Our breadth of resources enables our leadership position in the long-term expansion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avocado industry. Calavo has demonstrated strength navigating this dynamic market across a range of conditions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even though total all-source industry volume was lower than we expected in the third quarter, we continue to anticipate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Fresh segment gross profit for the full year exceeding 50 percent.”</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Cole continued: “Our RFG segment, as previously forecast, continues to improve; the notable quarter-to-quarter increase in sales and gross profit are promising indicators. In particular, the results this quarter from our established manufacturing facilities give us added confidence in our long-term strategy of bringing more of our manufacturing operations under direct company control. While we continue to make advances optimizing our existing manufacturing operations, we are also investing in new facilities to build stronger footholds in additional regions. Following our first full quarter of production in Georgia, our newest production facility in the Pacific Northwest is coming online during the fourth quarter, which should bolster our long-term growth potential. For the full year 2019, we continue to forecast high-single-digit revenue growth and an overall gross profit percentage that is slightly higher than our year-to-date results for RFG.</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 reiterate that Calavo Foods remains a highly complementary part of the company’s business strategy, extending our brand presence both in the retail and food-service categories. Gross profit and margin have been adversely impacted by high avocado prices this year. However, we anticipate month-to-month improvement across the fourth quarter with margins nearing the segment’s historic norms by the end of the fiscal year. We are also expecting stronger top-line sales growth during the final quarter, leading to mid-single-digits sales growth for the year for our Foods segment.</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“FreshRealm, the unconsolidated subsidiary in which Calavo holds a minority ownership stake, made some further progress. The business’ newest customers continued to ramp (leading to sequential quarter growth in sales) and its cost-reduction program led to lower loss realization.</w:t>
      </w:r>
    </w:p>
    <w:p>
      <w:pPr>
        <w:spacing w:after="0" w:line="18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advance toward the conclusion of fiscal 2019 in a very strong position that underscores my confidence for Calavo’s potential for the current year and well into the future. Our company has in place a very strong, flexible strategic platform – with multiple revenue and profit drivers – capable of performing well across a range of market conditions as Calavo has repeatedly demonstrated. With so much to build on, I look forward to the course ahead and reporting our continued progress,” Cole concluded.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ind w:right="300"/>
        <w:spacing w:after="0" w:line="274" w:lineRule="auto"/>
        <w:rPr>
          <w:sz w:val="20"/>
          <w:szCs w:val="20"/>
          <w:color w:val="auto"/>
        </w:rPr>
      </w:pPr>
      <w:r>
        <w:rPr>
          <w:rFonts w:ascii="Arial" w:cs="Arial" w:eastAsia="Arial" w:hAnsi="Arial"/>
          <w:sz w:val="17"/>
          <w:szCs w:val="17"/>
          <w:color w:val="auto"/>
        </w:rPr>
        <w:t>papayas. The Renaissance Food Group (RFG) segment creates, markets and distributes a portfolio of healthy, fresh foods, including fresh-cut fruit, fresh-cut vegetables and prepared foods. The Foods segment manufactures and</w:t>
      </w:r>
    </w:p>
    <w:p>
      <w:pPr>
        <w:ind w:right="240"/>
        <w:spacing w:after="0" w:line="290" w:lineRule="auto"/>
        <w:rPr>
          <w:sz w:val="20"/>
          <w:szCs w:val="20"/>
          <w:color w:val="auto"/>
        </w:rPr>
      </w:pPr>
      <w:r>
        <w:rPr>
          <w:rFonts w:ascii="Arial" w:cs="Arial" w:eastAsia="Arial" w:hAnsi="Arial"/>
          <w:sz w:val="17"/>
          <w:szCs w:val="17"/>
          <w:color w:val="auto"/>
        </w:rPr>
        <w:t>distributes guacamole and salsa. Founded in 1924, Calavo’s fresh food products are sold under the respected Calavo brand name as well as Garden Highway, Chef Essentials and a variety of private label and store brands.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subsidiaries;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subsidiaries;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w:t>
            </w: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October 31,</w:t>
            </w:r>
          </w:p>
        </w:tc>
      </w:tr>
      <w:tr>
        <w:trPr>
          <w:trHeight w:val="171"/>
        </w:trPr>
        <w:tc>
          <w:tcPr>
            <w:tcW w:w="7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Accounts receivable, net of allowances of $4,122 (2019) and $3,227 (2018)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66,143</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16,727</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Advances to suppliers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128,510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131,245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122,143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18,262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FreshRealm</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r>
      <w:tr>
        <w:trPr>
          <w:trHeight w:val="230"/>
        </w:trPr>
        <w:tc>
          <w:tcPr>
            <w:tcW w:w="7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413,047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367,736</w:t>
            </w:r>
          </w:p>
        </w:tc>
      </w:tr>
      <w:tr>
        <w:trPr>
          <w:trHeight w:val="203"/>
        </w:trPr>
        <w:tc>
          <w:tcPr>
            <w:tcW w:w="710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Payable to growers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34,597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14,001</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38,521</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long-term obligations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10"/>
        </w:trPr>
        <w:tc>
          <w:tcPr>
            <w:tcW w:w="7100" w:type="dxa"/>
            <w:vAlign w:val="bottom"/>
          </w:tcPr>
          <w:p>
            <w:pPr>
              <w:ind w:left="22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299,162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264,959</w:t>
            </w:r>
          </w:p>
        </w:tc>
      </w:tr>
      <w:tr>
        <w:trPr>
          <w:trHeight w:val="217"/>
        </w:trPr>
        <w:tc>
          <w:tcPr>
            <w:tcW w:w="7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413,047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367,736</w:t>
            </w:r>
          </w:p>
        </w:tc>
      </w:tr>
      <w:tr>
        <w:trPr>
          <w:trHeight w:val="777"/>
        </w:trPr>
        <w:tc>
          <w:tcPr>
            <w:tcW w:w="7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359,332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808,752</w:t>
            </w:r>
          </w:p>
        </w:tc>
        <w:tc>
          <w:tcPr>
            <w:tcW w:w="22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323,557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800,152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717,403</w:t>
            </w:r>
          </w:p>
        </w:tc>
        <w:tc>
          <w:tcPr>
            <w:tcW w:w="22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103,449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2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42,285</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19,177</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49,064</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Income before provision for income taxes and loss from</w:t>
            </w: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17,147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19,448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54,446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49,241</w:t>
            </w:r>
          </w:p>
        </w:tc>
        <w:tc>
          <w:tcPr>
            <w:tcW w:w="2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w:t>
            </w:r>
          </w:p>
        </w:tc>
        <w:tc>
          <w:tcPr>
            <w:tcW w:w="2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(11,944)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(3,399)</w:t>
            </w:r>
          </w:p>
        </w:tc>
        <w:tc>
          <w:tcPr>
            <w:tcW w:w="22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tcPr>
          <w:p>
            <w:pPr>
              <w:spacing w:after="0"/>
              <w:rPr>
                <w:sz w:val="18"/>
                <w:szCs w:val="18"/>
                <w:color w:val="auto"/>
              </w:rPr>
            </w:pPr>
          </w:p>
        </w:tc>
      </w:tr>
      <w:tr>
        <w:trPr>
          <w:trHeight w:val="217"/>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33,611</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tcPr>
          <w:p>
            <w:pPr>
              <w:spacing w:after="0"/>
              <w:rPr>
                <w:sz w:val="19"/>
                <w:szCs w:val="19"/>
                <w:color w:val="auto"/>
              </w:rPr>
            </w:pPr>
          </w:p>
        </w:tc>
      </w:tr>
      <w:tr>
        <w:trPr>
          <w:trHeight w:val="22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17,517</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220" w:type="dxa"/>
            <w:vAlign w:val="bottom"/>
            <w:tcBorders>
              <w:bottom w:val="single" w:sz="8" w:color="CCEEFF"/>
            </w:tcBorders>
          </w:tcPr>
          <w:p>
            <w:pPr>
              <w:spacing w:after="0"/>
              <w:rPr>
                <w:sz w:val="19"/>
                <w:szCs w:val="19"/>
                <w:color w:val="auto"/>
              </w:rPr>
            </w:pPr>
          </w:p>
        </w:tc>
      </w:tr>
      <w:tr>
        <w:trPr>
          <w:trHeight w:val="22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777"/>
        </w:trPr>
        <w:tc>
          <w:tcPr>
            <w:tcW w:w="5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Fresh</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Calavo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products</w:t>
            </w: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Foods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2019</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206,989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24,832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127,511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359,332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181,668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119,889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323,557</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Three months ended July 31, 2018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149,834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121,245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296,419</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134,903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17,199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111,247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For the three months ended July 31, 2019 and 2018, inter-segment sales and cost of sales of $0.5 million and $0.3 million between Fresh products and RFG were eliminated. For the three months ended July 31, 2019 and 2018, inter-segment sales and cost of sales of $1.0 million and $0.8 million between Calavo Foods and RFG were eliminated. For the three months ended July 31, 2019 and 2018, inter-segment sales and cost of sales of $0.2 million and $0.1 million between Fresh products and Calavo Foods were eliminated.</w:t>
      </w:r>
    </w:p>
    <w:tbl>
      <w:tblPr>
        <w:tblLayout w:type="fixed"/>
        <w:tblInd w:w="0" w:type="dxa"/>
        <w:tblCellMar>
          <w:top w:w="0" w:type="dxa"/>
          <w:left w:w="0" w:type="dxa"/>
          <w:bottom w:w="0" w:type="dxa"/>
          <w:right w:w="0" w:type="dxa"/>
        </w:tblCellMar>
      </w:tblPr>
      <w:tr>
        <w:trPr>
          <w:trHeight w:val="143"/>
        </w:trPr>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Fresh</w:t>
            </w:r>
          </w:p>
        </w:tc>
        <w:tc>
          <w:tcPr>
            <w:tcW w:w="680" w:type="dxa"/>
            <w:vAlign w:val="bottom"/>
          </w:tcPr>
          <w:p>
            <w:pPr>
              <w:jc w:val="right"/>
              <w:ind w:right="34"/>
              <w:spacing w:after="0" w:line="143" w:lineRule="exact"/>
              <w:rPr>
                <w:sz w:val="20"/>
                <w:szCs w:val="20"/>
                <w:color w:val="auto"/>
              </w:rPr>
            </w:pPr>
            <w:r>
              <w:rPr>
                <w:rFonts w:ascii="Arial" w:cs="Arial" w:eastAsia="Arial" w:hAnsi="Arial"/>
                <w:sz w:val="14"/>
                <w:szCs w:val="14"/>
                <w:b w:val="1"/>
                <w:bCs w:val="1"/>
                <w:color w:val="auto"/>
              </w:rPr>
              <w:t>Calavo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12"/>
                <w:szCs w:val="12"/>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products</w:t>
            </w: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Foods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2019</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474,779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$ 68,258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360,564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903,601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400,902</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346,579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800,152</w:t>
            </w: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73,877</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$ 15,587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103,449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Nine months ended July 31, 2018</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410,554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$ 66,290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808,752</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366,246</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306,535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717,403</w:t>
            </w: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44,308</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$ 21,668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29"/>
        <w:spacing w:after="0" w:line="257" w:lineRule="auto"/>
        <w:rPr>
          <w:sz w:val="20"/>
          <w:szCs w:val="20"/>
          <w:color w:val="auto"/>
        </w:rPr>
      </w:pPr>
      <w:r>
        <w:rPr>
          <w:rFonts w:ascii="Arial" w:cs="Arial" w:eastAsia="Arial" w:hAnsi="Arial"/>
          <w:sz w:val="18"/>
          <w:szCs w:val="18"/>
          <w:color w:val="auto"/>
        </w:rPr>
        <w:t>For the nine months ended July 31, 2019 and 2018, inter-segment sales and cost of sales of $1.4 million and $1.0 million between Fresh products and RFG were eliminated. For the nine months ended July 31, 2019 and 2018, inter-segment sales and cost of sales of $2.7 million and $2.5 million between Calavo Foods and RFG were eliminated. For the nine months ended July 31, 2019 and 2018, inter-segment sales and cost of sales of $0.4 million and $0.2 million between Fresh products and Calavo Foods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608965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4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w w:val="95"/>
              </w:rPr>
              <w:t>Nine months ended</w:t>
            </w:r>
          </w:p>
        </w:tc>
      </w:tr>
      <w:tr>
        <w:trPr>
          <w:trHeight w:val="17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4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Calavo Growers,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31,435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33,611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FreshRealm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Gain on sale-Temecula packinghouse, net sales commission (b)</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non-cash tax charges from Tax Cut &amp; Jobs Act (c)</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Certain management transition expenses (d)</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Tax impact of adjustments (f)</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(1,035)</w:t>
            </w:r>
          </w:p>
        </w:tc>
      </w:tr>
      <w:tr>
        <w:trPr>
          <w:trHeight w:val="217"/>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45,162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38,684</w:t>
            </w:r>
          </w:p>
        </w:tc>
      </w:tr>
      <w:tr>
        <w:trPr>
          <w:trHeight w:val="216"/>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17,605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17,567</w:t>
            </w:r>
          </w:p>
        </w:tc>
      </w:tr>
      <w:tr>
        <w:trPr>
          <w:trHeight w:val="102"/>
        </w:trPr>
        <w:tc>
          <w:tcPr>
            <w:tcW w:w="22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94" w:lineRule="exact"/>
        <w:rPr>
          <w:sz w:val="20"/>
          <w:szCs w:val="20"/>
          <w:color w:val="auto"/>
        </w:rPr>
      </w:pPr>
    </w:p>
    <w:p>
      <w:pPr>
        <w:ind w:left="320" w:hanging="323"/>
        <w:spacing w:after="0" w:line="270" w:lineRule="auto"/>
        <w:tabs>
          <w:tab w:leader="none" w:pos="300" w:val="left"/>
        </w:tabs>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For the three months ended July 31, 2019 and 2018, FreshRealm incurred losses totaling $6.2 million and $7.1 million, of which we recorded $2.3 million and $3.5 million of non-cash losses during our third fiscal quarter of 2019 and 2018. For the nine months ended July 31, 2019 and 2018, FreshRealm incurred losses totaling $25.0 million and $20.9 million, of which we recorded $11.9 million and $3.5 million of non-cash losses during the first nine months of fiscal 2019 and 2018. Additional details regarding FreshRealm will be included in Calavo’s quarterly report on Form 10-Q soon to be filed with the U.S. Securities and Exchange Commission for the three months ended July 31, 2019.</w:t>
      </w:r>
    </w:p>
    <w:p>
      <w:pPr>
        <w:spacing w:after="0" w:line="100" w:lineRule="exact"/>
        <w:rPr>
          <w:sz w:val="20"/>
          <w:szCs w:val="20"/>
          <w:color w:val="auto"/>
        </w:rPr>
      </w:pPr>
    </w:p>
    <w:p>
      <w:pPr>
        <w:ind w:left="320" w:right="80" w:hanging="317"/>
        <w:spacing w:after="0" w:line="273"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($6.7 million, net of transaction costs totaling $0.4 million) and, concurrently, leased back a portion of the facility representing approximately one-third of the total square footage. As a result, we recognized a gain of approximately $1.9 million ($1.6 million net of sales commissions) in our second quarter.</w:t>
      </w:r>
    </w:p>
    <w:p>
      <w:pPr>
        <w:spacing w:after="0" w:line="81" w:lineRule="exact"/>
        <w:rPr>
          <w:rFonts w:ascii="Arial" w:cs="Arial" w:eastAsia="Arial" w:hAnsi="Arial"/>
          <w:sz w:val="16"/>
          <w:szCs w:val="16"/>
          <w:color w:val="auto"/>
        </w:rPr>
      </w:pPr>
    </w:p>
    <w:p>
      <w:pPr>
        <w:jc w:val="both"/>
        <w:ind w:left="320" w:right="280" w:hanging="317"/>
        <w:spacing w:after="0" w:line="278"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76" w:lineRule="exact"/>
        <w:rPr>
          <w:rFonts w:ascii="Arial" w:cs="Arial" w:eastAsia="Arial" w:hAnsi="Arial"/>
          <w:sz w:val="16"/>
          <w:szCs w:val="16"/>
          <w:color w:val="auto"/>
        </w:rPr>
      </w:pPr>
    </w:p>
    <w:p>
      <w:pPr>
        <w:ind w:left="320" w:right="80" w:hanging="317"/>
        <w:spacing w:after="0" w:line="293"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First quarter of fiscal 2018 results include higher stock-based compensation expense related to senior management transitions, which does not impact the underlying cost structure of the company.</w:t>
      </w:r>
    </w:p>
    <w:p>
      <w:pPr>
        <w:spacing w:after="0" w:line="63" w:lineRule="exact"/>
        <w:rPr>
          <w:rFonts w:ascii="Arial" w:cs="Arial" w:eastAsia="Arial" w:hAnsi="Arial"/>
          <w:sz w:val="16"/>
          <w:szCs w:val="16"/>
          <w:color w:val="auto"/>
        </w:rPr>
      </w:pPr>
    </w:p>
    <w:p>
      <w:pPr>
        <w:ind w:left="320" w:hanging="317"/>
        <w:spacing w:after="0" w:line="270"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fiscal 2019, we adopted a new ASU which requires us to record changes in fair value of equity investments, including our investment in Limoneira (LMNR) common stock, in net income during the period. In the third quarter, we recorded $5.1 million in unrealized losses related to these mark-to-market adjustments, which previously would have been recorded in other comprehensive income. For the nine months ended July 31, 2019, we recorded $8.2 million in unrealized losses related to these mark-to-market adjustments. Additionally, we sold 51,271 shares of Limoneira stock during the first quarter of fiscal 2019 and recorded a loss of $0.1 million.</w:t>
      </w:r>
    </w:p>
    <w:p>
      <w:pPr>
        <w:spacing w:after="0" w:line="81" w:lineRule="exact"/>
        <w:rPr>
          <w:rFonts w:ascii="Arial" w:cs="Arial" w:eastAsia="Arial" w:hAnsi="Arial"/>
          <w:sz w:val="16"/>
          <w:szCs w:val="16"/>
          <w:color w:val="auto"/>
        </w:rPr>
      </w:pPr>
    </w:p>
    <w:p>
      <w:pPr>
        <w:ind w:left="320" w:right="200" w:hanging="317"/>
        <w:spacing w:after="0" w:line="293" w:lineRule="auto"/>
        <w:tabs>
          <w:tab w:leader="none" w:pos="333"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to the one-time tax charges mentioned in note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2019-11-29T11:23:10Z</dcterms:created>
  <dcterms:modified xsi:type="dcterms:W3CDTF">2019-11-29T11:23:10Z</dcterms:modified>
</cp:coreProperties>
</file>