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189"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8-K</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CURRENT REPORT PURSUANT</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TO SECTION 13 OR 15(d) OF THE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EXCHANGE ACT OF 1934</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April 22, 2020</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CALAVO GROWERS, INC.</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Charter)</w:t>
      </w:r>
    </w:p>
    <w:p>
      <w:pPr>
        <w:spacing w:after="0" w:line="192" w:lineRule="exact"/>
        <w:rPr>
          <w:sz w:val="24"/>
          <w:szCs w:val="24"/>
          <w:color w:val="auto"/>
        </w:rPr>
      </w:pPr>
    </w:p>
    <w:tbl>
      <w:tblPr>
        <w:tblLayout w:type="fixed"/>
        <w:tblInd w:w="960" w:type="dxa"/>
        <w:tblCellMar>
          <w:top w:w="0" w:type="dxa"/>
          <w:left w:w="0" w:type="dxa"/>
          <w:bottom w:w="0" w:type="dxa"/>
          <w:right w:w="0" w:type="dxa"/>
        </w:tblCellMar>
      </w:tblPr>
      <w:tr>
        <w:trPr>
          <w:trHeight w:val="234"/>
        </w:trPr>
        <w:tc>
          <w:tcPr>
            <w:tcW w:w="25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California</w:t>
            </w:r>
          </w:p>
        </w:tc>
        <w:tc>
          <w:tcPr>
            <w:tcW w:w="2320" w:type="dxa"/>
            <w:vAlign w:val="bottom"/>
          </w:tcPr>
          <w:p>
            <w:pPr>
              <w:jc w:val="right"/>
              <w:ind w:right="699"/>
              <w:spacing w:after="0"/>
              <w:rPr>
                <w:sz w:val="20"/>
                <w:szCs w:val="20"/>
                <w:color w:val="auto"/>
              </w:rPr>
            </w:pPr>
            <w:r>
              <w:rPr>
                <w:rFonts w:ascii="Arial" w:cs="Arial" w:eastAsia="Arial" w:hAnsi="Arial"/>
                <w:sz w:val="18"/>
                <w:szCs w:val="18"/>
                <w:b w:val="1"/>
                <w:bCs w:val="1"/>
                <w:color w:val="auto"/>
              </w:rPr>
              <w:t>000-33385</w:t>
            </w:r>
          </w:p>
        </w:tc>
        <w:tc>
          <w:tcPr>
            <w:tcW w:w="180" w:type="dxa"/>
            <w:vAlign w:val="bottom"/>
          </w:tcPr>
          <w:p>
            <w:pPr>
              <w:spacing w:after="0"/>
              <w:rPr>
                <w:sz w:val="20"/>
                <w:szCs w:val="20"/>
                <w:color w:val="auto"/>
              </w:rPr>
            </w:pPr>
          </w:p>
        </w:tc>
        <w:tc>
          <w:tcPr>
            <w:tcW w:w="2100" w:type="dxa"/>
            <w:vAlign w:val="bottom"/>
          </w:tcPr>
          <w:p>
            <w:pPr>
              <w:jc w:val="center"/>
              <w:spacing w:after="0"/>
              <w:rPr>
                <w:sz w:val="20"/>
                <w:szCs w:val="20"/>
                <w:color w:val="auto"/>
              </w:rPr>
            </w:pPr>
            <w:r>
              <w:rPr>
                <w:rFonts w:ascii="Arial" w:cs="Arial" w:eastAsia="Arial" w:hAnsi="Arial"/>
                <w:sz w:val="18"/>
                <w:szCs w:val="18"/>
                <w:b w:val="1"/>
                <w:bCs w:val="1"/>
                <w:color w:val="auto"/>
                <w:w w:val="89"/>
              </w:rPr>
              <w:t>33-0945304</w:t>
            </w:r>
          </w:p>
        </w:tc>
      </w:tr>
      <w:tr>
        <w:trPr>
          <w:trHeight w:val="123"/>
        </w:trPr>
        <w:tc>
          <w:tcPr>
            <w:tcW w:w="232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2"/>
              </w:rPr>
              <w:t>(State or Other</w:t>
            </w:r>
          </w:p>
        </w:tc>
        <w:tc>
          <w:tcPr>
            <w:tcW w:w="180" w:type="dxa"/>
            <w:vAlign w:val="bottom"/>
          </w:tcPr>
          <w:p>
            <w:pPr>
              <w:spacing w:after="0"/>
              <w:rPr>
                <w:sz w:val="10"/>
                <w:szCs w:val="10"/>
                <w:color w:val="auto"/>
              </w:rPr>
            </w:pPr>
          </w:p>
        </w:tc>
        <w:tc>
          <w:tcPr>
            <w:tcW w:w="232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4"/>
              </w:rPr>
              <w:t>(Commission File Number)</w:t>
            </w:r>
          </w:p>
        </w:tc>
        <w:tc>
          <w:tcPr>
            <w:tcW w:w="180" w:type="dxa"/>
            <w:vAlign w:val="bottom"/>
          </w:tcPr>
          <w:p>
            <w:pPr>
              <w:spacing w:after="0"/>
              <w:rPr>
                <w:sz w:val="10"/>
                <w:szCs w:val="10"/>
                <w:color w:val="auto"/>
              </w:rPr>
            </w:pPr>
          </w:p>
        </w:tc>
        <w:tc>
          <w:tcPr>
            <w:tcW w:w="210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4"/>
              </w:rPr>
              <w:t>(IRS Employer</w:t>
            </w:r>
          </w:p>
        </w:tc>
      </w:tr>
      <w:tr>
        <w:trPr>
          <w:trHeight w:val="182"/>
        </w:trPr>
        <w:tc>
          <w:tcPr>
            <w:tcW w:w="2500" w:type="dxa"/>
            <w:vAlign w:val="bottom"/>
            <w:gridSpan w:val="2"/>
          </w:tcPr>
          <w:p>
            <w:pPr>
              <w:jc w:val="center"/>
              <w:ind w:right="200"/>
              <w:spacing w:after="0"/>
              <w:rPr>
                <w:sz w:val="20"/>
                <w:szCs w:val="20"/>
                <w:color w:val="auto"/>
              </w:rPr>
            </w:pPr>
            <w:r>
              <w:rPr>
                <w:rFonts w:ascii="Arial" w:cs="Arial" w:eastAsia="Arial" w:hAnsi="Arial"/>
                <w:sz w:val="14"/>
                <w:szCs w:val="14"/>
                <w:color w:val="auto"/>
                <w:w w:val="96"/>
              </w:rPr>
              <w:t>Jurisdiction of Incorporation)</w:t>
            </w:r>
          </w:p>
        </w:tc>
        <w:tc>
          <w:tcPr>
            <w:tcW w:w="2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tcPr>
          <w:p>
            <w:pPr>
              <w:jc w:val="center"/>
              <w:spacing w:after="0"/>
              <w:rPr>
                <w:sz w:val="20"/>
                <w:szCs w:val="20"/>
                <w:color w:val="auto"/>
              </w:rPr>
            </w:pPr>
            <w:r>
              <w:rPr>
                <w:rFonts w:ascii="Arial" w:cs="Arial" w:eastAsia="Arial" w:hAnsi="Arial"/>
                <w:sz w:val="14"/>
                <w:szCs w:val="14"/>
                <w:color w:val="auto"/>
                <w:w w:val="97"/>
              </w:rPr>
              <w:t>Identification No.)</w:t>
            </w:r>
          </w:p>
        </w:tc>
      </w:tr>
    </w:tbl>
    <w:p>
      <w:pPr>
        <w:spacing w:after="0" w:line="30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1141-A Cummings Road, Santa Paula, California 93060</w:t>
      </w: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-130175</wp:posOffset>
            </wp:positionV>
            <wp:extent cx="56489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-130175</wp:posOffset>
            </wp:positionV>
            <wp:extent cx="56489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18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(805) 525-1245</w:t>
      </w:r>
    </w:p>
    <w:p>
      <w:pPr>
        <w:spacing w:after="0" w:line="216" w:lineRule="exact"/>
        <w:rPr>
          <w:sz w:val="24"/>
          <w:szCs w:val="24"/>
          <w:color w:val="auto"/>
        </w:rPr>
      </w:pPr>
    </w:p>
    <w:p>
      <w:pPr>
        <w:ind w:left="60" w:right="359"/>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57" w:lineRule="exact"/>
        <w:rPr>
          <w:sz w:val="24"/>
          <w:szCs w:val="24"/>
          <w:color w:val="auto"/>
        </w:rPr>
      </w:pPr>
    </w:p>
    <w:p>
      <w:pPr>
        <w:ind w:left="300" w:hanging="250"/>
        <w:spacing w:after="0"/>
        <w:tabs>
          <w:tab w:leader="none" w:pos="3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300" w:hanging="250"/>
        <w:spacing w:after="0"/>
        <w:tabs>
          <w:tab w:leader="none" w:pos="3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300" w:hanging="250"/>
        <w:spacing w:after="0"/>
        <w:tabs>
          <w:tab w:leader="none" w:pos="3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223" w:lineRule="exact"/>
        <w:rPr>
          <w:rFonts w:ascii="MS PGothic" w:cs="MS PGothic" w:eastAsia="MS PGothic" w:hAnsi="MS PGothic"/>
          <w:sz w:val="17"/>
          <w:szCs w:val="17"/>
          <w:color w:val="auto"/>
        </w:rPr>
      </w:pPr>
    </w:p>
    <w:p>
      <w:pPr>
        <w:ind w:left="300" w:hanging="250"/>
        <w:spacing w:after="0"/>
        <w:tabs>
          <w:tab w:leader="none" w:pos="3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228" w:lineRule="exact"/>
        <w:rPr>
          <w:sz w:val="24"/>
          <w:szCs w:val="24"/>
          <w:color w:val="auto"/>
        </w:rPr>
      </w:pPr>
    </w:p>
    <w:p>
      <w:pPr>
        <w:ind w:left="6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21" w:lineRule="exact"/>
        <w:rPr>
          <w:sz w:val="24"/>
          <w:szCs w:val="24"/>
          <w:color w:val="auto"/>
        </w:rPr>
      </w:pPr>
    </w:p>
    <w:tbl>
      <w:tblPr>
        <w:tblLayout w:type="fixed"/>
        <w:tblInd w:w="40" w:type="dxa"/>
        <w:tblCellMar>
          <w:top w:w="0" w:type="dxa"/>
          <w:left w:w="0" w:type="dxa"/>
          <w:bottom w:w="0" w:type="dxa"/>
          <w:right w:w="0" w:type="dxa"/>
        </w:tblCellMar>
      </w:tblPr>
      <w:tr>
        <w:trPr>
          <w:trHeight w:val="206"/>
        </w:trPr>
        <w:tc>
          <w:tcPr>
            <w:tcW w:w="310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Title of each class</w:t>
            </w:r>
          </w:p>
        </w:tc>
        <w:tc>
          <w:tcPr>
            <w:tcW w:w="2760" w:type="dxa"/>
            <w:vAlign w:val="bottom"/>
            <w:gridSpan w:val="2"/>
          </w:tcPr>
          <w:p>
            <w:pPr>
              <w:jc w:val="center"/>
              <w:ind w:right="140"/>
              <w:spacing w:after="0"/>
              <w:rPr>
                <w:sz w:val="20"/>
                <w:szCs w:val="20"/>
                <w:color w:val="auto"/>
              </w:rPr>
            </w:pPr>
            <w:r>
              <w:rPr>
                <w:rFonts w:ascii="Arial" w:cs="Arial" w:eastAsia="Arial" w:hAnsi="Arial"/>
                <w:sz w:val="16"/>
                <w:szCs w:val="16"/>
                <w:color w:val="auto"/>
                <w:w w:val="93"/>
              </w:rPr>
              <w:t>Trading Symbol(s)</w:t>
            </w:r>
          </w:p>
        </w:tc>
        <w:tc>
          <w:tcPr>
            <w:tcW w:w="3040" w:type="dxa"/>
            <w:vAlign w:val="bottom"/>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33"/>
        </w:trPr>
        <w:tc>
          <w:tcPr>
            <w:tcW w:w="2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r>
      <w:tr>
        <w:trPr>
          <w:trHeight w:val="200"/>
        </w:trPr>
        <w:tc>
          <w:tcPr>
            <w:tcW w:w="2980" w:type="dxa"/>
            <w:vAlign w:val="bottom"/>
          </w:tcPr>
          <w:p>
            <w:pPr>
              <w:jc w:val="center"/>
              <w:spacing w:after="0"/>
              <w:rPr>
                <w:sz w:val="20"/>
                <w:szCs w:val="20"/>
                <w:color w:val="auto"/>
              </w:rPr>
            </w:pPr>
            <w:r>
              <w:rPr>
                <w:rFonts w:ascii="Arial" w:cs="Arial" w:eastAsia="Arial" w:hAnsi="Arial"/>
                <w:sz w:val="16"/>
                <w:szCs w:val="16"/>
                <w:color w:val="auto"/>
                <w:w w:val="93"/>
              </w:rPr>
              <w:t>Common Stock</w:t>
            </w:r>
          </w:p>
        </w:tc>
        <w:tc>
          <w:tcPr>
            <w:tcW w:w="120" w:type="dxa"/>
            <w:vAlign w:val="bottom"/>
          </w:tcPr>
          <w:p>
            <w:pPr>
              <w:spacing w:after="0"/>
              <w:rPr>
                <w:sz w:val="17"/>
                <w:szCs w:val="17"/>
                <w:color w:val="auto"/>
              </w:rPr>
            </w:pPr>
          </w:p>
        </w:tc>
        <w:tc>
          <w:tcPr>
            <w:tcW w:w="2620" w:type="dxa"/>
            <w:vAlign w:val="bottom"/>
          </w:tcPr>
          <w:p>
            <w:pPr>
              <w:jc w:val="center"/>
              <w:spacing w:after="0"/>
              <w:rPr>
                <w:sz w:val="20"/>
                <w:szCs w:val="20"/>
                <w:color w:val="auto"/>
              </w:rPr>
            </w:pPr>
            <w:r>
              <w:rPr>
                <w:rFonts w:ascii="Arial" w:cs="Arial" w:eastAsia="Arial" w:hAnsi="Arial"/>
                <w:sz w:val="16"/>
                <w:szCs w:val="16"/>
                <w:color w:val="auto"/>
              </w:rPr>
              <w:t>CVGW</w:t>
            </w:r>
          </w:p>
        </w:tc>
        <w:tc>
          <w:tcPr>
            <w:tcW w:w="140" w:type="dxa"/>
            <w:vAlign w:val="bottom"/>
          </w:tcPr>
          <w:p>
            <w:pPr>
              <w:spacing w:after="0"/>
              <w:rPr>
                <w:sz w:val="17"/>
                <w:szCs w:val="17"/>
                <w:color w:val="auto"/>
              </w:rPr>
            </w:pPr>
          </w:p>
        </w:tc>
        <w:tc>
          <w:tcPr>
            <w:tcW w:w="3040" w:type="dxa"/>
            <w:vAlign w:val="bottom"/>
          </w:tcPr>
          <w:p>
            <w:pPr>
              <w:jc w:val="center"/>
              <w:spacing w:after="0"/>
              <w:rPr>
                <w:sz w:val="20"/>
                <w:szCs w:val="20"/>
                <w:color w:val="auto"/>
              </w:rPr>
            </w:pPr>
            <w:r>
              <w:rPr>
                <w:rFonts w:ascii="Arial" w:cs="Arial" w:eastAsia="Arial" w:hAnsi="Arial"/>
                <w:sz w:val="16"/>
                <w:szCs w:val="16"/>
                <w:color w:val="auto"/>
                <w:w w:val="92"/>
              </w:rPr>
              <w:t>Nasdaq Global Market</w:t>
            </w:r>
          </w:p>
        </w:tc>
      </w:tr>
    </w:tbl>
    <w:p>
      <w:pPr>
        <w:spacing w:after="0" w:line="184" w:lineRule="exact"/>
        <w:rPr>
          <w:sz w:val="24"/>
          <w:szCs w:val="24"/>
          <w:color w:val="auto"/>
        </w:rPr>
      </w:pPr>
    </w:p>
    <w:p>
      <w:pPr>
        <w:ind w:left="60" w:right="99" w:firstLine="441"/>
        <w:spacing w:after="0" w:line="263"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7" w:lineRule="exact"/>
        <w:rPr>
          <w:sz w:val="24"/>
          <w:szCs w:val="24"/>
          <w:color w:val="auto"/>
        </w:rPr>
      </w:pPr>
    </w:p>
    <w:p>
      <w:pPr>
        <w:ind w:left="50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44" w:lineRule="exact"/>
        <w:rPr>
          <w:sz w:val="24"/>
          <w:szCs w:val="24"/>
          <w:color w:val="auto"/>
        </w:rPr>
      </w:pPr>
    </w:p>
    <w:p>
      <w:pPr>
        <w:ind w:left="60" w:right="159" w:firstLine="441"/>
        <w:spacing w:after="0" w:line="22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691515</wp:posOffset>
            </wp:positionV>
            <wp:extent cx="565785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116840</wp:posOffset>
            </wp:positionV>
            <wp:extent cx="56578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151130</wp:posOffset>
            </wp:positionV>
            <wp:extent cx="565785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989" w:right="1440" w:bottom="1440" w:gutter="0" w:footer="0" w:header="0"/>
        </w:sectPr>
      </w:pPr>
    </w:p>
    <w:bookmarkStart w:id="1" w:name="page2"/>
    <w:bookmarkEnd w:id="1"/>
    <w:p>
      <w:pPr>
        <w:ind w:left="60"/>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29" w:lineRule="exact"/>
        <w:rPr>
          <w:sz w:val="20"/>
          <w:szCs w:val="20"/>
          <w:color w:val="auto"/>
        </w:rPr>
      </w:pPr>
    </w:p>
    <w:p>
      <w:pPr>
        <w:ind w:left="60" w:right="579" w:firstLine="648"/>
        <w:spacing w:after="0" w:line="277" w:lineRule="auto"/>
        <w:rPr>
          <w:sz w:val="20"/>
          <w:szCs w:val="20"/>
          <w:color w:val="auto"/>
        </w:rPr>
      </w:pPr>
      <w:r>
        <w:rPr>
          <w:rFonts w:ascii="Arial" w:cs="Arial" w:eastAsia="Arial" w:hAnsi="Arial"/>
          <w:sz w:val="18"/>
          <w:szCs w:val="18"/>
          <w:color w:val="auto"/>
        </w:rPr>
        <w:t>On April 22, 2020, we held the annual meeting of shareholders of Calavo Growers, Inc. At the meeting, the holders of our outstanding common stock acted on the following matters:</w:t>
      </w:r>
    </w:p>
    <w:p>
      <w:pPr>
        <w:spacing w:after="0" w:line="170" w:lineRule="exact"/>
        <w:rPr>
          <w:sz w:val="20"/>
          <w:szCs w:val="20"/>
          <w:color w:val="auto"/>
        </w:rPr>
      </w:pPr>
    </w:p>
    <w:p>
      <w:pPr>
        <w:ind w:left="60" w:right="139" w:firstLine="314"/>
        <w:spacing w:after="0" w:line="277" w:lineRule="auto"/>
        <w:tabs>
          <w:tab w:leader="none" w:pos="708"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shareholders voted and elected the following 13 directors, each to serve for a term of one year. Each nominee received the following votes:</w:t>
      </w:r>
    </w:p>
    <w:p>
      <w:pPr>
        <w:spacing w:after="0" w:line="175" w:lineRule="exact"/>
        <w:rPr>
          <w:sz w:val="20"/>
          <w:szCs w:val="20"/>
          <w:color w:val="auto"/>
        </w:rPr>
      </w:pPr>
    </w:p>
    <w:tbl>
      <w:tblPr>
        <w:tblLayout w:type="fixed"/>
        <w:tblInd w:w="900" w:type="dxa"/>
        <w:tblCellMar>
          <w:top w:w="0" w:type="dxa"/>
          <w:left w:w="0" w:type="dxa"/>
          <w:bottom w:w="0" w:type="dxa"/>
          <w:right w:w="0" w:type="dxa"/>
        </w:tblCellMar>
      </w:tblPr>
      <w:tr>
        <w:trPr>
          <w:trHeight w:val="230"/>
        </w:trPr>
        <w:tc>
          <w:tcPr>
            <w:tcW w:w="2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gridSpan w:val="2"/>
          </w:tcPr>
          <w:p>
            <w:pPr>
              <w:jc w:val="center"/>
              <w:ind w:right="220"/>
              <w:spacing w:after="0"/>
              <w:rPr>
                <w:sz w:val="20"/>
                <w:szCs w:val="20"/>
                <w:color w:val="auto"/>
              </w:rPr>
            </w:pPr>
            <w:r>
              <w:rPr>
                <w:rFonts w:ascii="Arial" w:cs="Arial" w:eastAsia="Arial" w:hAnsi="Arial"/>
                <w:sz w:val="20"/>
                <w:szCs w:val="20"/>
                <w:b w:val="1"/>
                <w:bCs w:val="1"/>
                <w:color w:val="auto"/>
                <w:w w:val="84"/>
              </w:rPr>
              <w:t>Votes</w:t>
            </w:r>
          </w:p>
        </w:tc>
        <w:tc>
          <w:tcPr>
            <w:tcW w:w="1720" w:type="dxa"/>
            <w:vAlign w:val="bottom"/>
            <w:gridSpan w:val="2"/>
          </w:tcPr>
          <w:p>
            <w:pPr>
              <w:jc w:val="center"/>
              <w:ind w:right="220"/>
              <w:spacing w:after="0"/>
              <w:rPr>
                <w:sz w:val="20"/>
                <w:szCs w:val="20"/>
                <w:color w:val="auto"/>
              </w:rPr>
            </w:pPr>
            <w:r>
              <w:rPr>
                <w:rFonts w:ascii="Arial" w:cs="Arial" w:eastAsia="Arial" w:hAnsi="Arial"/>
                <w:sz w:val="20"/>
                <w:szCs w:val="20"/>
                <w:b w:val="1"/>
                <w:bCs w:val="1"/>
                <w:color w:val="auto"/>
                <w:w w:val="84"/>
              </w:rPr>
              <w:t>Votes</w:t>
            </w:r>
          </w:p>
        </w:tc>
        <w:tc>
          <w:tcPr>
            <w:tcW w:w="1260" w:type="dxa"/>
            <w:vAlign w:val="bottom"/>
          </w:tcPr>
          <w:p>
            <w:pPr>
              <w:jc w:val="right"/>
              <w:ind w:right="241"/>
              <w:spacing w:after="0"/>
              <w:rPr>
                <w:sz w:val="20"/>
                <w:szCs w:val="20"/>
                <w:color w:val="auto"/>
              </w:rPr>
            </w:pPr>
            <w:r>
              <w:rPr>
                <w:rFonts w:ascii="Arial" w:cs="Arial" w:eastAsia="Arial" w:hAnsi="Arial"/>
                <w:sz w:val="20"/>
                <w:szCs w:val="20"/>
                <w:b w:val="1"/>
                <w:bCs w:val="1"/>
                <w:color w:val="auto"/>
              </w:rPr>
              <w:t>Broker</w:t>
            </w:r>
          </w:p>
        </w:tc>
      </w:tr>
      <w:tr>
        <w:trPr>
          <w:trHeight w:val="252"/>
        </w:trPr>
        <w:tc>
          <w:tcPr>
            <w:tcW w:w="2520" w:type="dxa"/>
            <w:vAlign w:val="bottom"/>
            <w:gridSpan w:val="2"/>
          </w:tcPr>
          <w:p>
            <w:pPr>
              <w:ind w:left="80"/>
              <w:spacing w:after="0"/>
              <w:rPr>
                <w:sz w:val="20"/>
                <w:szCs w:val="20"/>
                <w:color w:val="auto"/>
              </w:rPr>
            </w:pPr>
            <w:r>
              <w:rPr>
                <w:rFonts w:ascii="Arial" w:cs="Arial" w:eastAsia="Arial" w:hAnsi="Arial"/>
                <w:sz w:val="20"/>
                <w:szCs w:val="20"/>
                <w:b w:val="1"/>
                <w:bCs w:val="1"/>
                <w:color w:val="auto"/>
              </w:rPr>
              <w:t>Name of Nominee</w:t>
            </w:r>
          </w:p>
        </w:tc>
        <w:tc>
          <w:tcPr>
            <w:tcW w:w="1720" w:type="dxa"/>
            <w:vAlign w:val="bottom"/>
            <w:gridSpan w:val="2"/>
          </w:tcPr>
          <w:p>
            <w:pPr>
              <w:jc w:val="center"/>
              <w:ind w:right="220"/>
              <w:spacing w:after="0"/>
              <w:rPr>
                <w:sz w:val="20"/>
                <w:szCs w:val="20"/>
                <w:color w:val="auto"/>
              </w:rPr>
            </w:pPr>
            <w:r>
              <w:rPr>
                <w:rFonts w:ascii="Arial" w:cs="Arial" w:eastAsia="Arial" w:hAnsi="Arial"/>
                <w:sz w:val="20"/>
                <w:szCs w:val="20"/>
                <w:b w:val="1"/>
                <w:bCs w:val="1"/>
                <w:color w:val="auto"/>
                <w:w w:val="92"/>
              </w:rPr>
              <w:t>For</w:t>
            </w:r>
          </w:p>
        </w:tc>
        <w:tc>
          <w:tcPr>
            <w:tcW w:w="1720" w:type="dxa"/>
            <w:vAlign w:val="bottom"/>
            <w:gridSpan w:val="2"/>
          </w:tcPr>
          <w:p>
            <w:pPr>
              <w:jc w:val="center"/>
              <w:ind w:right="220"/>
              <w:spacing w:after="0"/>
              <w:rPr>
                <w:sz w:val="20"/>
                <w:szCs w:val="20"/>
                <w:color w:val="auto"/>
              </w:rPr>
            </w:pPr>
            <w:r>
              <w:rPr>
                <w:rFonts w:ascii="Arial" w:cs="Arial" w:eastAsia="Arial" w:hAnsi="Arial"/>
                <w:sz w:val="20"/>
                <w:szCs w:val="20"/>
                <w:b w:val="1"/>
                <w:bCs w:val="1"/>
                <w:color w:val="auto"/>
                <w:w w:val="92"/>
              </w:rPr>
              <w:t>Withheld</w:t>
            </w:r>
          </w:p>
        </w:tc>
        <w:tc>
          <w:tcPr>
            <w:tcW w:w="1260" w:type="dxa"/>
            <w:vAlign w:val="bottom"/>
          </w:tcPr>
          <w:p>
            <w:pPr>
              <w:jc w:val="right"/>
              <w:ind w:right="101"/>
              <w:spacing w:after="0"/>
              <w:rPr>
                <w:sz w:val="20"/>
                <w:szCs w:val="20"/>
                <w:color w:val="auto"/>
              </w:rPr>
            </w:pPr>
            <w:r>
              <w:rPr>
                <w:rFonts w:ascii="Arial" w:cs="Arial" w:eastAsia="Arial" w:hAnsi="Arial"/>
                <w:sz w:val="20"/>
                <w:szCs w:val="20"/>
                <w:b w:val="1"/>
                <w:bCs w:val="1"/>
                <w:color w:val="auto"/>
              </w:rPr>
              <w:t>Non-Votes</w:t>
            </w:r>
          </w:p>
        </w:tc>
      </w:tr>
      <w:tr>
        <w:trPr>
          <w:trHeight w:val="223"/>
        </w:trPr>
        <w:tc>
          <w:tcPr>
            <w:tcW w:w="2300" w:type="dxa"/>
            <w:vAlign w:val="bottom"/>
            <w:tcBorders>
              <w:top w:val="single" w:sz="8" w:color="auto"/>
            </w:tcBorders>
            <w:shd w:val="clear" w:color="auto" w:fill="CCEEFF"/>
          </w:tcPr>
          <w:p>
            <w:pPr>
              <w:ind w:left="80"/>
              <w:spacing w:after="0" w:line="223" w:lineRule="exact"/>
              <w:rPr>
                <w:sz w:val="20"/>
                <w:szCs w:val="20"/>
                <w:color w:val="auto"/>
              </w:rPr>
            </w:pPr>
            <w:r>
              <w:rPr>
                <w:rFonts w:ascii="Arial" w:cs="Arial" w:eastAsia="Arial" w:hAnsi="Arial"/>
                <w:sz w:val="20"/>
                <w:szCs w:val="20"/>
                <w:color w:val="auto"/>
              </w:rPr>
              <w:t>Lecil E. Cole</w:t>
            </w:r>
          </w:p>
        </w:tc>
        <w:tc>
          <w:tcPr>
            <w:tcW w:w="2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ind w:right="1"/>
              <w:spacing w:after="0" w:line="223" w:lineRule="exact"/>
              <w:rPr>
                <w:sz w:val="20"/>
                <w:szCs w:val="20"/>
                <w:color w:val="auto"/>
              </w:rPr>
            </w:pPr>
            <w:r>
              <w:rPr>
                <w:rFonts w:ascii="Arial" w:cs="Arial" w:eastAsia="Arial" w:hAnsi="Arial"/>
                <w:sz w:val="20"/>
                <w:szCs w:val="20"/>
                <w:color w:val="auto"/>
              </w:rPr>
              <w:t>7,516,798</w:t>
            </w:r>
          </w:p>
        </w:tc>
        <w:tc>
          <w:tcPr>
            <w:tcW w:w="2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ind w:right="1"/>
              <w:spacing w:after="0" w:line="223" w:lineRule="exact"/>
              <w:rPr>
                <w:sz w:val="20"/>
                <w:szCs w:val="20"/>
                <w:color w:val="auto"/>
              </w:rPr>
            </w:pPr>
            <w:r>
              <w:rPr>
                <w:rFonts w:ascii="Arial" w:cs="Arial" w:eastAsia="Arial" w:hAnsi="Arial"/>
                <w:sz w:val="20"/>
                <w:szCs w:val="20"/>
                <w:color w:val="auto"/>
              </w:rPr>
              <w:t>4,380,514</w:t>
            </w:r>
          </w:p>
        </w:tc>
        <w:tc>
          <w:tcPr>
            <w:tcW w:w="2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ind w:right="1"/>
              <w:spacing w:after="0" w:line="223" w:lineRule="exact"/>
              <w:rPr>
                <w:sz w:val="20"/>
                <w:szCs w:val="20"/>
                <w:color w:val="auto"/>
              </w:rPr>
            </w:pPr>
            <w:r>
              <w:rPr>
                <w:rFonts w:ascii="Arial" w:cs="Arial" w:eastAsia="Arial" w:hAnsi="Arial"/>
                <w:sz w:val="20"/>
                <w:szCs w:val="20"/>
                <w:color w:val="auto"/>
              </w:rPr>
              <w:t>1,749,020</w:t>
            </w:r>
          </w:p>
        </w:tc>
      </w:tr>
      <w:tr>
        <w:trPr>
          <w:trHeight w:val="230"/>
        </w:trPr>
        <w:tc>
          <w:tcPr>
            <w:tcW w:w="2520" w:type="dxa"/>
            <w:vAlign w:val="bottom"/>
            <w:gridSpan w:val="2"/>
          </w:tcPr>
          <w:p>
            <w:pPr>
              <w:ind w:left="80"/>
              <w:spacing w:after="0"/>
              <w:rPr>
                <w:sz w:val="20"/>
                <w:szCs w:val="20"/>
                <w:color w:val="auto"/>
              </w:rPr>
            </w:pPr>
            <w:r>
              <w:rPr>
                <w:rFonts w:ascii="Arial" w:cs="Arial" w:eastAsia="Arial" w:hAnsi="Arial"/>
                <w:sz w:val="20"/>
                <w:szCs w:val="20"/>
                <w:color w:val="auto"/>
              </w:rPr>
              <w:t>James D. Helin</w:t>
            </w:r>
          </w:p>
        </w:tc>
        <w:tc>
          <w:tcPr>
            <w:tcW w:w="1520" w:type="dxa"/>
            <w:vAlign w:val="bottom"/>
          </w:tcPr>
          <w:p>
            <w:pPr>
              <w:jc w:val="right"/>
              <w:ind w:right="1"/>
              <w:spacing w:after="0"/>
              <w:rPr>
                <w:sz w:val="20"/>
                <w:szCs w:val="20"/>
                <w:color w:val="auto"/>
              </w:rPr>
            </w:pPr>
            <w:r>
              <w:rPr>
                <w:rFonts w:ascii="Arial" w:cs="Arial" w:eastAsia="Arial" w:hAnsi="Arial"/>
                <w:sz w:val="20"/>
                <w:szCs w:val="20"/>
                <w:color w:val="auto"/>
              </w:rPr>
              <w:t>11,220,584</w:t>
            </w:r>
          </w:p>
        </w:tc>
        <w:tc>
          <w:tcPr>
            <w:tcW w:w="200" w:type="dxa"/>
            <w:vAlign w:val="bottom"/>
          </w:tcPr>
          <w:p>
            <w:pPr>
              <w:spacing w:after="0"/>
              <w:rPr>
                <w:sz w:val="19"/>
                <w:szCs w:val="19"/>
                <w:color w:val="auto"/>
              </w:rPr>
            </w:pPr>
          </w:p>
        </w:tc>
        <w:tc>
          <w:tcPr>
            <w:tcW w:w="1520" w:type="dxa"/>
            <w:vAlign w:val="bottom"/>
          </w:tcPr>
          <w:p>
            <w:pPr>
              <w:jc w:val="right"/>
              <w:ind w:right="1"/>
              <w:spacing w:after="0"/>
              <w:rPr>
                <w:sz w:val="20"/>
                <w:szCs w:val="20"/>
                <w:color w:val="auto"/>
              </w:rPr>
            </w:pPr>
            <w:r>
              <w:rPr>
                <w:rFonts w:ascii="Arial" w:cs="Arial" w:eastAsia="Arial" w:hAnsi="Arial"/>
                <w:sz w:val="20"/>
                <w:szCs w:val="20"/>
                <w:color w:val="auto"/>
              </w:rPr>
              <w:t>696,228</w:t>
            </w:r>
          </w:p>
        </w:tc>
        <w:tc>
          <w:tcPr>
            <w:tcW w:w="200" w:type="dxa"/>
            <w:vAlign w:val="bottom"/>
          </w:tcPr>
          <w:p>
            <w:pPr>
              <w:spacing w:after="0"/>
              <w:rPr>
                <w:sz w:val="19"/>
                <w:szCs w:val="19"/>
                <w:color w:val="auto"/>
              </w:rPr>
            </w:pPr>
          </w:p>
        </w:tc>
        <w:tc>
          <w:tcPr>
            <w:tcW w:w="1260" w:type="dxa"/>
            <w:vAlign w:val="bottom"/>
          </w:tcPr>
          <w:p>
            <w:pPr>
              <w:jc w:val="right"/>
              <w:ind w:right="1"/>
              <w:spacing w:after="0"/>
              <w:rPr>
                <w:sz w:val="20"/>
                <w:szCs w:val="20"/>
                <w:color w:val="auto"/>
              </w:rPr>
            </w:pPr>
            <w:r>
              <w:rPr>
                <w:rFonts w:ascii="Arial" w:cs="Arial" w:eastAsia="Arial" w:hAnsi="Arial"/>
                <w:sz w:val="20"/>
                <w:szCs w:val="20"/>
                <w:color w:val="auto"/>
              </w:rPr>
              <w:t>1,749,020</w:t>
            </w:r>
          </w:p>
        </w:tc>
      </w:tr>
      <w:tr>
        <w:trPr>
          <w:trHeight w:val="229"/>
        </w:trPr>
        <w:tc>
          <w:tcPr>
            <w:tcW w:w="2520" w:type="dxa"/>
            <w:vAlign w:val="bottom"/>
            <w:gridSpan w:val="2"/>
            <w:shd w:val="clear" w:color="auto" w:fill="CCEEFF"/>
          </w:tcPr>
          <w:p>
            <w:pPr>
              <w:ind w:left="80"/>
              <w:spacing w:after="0"/>
              <w:rPr>
                <w:sz w:val="20"/>
                <w:szCs w:val="20"/>
                <w:color w:val="auto"/>
              </w:rPr>
            </w:pPr>
            <w:r>
              <w:rPr>
                <w:rFonts w:ascii="Arial" w:cs="Arial" w:eastAsia="Arial" w:hAnsi="Arial"/>
                <w:sz w:val="20"/>
                <w:szCs w:val="20"/>
                <w:color w:val="auto"/>
              </w:rPr>
              <w:t>Donald M. Sanders</w:t>
            </w:r>
          </w:p>
        </w:tc>
        <w:tc>
          <w:tcPr>
            <w:tcW w:w="15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7,737,835</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4,379,008</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1,749,020</w:t>
            </w:r>
          </w:p>
        </w:tc>
      </w:tr>
      <w:tr>
        <w:trPr>
          <w:trHeight w:val="229"/>
        </w:trPr>
        <w:tc>
          <w:tcPr>
            <w:tcW w:w="2520" w:type="dxa"/>
            <w:vAlign w:val="bottom"/>
            <w:gridSpan w:val="2"/>
          </w:tcPr>
          <w:p>
            <w:pPr>
              <w:ind w:left="80"/>
              <w:spacing w:after="0"/>
              <w:rPr>
                <w:sz w:val="20"/>
                <w:szCs w:val="20"/>
                <w:color w:val="auto"/>
              </w:rPr>
            </w:pPr>
            <w:r>
              <w:rPr>
                <w:rFonts w:ascii="Arial" w:cs="Arial" w:eastAsia="Arial" w:hAnsi="Arial"/>
                <w:sz w:val="20"/>
                <w:szCs w:val="20"/>
                <w:color w:val="auto"/>
              </w:rPr>
              <w:t>Marc L. Brown</w:t>
            </w:r>
          </w:p>
        </w:tc>
        <w:tc>
          <w:tcPr>
            <w:tcW w:w="1520" w:type="dxa"/>
            <w:vAlign w:val="bottom"/>
          </w:tcPr>
          <w:p>
            <w:pPr>
              <w:jc w:val="right"/>
              <w:ind w:right="1"/>
              <w:spacing w:after="0"/>
              <w:rPr>
                <w:sz w:val="20"/>
                <w:szCs w:val="20"/>
                <w:color w:val="auto"/>
              </w:rPr>
            </w:pPr>
            <w:r>
              <w:rPr>
                <w:rFonts w:ascii="Arial" w:cs="Arial" w:eastAsia="Arial" w:hAnsi="Arial"/>
                <w:sz w:val="20"/>
                <w:szCs w:val="20"/>
                <w:color w:val="auto"/>
              </w:rPr>
              <w:t>7,676,669</w:t>
            </w:r>
          </w:p>
        </w:tc>
        <w:tc>
          <w:tcPr>
            <w:tcW w:w="200" w:type="dxa"/>
            <w:vAlign w:val="bottom"/>
          </w:tcPr>
          <w:p>
            <w:pPr>
              <w:spacing w:after="0"/>
              <w:rPr>
                <w:sz w:val="19"/>
                <w:szCs w:val="19"/>
                <w:color w:val="auto"/>
              </w:rPr>
            </w:pPr>
          </w:p>
        </w:tc>
        <w:tc>
          <w:tcPr>
            <w:tcW w:w="1520" w:type="dxa"/>
            <w:vAlign w:val="bottom"/>
          </w:tcPr>
          <w:p>
            <w:pPr>
              <w:jc w:val="right"/>
              <w:ind w:right="1"/>
              <w:spacing w:after="0"/>
              <w:rPr>
                <w:sz w:val="20"/>
                <w:szCs w:val="20"/>
                <w:color w:val="auto"/>
              </w:rPr>
            </w:pPr>
            <w:r>
              <w:rPr>
                <w:rFonts w:ascii="Arial" w:cs="Arial" w:eastAsia="Arial" w:hAnsi="Arial"/>
                <w:sz w:val="20"/>
                <w:szCs w:val="20"/>
                <w:color w:val="auto"/>
              </w:rPr>
              <w:t>4,363,643</w:t>
            </w:r>
          </w:p>
        </w:tc>
        <w:tc>
          <w:tcPr>
            <w:tcW w:w="200" w:type="dxa"/>
            <w:vAlign w:val="bottom"/>
          </w:tcPr>
          <w:p>
            <w:pPr>
              <w:spacing w:after="0"/>
              <w:rPr>
                <w:sz w:val="19"/>
                <w:szCs w:val="19"/>
                <w:color w:val="auto"/>
              </w:rPr>
            </w:pPr>
          </w:p>
        </w:tc>
        <w:tc>
          <w:tcPr>
            <w:tcW w:w="1260" w:type="dxa"/>
            <w:vAlign w:val="bottom"/>
          </w:tcPr>
          <w:p>
            <w:pPr>
              <w:jc w:val="right"/>
              <w:ind w:right="1"/>
              <w:spacing w:after="0"/>
              <w:rPr>
                <w:sz w:val="20"/>
                <w:szCs w:val="20"/>
                <w:color w:val="auto"/>
              </w:rPr>
            </w:pPr>
            <w:r>
              <w:rPr>
                <w:rFonts w:ascii="Arial" w:cs="Arial" w:eastAsia="Arial" w:hAnsi="Arial"/>
                <w:sz w:val="20"/>
                <w:szCs w:val="20"/>
                <w:color w:val="auto"/>
              </w:rPr>
              <w:t>1,749,020</w:t>
            </w:r>
          </w:p>
        </w:tc>
      </w:tr>
      <w:tr>
        <w:trPr>
          <w:trHeight w:val="230"/>
        </w:trPr>
        <w:tc>
          <w:tcPr>
            <w:tcW w:w="2520" w:type="dxa"/>
            <w:vAlign w:val="bottom"/>
            <w:gridSpan w:val="2"/>
            <w:shd w:val="clear" w:color="auto" w:fill="CCEEFF"/>
          </w:tcPr>
          <w:p>
            <w:pPr>
              <w:ind w:left="80"/>
              <w:spacing w:after="0"/>
              <w:rPr>
                <w:sz w:val="20"/>
                <w:szCs w:val="20"/>
                <w:color w:val="auto"/>
              </w:rPr>
            </w:pPr>
            <w:r>
              <w:rPr>
                <w:rFonts w:ascii="Arial" w:cs="Arial" w:eastAsia="Arial" w:hAnsi="Arial"/>
                <w:sz w:val="20"/>
                <w:szCs w:val="20"/>
                <w:color w:val="auto"/>
              </w:rPr>
              <w:t>Michael A. DiGregorio</w:t>
            </w:r>
          </w:p>
        </w:tc>
        <w:tc>
          <w:tcPr>
            <w:tcW w:w="15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11,227,183</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670,129</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1,749,020</w:t>
            </w:r>
          </w:p>
        </w:tc>
      </w:tr>
      <w:tr>
        <w:trPr>
          <w:trHeight w:val="229"/>
        </w:trPr>
        <w:tc>
          <w:tcPr>
            <w:tcW w:w="2520" w:type="dxa"/>
            <w:vAlign w:val="bottom"/>
            <w:gridSpan w:val="2"/>
          </w:tcPr>
          <w:p>
            <w:pPr>
              <w:ind w:left="80"/>
              <w:spacing w:after="0"/>
              <w:rPr>
                <w:sz w:val="20"/>
                <w:szCs w:val="20"/>
                <w:color w:val="auto"/>
              </w:rPr>
            </w:pPr>
            <w:r>
              <w:rPr>
                <w:rFonts w:ascii="Arial" w:cs="Arial" w:eastAsia="Arial" w:hAnsi="Arial"/>
                <w:sz w:val="20"/>
                <w:szCs w:val="20"/>
                <w:color w:val="auto"/>
              </w:rPr>
              <w:t>Scott Van Der Kar</w:t>
            </w:r>
          </w:p>
        </w:tc>
        <w:tc>
          <w:tcPr>
            <w:tcW w:w="1520" w:type="dxa"/>
            <w:vAlign w:val="bottom"/>
          </w:tcPr>
          <w:p>
            <w:pPr>
              <w:jc w:val="right"/>
              <w:ind w:right="1"/>
              <w:spacing w:after="0"/>
              <w:rPr>
                <w:sz w:val="20"/>
                <w:szCs w:val="20"/>
                <w:color w:val="auto"/>
              </w:rPr>
            </w:pPr>
            <w:r>
              <w:rPr>
                <w:rFonts w:ascii="Arial" w:cs="Arial" w:eastAsia="Arial" w:hAnsi="Arial"/>
                <w:sz w:val="20"/>
                <w:szCs w:val="20"/>
                <w:color w:val="auto"/>
              </w:rPr>
              <w:t>9,119,180</w:t>
            </w:r>
          </w:p>
        </w:tc>
        <w:tc>
          <w:tcPr>
            <w:tcW w:w="200" w:type="dxa"/>
            <w:vAlign w:val="bottom"/>
          </w:tcPr>
          <w:p>
            <w:pPr>
              <w:spacing w:after="0"/>
              <w:rPr>
                <w:sz w:val="19"/>
                <w:szCs w:val="19"/>
                <w:color w:val="auto"/>
              </w:rPr>
            </w:pPr>
          </w:p>
        </w:tc>
        <w:tc>
          <w:tcPr>
            <w:tcW w:w="1520" w:type="dxa"/>
            <w:vAlign w:val="bottom"/>
          </w:tcPr>
          <w:p>
            <w:pPr>
              <w:jc w:val="right"/>
              <w:ind w:right="1"/>
              <w:spacing w:after="0"/>
              <w:rPr>
                <w:sz w:val="20"/>
                <w:szCs w:val="20"/>
                <w:color w:val="auto"/>
              </w:rPr>
            </w:pPr>
            <w:r>
              <w:rPr>
                <w:rFonts w:ascii="Arial" w:cs="Arial" w:eastAsia="Arial" w:hAnsi="Arial"/>
                <w:sz w:val="20"/>
                <w:szCs w:val="20"/>
                <w:color w:val="auto"/>
              </w:rPr>
              <w:t>4,387,610</w:t>
            </w:r>
          </w:p>
        </w:tc>
        <w:tc>
          <w:tcPr>
            <w:tcW w:w="200" w:type="dxa"/>
            <w:vAlign w:val="bottom"/>
          </w:tcPr>
          <w:p>
            <w:pPr>
              <w:spacing w:after="0"/>
              <w:rPr>
                <w:sz w:val="19"/>
                <w:szCs w:val="19"/>
                <w:color w:val="auto"/>
              </w:rPr>
            </w:pPr>
          </w:p>
        </w:tc>
        <w:tc>
          <w:tcPr>
            <w:tcW w:w="1260" w:type="dxa"/>
            <w:vAlign w:val="bottom"/>
          </w:tcPr>
          <w:p>
            <w:pPr>
              <w:jc w:val="right"/>
              <w:ind w:right="1"/>
              <w:spacing w:after="0"/>
              <w:rPr>
                <w:sz w:val="20"/>
                <w:szCs w:val="20"/>
                <w:color w:val="auto"/>
              </w:rPr>
            </w:pPr>
            <w:r>
              <w:rPr>
                <w:rFonts w:ascii="Arial" w:cs="Arial" w:eastAsia="Arial" w:hAnsi="Arial"/>
                <w:sz w:val="20"/>
                <w:szCs w:val="20"/>
                <w:color w:val="auto"/>
              </w:rPr>
              <w:t>1,749,020</w:t>
            </w:r>
          </w:p>
        </w:tc>
      </w:tr>
      <w:tr>
        <w:trPr>
          <w:trHeight w:val="230"/>
        </w:trPr>
        <w:tc>
          <w:tcPr>
            <w:tcW w:w="2520" w:type="dxa"/>
            <w:vAlign w:val="bottom"/>
            <w:gridSpan w:val="2"/>
            <w:shd w:val="clear" w:color="auto" w:fill="CCEEFF"/>
          </w:tcPr>
          <w:p>
            <w:pPr>
              <w:ind w:left="80"/>
              <w:spacing w:after="0"/>
              <w:rPr>
                <w:sz w:val="20"/>
                <w:szCs w:val="20"/>
                <w:color w:val="auto"/>
              </w:rPr>
            </w:pPr>
            <w:r>
              <w:rPr>
                <w:rFonts w:ascii="Arial" w:cs="Arial" w:eastAsia="Arial" w:hAnsi="Arial"/>
                <w:sz w:val="20"/>
                <w:szCs w:val="20"/>
                <w:color w:val="auto"/>
              </w:rPr>
              <w:t>J. Link Leavens</w:t>
            </w:r>
          </w:p>
        </w:tc>
        <w:tc>
          <w:tcPr>
            <w:tcW w:w="15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10,945,945</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4,413,267</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1,749,020</w:t>
            </w:r>
          </w:p>
        </w:tc>
      </w:tr>
      <w:tr>
        <w:trPr>
          <w:trHeight w:val="229"/>
        </w:trPr>
        <w:tc>
          <w:tcPr>
            <w:tcW w:w="2520" w:type="dxa"/>
            <w:vAlign w:val="bottom"/>
            <w:gridSpan w:val="2"/>
          </w:tcPr>
          <w:p>
            <w:pPr>
              <w:ind w:left="80"/>
              <w:spacing w:after="0"/>
              <w:rPr>
                <w:sz w:val="20"/>
                <w:szCs w:val="20"/>
                <w:color w:val="auto"/>
              </w:rPr>
            </w:pPr>
            <w:r>
              <w:rPr>
                <w:rFonts w:ascii="Arial" w:cs="Arial" w:eastAsia="Arial" w:hAnsi="Arial"/>
                <w:sz w:val="20"/>
                <w:szCs w:val="20"/>
                <w:color w:val="auto"/>
              </w:rPr>
              <w:t>Dorcas H. Thille</w:t>
            </w:r>
          </w:p>
        </w:tc>
        <w:tc>
          <w:tcPr>
            <w:tcW w:w="1520" w:type="dxa"/>
            <w:vAlign w:val="bottom"/>
          </w:tcPr>
          <w:p>
            <w:pPr>
              <w:jc w:val="right"/>
              <w:ind w:right="1"/>
              <w:spacing w:after="0"/>
              <w:rPr>
                <w:sz w:val="20"/>
                <w:szCs w:val="20"/>
                <w:color w:val="auto"/>
              </w:rPr>
            </w:pPr>
            <w:r>
              <w:rPr>
                <w:rFonts w:ascii="Arial" w:cs="Arial" w:eastAsia="Arial" w:hAnsi="Arial"/>
                <w:sz w:val="20"/>
                <w:szCs w:val="20"/>
                <w:color w:val="auto"/>
              </w:rPr>
              <w:t>8,010,559</w:t>
            </w:r>
          </w:p>
        </w:tc>
        <w:tc>
          <w:tcPr>
            <w:tcW w:w="200" w:type="dxa"/>
            <w:vAlign w:val="bottom"/>
          </w:tcPr>
          <w:p>
            <w:pPr>
              <w:spacing w:after="0"/>
              <w:rPr>
                <w:sz w:val="19"/>
                <w:szCs w:val="19"/>
                <w:color w:val="auto"/>
              </w:rPr>
            </w:pPr>
          </w:p>
        </w:tc>
        <w:tc>
          <w:tcPr>
            <w:tcW w:w="1520" w:type="dxa"/>
            <w:vAlign w:val="bottom"/>
          </w:tcPr>
          <w:p>
            <w:pPr>
              <w:jc w:val="right"/>
              <w:ind w:right="1"/>
              <w:spacing w:after="0"/>
              <w:rPr>
                <w:sz w:val="20"/>
                <w:szCs w:val="20"/>
                <w:color w:val="auto"/>
              </w:rPr>
            </w:pPr>
            <w:r>
              <w:rPr>
                <w:rFonts w:ascii="Arial" w:cs="Arial" w:eastAsia="Arial" w:hAnsi="Arial"/>
                <w:sz w:val="20"/>
                <w:szCs w:val="20"/>
                <w:color w:val="auto"/>
              </w:rPr>
              <w:t>3,886,753</w:t>
            </w:r>
          </w:p>
        </w:tc>
        <w:tc>
          <w:tcPr>
            <w:tcW w:w="200" w:type="dxa"/>
            <w:vAlign w:val="bottom"/>
          </w:tcPr>
          <w:p>
            <w:pPr>
              <w:spacing w:after="0"/>
              <w:rPr>
                <w:sz w:val="19"/>
                <w:szCs w:val="19"/>
                <w:color w:val="auto"/>
              </w:rPr>
            </w:pPr>
          </w:p>
        </w:tc>
        <w:tc>
          <w:tcPr>
            <w:tcW w:w="1260" w:type="dxa"/>
            <w:vAlign w:val="bottom"/>
          </w:tcPr>
          <w:p>
            <w:pPr>
              <w:jc w:val="right"/>
              <w:ind w:right="1"/>
              <w:spacing w:after="0"/>
              <w:rPr>
                <w:sz w:val="20"/>
                <w:szCs w:val="20"/>
                <w:color w:val="auto"/>
              </w:rPr>
            </w:pPr>
            <w:r>
              <w:rPr>
                <w:rFonts w:ascii="Arial" w:cs="Arial" w:eastAsia="Arial" w:hAnsi="Arial"/>
                <w:sz w:val="20"/>
                <w:szCs w:val="20"/>
                <w:color w:val="auto"/>
              </w:rPr>
              <w:t>1,749,020</w:t>
            </w:r>
          </w:p>
        </w:tc>
      </w:tr>
      <w:tr>
        <w:trPr>
          <w:trHeight w:val="229"/>
        </w:trPr>
        <w:tc>
          <w:tcPr>
            <w:tcW w:w="2520" w:type="dxa"/>
            <w:vAlign w:val="bottom"/>
            <w:gridSpan w:val="2"/>
            <w:shd w:val="clear" w:color="auto" w:fill="CCEEFF"/>
          </w:tcPr>
          <w:p>
            <w:pPr>
              <w:ind w:left="80"/>
              <w:spacing w:after="0"/>
              <w:rPr>
                <w:sz w:val="20"/>
                <w:szCs w:val="20"/>
                <w:color w:val="auto"/>
              </w:rPr>
            </w:pPr>
            <w:r>
              <w:rPr>
                <w:rFonts w:ascii="Arial" w:cs="Arial" w:eastAsia="Arial" w:hAnsi="Arial"/>
                <w:sz w:val="20"/>
                <w:szCs w:val="20"/>
                <w:color w:val="auto"/>
              </w:rPr>
              <w:t>John M. Hunt</w:t>
            </w:r>
          </w:p>
        </w:tc>
        <w:tc>
          <w:tcPr>
            <w:tcW w:w="15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10,744,970</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1,571,592</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1,749,020</w:t>
            </w:r>
          </w:p>
        </w:tc>
      </w:tr>
      <w:tr>
        <w:trPr>
          <w:trHeight w:val="230"/>
        </w:trPr>
        <w:tc>
          <w:tcPr>
            <w:tcW w:w="2520" w:type="dxa"/>
            <w:vAlign w:val="bottom"/>
            <w:gridSpan w:val="2"/>
          </w:tcPr>
          <w:p>
            <w:pPr>
              <w:ind w:left="80"/>
              <w:spacing w:after="0"/>
              <w:rPr>
                <w:sz w:val="20"/>
                <w:szCs w:val="20"/>
                <w:color w:val="auto"/>
              </w:rPr>
            </w:pPr>
            <w:r>
              <w:rPr>
                <w:rFonts w:ascii="Arial" w:cs="Arial" w:eastAsia="Arial" w:hAnsi="Arial"/>
                <w:sz w:val="20"/>
                <w:szCs w:val="20"/>
                <w:color w:val="auto"/>
              </w:rPr>
              <w:t>Egidio Carbone, Jr.</w:t>
            </w:r>
          </w:p>
        </w:tc>
        <w:tc>
          <w:tcPr>
            <w:tcW w:w="1520" w:type="dxa"/>
            <w:vAlign w:val="bottom"/>
          </w:tcPr>
          <w:p>
            <w:pPr>
              <w:jc w:val="right"/>
              <w:ind w:right="1"/>
              <w:spacing w:after="0"/>
              <w:rPr>
                <w:sz w:val="20"/>
                <w:szCs w:val="20"/>
                <w:color w:val="auto"/>
              </w:rPr>
            </w:pPr>
            <w:r>
              <w:rPr>
                <w:rFonts w:ascii="Arial" w:cs="Arial" w:eastAsia="Arial" w:hAnsi="Arial"/>
                <w:sz w:val="20"/>
                <w:szCs w:val="20"/>
                <w:color w:val="auto"/>
              </w:rPr>
              <w:t>7,815,556</w:t>
            </w:r>
          </w:p>
        </w:tc>
        <w:tc>
          <w:tcPr>
            <w:tcW w:w="200" w:type="dxa"/>
            <w:vAlign w:val="bottom"/>
          </w:tcPr>
          <w:p>
            <w:pPr>
              <w:spacing w:after="0"/>
              <w:rPr>
                <w:sz w:val="19"/>
                <w:szCs w:val="19"/>
                <w:color w:val="auto"/>
              </w:rPr>
            </w:pPr>
          </w:p>
        </w:tc>
        <w:tc>
          <w:tcPr>
            <w:tcW w:w="1520" w:type="dxa"/>
            <w:vAlign w:val="bottom"/>
          </w:tcPr>
          <w:p>
            <w:pPr>
              <w:jc w:val="right"/>
              <w:ind w:right="1"/>
              <w:spacing w:after="0"/>
              <w:rPr>
                <w:sz w:val="20"/>
                <w:szCs w:val="20"/>
                <w:color w:val="auto"/>
              </w:rPr>
            </w:pPr>
            <w:r>
              <w:rPr>
                <w:rFonts w:ascii="Arial" w:cs="Arial" w:eastAsia="Arial" w:hAnsi="Arial"/>
                <w:sz w:val="20"/>
                <w:szCs w:val="20"/>
                <w:color w:val="auto"/>
              </w:rPr>
              <w:t>4,452,958</w:t>
            </w:r>
          </w:p>
        </w:tc>
        <w:tc>
          <w:tcPr>
            <w:tcW w:w="200" w:type="dxa"/>
            <w:vAlign w:val="bottom"/>
          </w:tcPr>
          <w:p>
            <w:pPr>
              <w:spacing w:after="0"/>
              <w:rPr>
                <w:sz w:val="19"/>
                <w:szCs w:val="19"/>
                <w:color w:val="auto"/>
              </w:rPr>
            </w:pPr>
          </w:p>
        </w:tc>
        <w:tc>
          <w:tcPr>
            <w:tcW w:w="1260" w:type="dxa"/>
            <w:vAlign w:val="bottom"/>
          </w:tcPr>
          <w:p>
            <w:pPr>
              <w:jc w:val="right"/>
              <w:ind w:right="1"/>
              <w:spacing w:after="0"/>
              <w:rPr>
                <w:sz w:val="20"/>
                <w:szCs w:val="20"/>
                <w:color w:val="auto"/>
              </w:rPr>
            </w:pPr>
            <w:r>
              <w:rPr>
                <w:rFonts w:ascii="Arial" w:cs="Arial" w:eastAsia="Arial" w:hAnsi="Arial"/>
                <w:sz w:val="20"/>
                <w:szCs w:val="20"/>
                <w:color w:val="auto"/>
              </w:rPr>
              <w:t>1,749,020</w:t>
            </w:r>
          </w:p>
        </w:tc>
      </w:tr>
      <w:tr>
        <w:trPr>
          <w:trHeight w:val="229"/>
        </w:trPr>
        <w:tc>
          <w:tcPr>
            <w:tcW w:w="2520" w:type="dxa"/>
            <w:vAlign w:val="bottom"/>
            <w:gridSpan w:val="2"/>
            <w:shd w:val="clear" w:color="auto" w:fill="CCEEFF"/>
          </w:tcPr>
          <w:p>
            <w:pPr>
              <w:ind w:left="80"/>
              <w:spacing w:after="0"/>
              <w:rPr>
                <w:sz w:val="20"/>
                <w:szCs w:val="20"/>
                <w:color w:val="auto"/>
              </w:rPr>
            </w:pPr>
            <w:r>
              <w:rPr>
                <w:rFonts w:ascii="Arial" w:cs="Arial" w:eastAsia="Arial" w:hAnsi="Arial"/>
                <w:sz w:val="20"/>
                <w:szCs w:val="20"/>
                <w:color w:val="auto"/>
              </w:rPr>
              <w:t>Harold Edwards</w:t>
            </w:r>
          </w:p>
        </w:tc>
        <w:tc>
          <w:tcPr>
            <w:tcW w:w="15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9,497,858</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8,928,275</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1,749,020</w:t>
            </w:r>
          </w:p>
        </w:tc>
      </w:tr>
      <w:tr>
        <w:trPr>
          <w:trHeight w:val="230"/>
        </w:trPr>
        <w:tc>
          <w:tcPr>
            <w:tcW w:w="2520" w:type="dxa"/>
            <w:vAlign w:val="bottom"/>
            <w:gridSpan w:val="2"/>
          </w:tcPr>
          <w:p>
            <w:pPr>
              <w:ind w:left="80"/>
              <w:spacing w:after="0"/>
              <w:rPr>
                <w:sz w:val="20"/>
                <w:szCs w:val="20"/>
                <w:color w:val="auto"/>
              </w:rPr>
            </w:pPr>
            <w:r>
              <w:rPr>
                <w:rFonts w:ascii="Arial" w:cs="Arial" w:eastAsia="Arial" w:hAnsi="Arial"/>
                <w:sz w:val="20"/>
                <w:szCs w:val="20"/>
                <w:color w:val="auto"/>
              </w:rPr>
              <w:t>Steven Hollister</w:t>
            </w:r>
          </w:p>
        </w:tc>
        <w:tc>
          <w:tcPr>
            <w:tcW w:w="1520" w:type="dxa"/>
            <w:vAlign w:val="bottom"/>
          </w:tcPr>
          <w:p>
            <w:pPr>
              <w:jc w:val="right"/>
              <w:ind w:right="1"/>
              <w:spacing w:after="0"/>
              <w:rPr>
                <w:sz w:val="20"/>
                <w:szCs w:val="20"/>
                <w:color w:val="auto"/>
              </w:rPr>
            </w:pPr>
            <w:r>
              <w:rPr>
                <w:rFonts w:ascii="Arial" w:cs="Arial" w:eastAsia="Arial" w:hAnsi="Arial"/>
                <w:sz w:val="20"/>
                <w:szCs w:val="20"/>
                <w:color w:val="auto"/>
              </w:rPr>
              <w:t>11,688,837</w:t>
            </w:r>
          </w:p>
        </w:tc>
        <w:tc>
          <w:tcPr>
            <w:tcW w:w="200" w:type="dxa"/>
            <w:vAlign w:val="bottom"/>
          </w:tcPr>
          <w:p>
            <w:pPr>
              <w:spacing w:after="0"/>
              <w:rPr>
                <w:sz w:val="19"/>
                <w:szCs w:val="19"/>
                <w:color w:val="auto"/>
              </w:rPr>
            </w:pPr>
          </w:p>
        </w:tc>
        <w:tc>
          <w:tcPr>
            <w:tcW w:w="1520" w:type="dxa"/>
            <w:vAlign w:val="bottom"/>
          </w:tcPr>
          <w:p>
            <w:pPr>
              <w:jc w:val="right"/>
              <w:ind w:right="1"/>
              <w:spacing w:after="0"/>
              <w:rPr>
                <w:sz w:val="20"/>
                <w:szCs w:val="20"/>
                <w:color w:val="auto"/>
              </w:rPr>
            </w:pPr>
            <w:r>
              <w:rPr>
                <w:rFonts w:ascii="Arial" w:cs="Arial" w:eastAsia="Arial" w:hAnsi="Arial"/>
                <w:sz w:val="20"/>
                <w:szCs w:val="20"/>
                <w:color w:val="auto"/>
              </w:rPr>
              <w:t>510,075</w:t>
            </w:r>
          </w:p>
        </w:tc>
        <w:tc>
          <w:tcPr>
            <w:tcW w:w="200" w:type="dxa"/>
            <w:vAlign w:val="bottom"/>
          </w:tcPr>
          <w:p>
            <w:pPr>
              <w:spacing w:after="0"/>
              <w:rPr>
                <w:sz w:val="19"/>
                <w:szCs w:val="19"/>
                <w:color w:val="auto"/>
              </w:rPr>
            </w:pPr>
          </w:p>
        </w:tc>
        <w:tc>
          <w:tcPr>
            <w:tcW w:w="1260" w:type="dxa"/>
            <w:vAlign w:val="bottom"/>
          </w:tcPr>
          <w:p>
            <w:pPr>
              <w:jc w:val="right"/>
              <w:ind w:right="1"/>
              <w:spacing w:after="0"/>
              <w:rPr>
                <w:sz w:val="20"/>
                <w:szCs w:val="20"/>
                <w:color w:val="auto"/>
              </w:rPr>
            </w:pPr>
            <w:r>
              <w:rPr>
                <w:rFonts w:ascii="Arial" w:cs="Arial" w:eastAsia="Arial" w:hAnsi="Arial"/>
                <w:sz w:val="20"/>
                <w:szCs w:val="20"/>
                <w:color w:val="auto"/>
              </w:rPr>
              <w:t>1,749,020</w:t>
            </w:r>
          </w:p>
        </w:tc>
      </w:tr>
      <w:tr>
        <w:trPr>
          <w:trHeight w:val="229"/>
        </w:trPr>
        <w:tc>
          <w:tcPr>
            <w:tcW w:w="2520" w:type="dxa"/>
            <w:vAlign w:val="bottom"/>
            <w:gridSpan w:val="2"/>
            <w:shd w:val="clear" w:color="auto" w:fill="CCEEFF"/>
          </w:tcPr>
          <w:p>
            <w:pPr>
              <w:ind w:left="80"/>
              <w:spacing w:after="0"/>
              <w:rPr>
                <w:sz w:val="20"/>
                <w:szCs w:val="20"/>
                <w:color w:val="auto"/>
              </w:rPr>
            </w:pPr>
            <w:r>
              <w:rPr>
                <w:rFonts w:ascii="Arial" w:cs="Arial" w:eastAsia="Arial" w:hAnsi="Arial"/>
                <w:sz w:val="20"/>
                <w:szCs w:val="20"/>
                <w:color w:val="auto"/>
              </w:rPr>
              <w:t>Kathleen M. Holmgren</w:t>
            </w:r>
          </w:p>
        </w:tc>
        <w:tc>
          <w:tcPr>
            <w:tcW w:w="15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11,582,804</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314,508</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1,749,020</w:t>
            </w:r>
          </w:p>
        </w:tc>
      </w:tr>
    </w:tbl>
    <w:p>
      <w:pPr>
        <w:spacing w:after="0" w:line="202" w:lineRule="exact"/>
        <w:rPr>
          <w:sz w:val="20"/>
          <w:szCs w:val="20"/>
          <w:color w:val="auto"/>
        </w:rPr>
      </w:pPr>
    </w:p>
    <w:p>
      <w:pPr>
        <w:ind w:left="60" w:right="759" w:hanging="10"/>
        <w:spacing w:after="0" w:line="277" w:lineRule="auto"/>
        <w:tabs>
          <w:tab w:leader="none" w:pos="46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shareholders approved the ratification of the appointment of Deloitte &amp; Touche LLP as our independent accountants for fiscal 2020. Votes cast were as follows:</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400" w:type="dxa"/>
            <w:vAlign w:val="bottom"/>
            <w:shd w:val="clear" w:color="auto" w:fill="CCEEFF"/>
          </w:tcPr>
          <w:p>
            <w:pPr>
              <w:ind w:left="100"/>
              <w:spacing w:after="0"/>
              <w:rPr>
                <w:sz w:val="20"/>
                <w:szCs w:val="20"/>
                <w:color w:val="auto"/>
              </w:rPr>
            </w:pPr>
            <w:r>
              <w:rPr>
                <w:rFonts w:ascii="Arial" w:cs="Arial" w:eastAsia="Arial" w:hAnsi="Arial"/>
                <w:sz w:val="20"/>
                <w:szCs w:val="20"/>
                <w:color w:val="auto"/>
              </w:rPr>
              <w:t>For</w:t>
            </w:r>
          </w:p>
        </w:tc>
        <w:tc>
          <w:tcPr>
            <w:tcW w:w="168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14,523,176</w:t>
            </w:r>
          </w:p>
        </w:tc>
      </w:tr>
      <w:tr>
        <w:trPr>
          <w:trHeight w:val="230"/>
        </w:trPr>
        <w:tc>
          <w:tcPr>
            <w:tcW w:w="1400" w:type="dxa"/>
            <w:vAlign w:val="bottom"/>
          </w:tcPr>
          <w:p>
            <w:pPr>
              <w:ind w:left="100"/>
              <w:spacing w:after="0"/>
              <w:rPr>
                <w:sz w:val="20"/>
                <w:szCs w:val="20"/>
                <w:color w:val="auto"/>
              </w:rPr>
            </w:pPr>
            <w:r>
              <w:rPr>
                <w:rFonts w:ascii="Arial" w:cs="Arial" w:eastAsia="Arial" w:hAnsi="Arial"/>
                <w:sz w:val="20"/>
                <w:szCs w:val="20"/>
                <w:color w:val="auto"/>
              </w:rPr>
              <w:t>Against</w:t>
            </w:r>
          </w:p>
        </w:tc>
        <w:tc>
          <w:tcPr>
            <w:tcW w:w="1680" w:type="dxa"/>
            <w:vAlign w:val="bottom"/>
          </w:tcPr>
          <w:p>
            <w:pPr>
              <w:jc w:val="right"/>
              <w:ind w:right="1"/>
              <w:spacing w:after="0"/>
              <w:rPr>
                <w:sz w:val="20"/>
                <w:szCs w:val="20"/>
                <w:color w:val="auto"/>
              </w:rPr>
            </w:pPr>
            <w:r>
              <w:rPr>
                <w:rFonts w:ascii="Arial" w:cs="Arial" w:eastAsia="Arial" w:hAnsi="Arial"/>
                <w:sz w:val="20"/>
                <w:szCs w:val="20"/>
                <w:color w:val="auto"/>
              </w:rPr>
              <w:t>102,864</w:t>
            </w:r>
          </w:p>
        </w:tc>
      </w:tr>
      <w:tr>
        <w:trPr>
          <w:trHeight w:val="230"/>
        </w:trPr>
        <w:tc>
          <w:tcPr>
            <w:tcW w:w="1400" w:type="dxa"/>
            <w:vAlign w:val="bottom"/>
            <w:shd w:val="clear" w:color="auto" w:fill="CCEEFF"/>
          </w:tcPr>
          <w:p>
            <w:pPr>
              <w:ind w:left="100"/>
              <w:spacing w:after="0"/>
              <w:rPr>
                <w:sz w:val="20"/>
                <w:szCs w:val="20"/>
                <w:color w:val="auto"/>
              </w:rPr>
            </w:pPr>
            <w:r>
              <w:rPr>
                <w:rFonts w:ascii="Arial" w:cs="Arial" w:eastAsia="Arial" w:hAnsi="Arial"/>
                <w:sz w:val="20"/>
                <w:szCs w:val="20"/>
                <w:color w:val="auto"/>
              </w:rPr>
              <w:t>Abstain</w:t>
            </w:r>
          </w:p>
        </w:tc>
        <w:tc>
          <w:tcPr>
            <w:tcW w:w="168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26,006</w:t>
            </w:r>
          </w:p>
        </w:tc>
      </w:tr>
    </w:tbl>
    <w:p>
      <w:pPr>
        <w:spacing w:after="0" w:line="200" w:lineRule="exact"/>
        <w:rPr>
          <w:sz w:val="20"/>
          <w:szCs w:val="20"/>
          <w:color w:val="auto"/>
        </w:rPr>
      </w:pPr>
    </w:p>
    <w:p>
      <w:pPr>
        <w:spacing w:after="0" w:line="231" w:lineRule="exact"/>
        <w:rPr>
          <w:sz w:val="20"/>
          <w:szCs w:val="20"/>
          <w:color w:val="auto"/>
        </w:rPr>
      </w:pPr>
    </w:p>
    <w:p>
      <w:pPr>
        <w:ind w:left="60" w:right="519" w:hanging="10"/>
        <w:spacing w:after="0" w:line="308" w:lineRule="auto"/>
        <w:tabs>
          <w:tab w:leader="none" w:pos="465"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shareholders voted on an advisory basis and approved the compensation of the executive officers of Calavo Growers, Inc. as disclosed in the company’s 2020 proxy statement. Votes cast were as follows:</w:t>
      </w:r>
    </w:p>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820" w:type="dxa"/>
            <w:vAlign w:val="bottom"/>
            <w:shd w:val="clear" w:color="auto" w:fill="CCEEFF"/>
          </w:tcPr>
          <w:p>
            <w:pPr>
              <w:ind w:left="100"/>
              <w:spacing w:after="0"/>
              <w:rPr>
                <w:sz w:val="20"/>
                <w:szCs w:val="20"/>
                <w:color w:val="auto"/>
              </w:rPr>
            </w:pPr>
            <w:r>
              <w:rPr>
                <w:rFonts w:ascii="Arial" w:cs="Arial" w:eastAsia="Arial" w:hAnsi="Arial"/>
                <w:sz w:val="20"/>
                <w:szCs w:val="20"/>
                <w:color w:val="auto"/>
              </w:rPr>
              <w:t>For</w:t>
            </w: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12,430,112</w:t>
            </w:r>
          </w:p>
        </w:tc>
      </w:tr>
      <w:tr>
        <w:trPr>
          <w:trHeight w:val="230"/>
        </w:trPr>
        <w:tc>
          <w:tcPr>
            <w:tcW w:w="1820" w:type="dxa"/>
            <w:vAlign w:val="bottom"/>
          </w:tcPr>
          <w:p>
            <w:pPr>
              <w:ind w:left="100"/>
              <w:spacing w:after="0"/>
              <w:rPr>
                <w:sz w:val="20"/>
                <w:szCs w:val="20"/>
                <w:color w:val="auto"/>
              </w:rPr>
            </w:pPr>
            <w:r>
              <w:rPr>
                <w:rFonts w:ascii="Arial" w:cs="Arial" w:eastAsia="Arial" w:hAnsi="Arial"/>
                <w:sz w:val="20"/>
                <w:szCs w:val="20"/>
                <w:color w:val="auto"/>
              </w:rPr>
              <w:t>Against</w:t>
            </w:r>
          </w:p>
        </w:tc>
        <w:tc>
          <w:tcPr>
            <w:tcW w:w="1260" w:type="dxa"/>
            <w:vAlign w:val="bottom"/>
          </w:tcPr>
          <w:p>
            <w:pPr>
              <w:jc w:val="right"/>
              <w:ind w:right="1"/>
              <w:spacing w:after="0"/>
              <w:rPr>
                <w:sz w:val="20"/>
                <w:szCs w:val="20"/>
                <w:color w:val="auto"/>
              </w:rPr>
            </w:pPr>
            <w:r>
              <w:rPr>
                <w:rFonts w:ascii="Arial" w:cs="Arial" w:eastAsia="Arial" w:hAnsi="Arial"/>
                <w:sz w:val="20"/>
                <w:szCs w:val="20"/>
                <w:color w:val="auto"/>
              </w:rPr>
              <w:t>410,014</w:t>
            </w:r>
          </w:p>
        </w:tc>
      </w:tr>
      <w:tr>
        <w:trPr>
          <w:trHeight w:val="230"/>
        </w:trPr>
        <w:tc>
          <w:tcPr>
            <w:tcW w:w="1820" w:type="dxa"/>
            <w:vAlign w:val="bottom"/>
            <w:shd w:val="clear" w:color="auto" w:fill="CCEEFF"/>
          </w:tcPr>
          <w:p>
            <w:pPr>
              <w:ind w:left="100"/>
              <w:spacing w:after="0"/>
              <w:rPr>
                <w:sz w:val="20"/>
                <w:szCs w:val="20"/>
                <w:color w:val="auto"/>
              </w:rPr>
            </w:pPr>
            <w:r>
              <w:rPr>
                <w:rFonts w:ascii="Arial" w:cs="Arial" w:eastAsia="Arial" w:hAnsi="Arial"/>
                <w:sz w:val="20"/>
                <w:szCs w:val="20"/>
                <w:color w:val="auto"/>
              </w:rPr>
              <w:t>Abstain</w:t>
            </w: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62,900</w:t>
            </w:r>
          </w:p>
        </w:tc>
      </w:tr>
      <w:tr>
        <w:trPr>
          <w:trHeight w:val="250"/>
        </w:trPr>
        <w:tc>
          <w:tcPr>
            <w:tcW w:w="1820" w:type="dxa"/>
            <w:vAlign w:val="bottom"/>
          </w:tcPr>
          <w:p>
            <w:pPr>
              <w:ind w:left="100"/>
              <w:spacing w:after="0"/>
              <w:rPr>
                <w:sz w:val="20"/>
                <w:szCs w:val="20"/>
                <w:color w:val="auto"/>
              </w:rPr>
            </w:pPr>
            <w:r>
              <w:rPr>
                <w:rFonts w:ascii="Arial" w:cs="Arial" w:eastAsia="Arial" w:hAnsi="Arial"/>
                <w:sz w:val="20"/>
                <w:szCs w:val="20"/>
                <w:color w:val="auto"/>
              </w:rPr>
              <w:t>Broker Non-Votes</w:t>
            </w:r>
          </w:p>
        </w:tc>
        <w:tc>
          <w:tcPr>
            <w:tcW w:w="1260" w:type="dxa"/>
            <w:vAlign w:val="bottom"/>
          </w:tcPr>
          <w:p>
            <w:pPr>
              <w:jc w:val="right"/>
              <w:ind w:right="1"/>
              <w:spacing w:after="0"/>
              <w:rPr>
                <w:sz w:val="20"/>
                <w:szCs w:val="20"/>
                <w:color w:val="auto"/>
              </w:rPr>
            </w:pPr>
            <w:r>
              <w:rPr>
                <w:rFonts w:ascii="Arial" w:cs="Arial" w:eastAsia="Arial" w:hAnsi="Arial"/>
                <w:sz w:val="20"/>
                <w:szCs w:val="20"/>
                <w:color w:val="auto"/>
              </w:rPr>
              <w:t>1,749,020</w:t>
            </w:r>
          </w:p>
        </w:tc>
      </w:tr>
    </w:tbl>
    <w:p>
      <w:pPr>
        <w:spacing w:after="0" w:line="181" w:lineRule="exact"/>
        <w:rPr>
          <w:sz w:val="20"/>
          <w:szCs w:val="20"/>
          <w:color w:val="auto"/>
        </w:rPr>
      </w:pPr>
    </w:p>
    <w:p>
      <w:pPr>
        <w:ind w:left="60" w:right="219" w:hanging="10"/>
        <w:spacing w:after="0" w:line="277" w:lineRule="auto"/>
        <w:tabs>
          <w:tab w:leader="none" w:pos="46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shareholders did not approve a shareholder proposal regarding independent director representation on the board of directors. Votes cast were as follows:</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860" w:type="dxa"/>
            <w:vAlign w:val="bottom"/>
            <w:shd w:val="clear" w:color="auto" w:fill="CCEEFF"/>
          </w:tcPr>
          <w:p>
            <w:pPr>
              <w:ind w:left="100"/>
              <w:spacing w:after="0"/>
              <w:rPr>
                <w:sz w:val="20"/>
                <w:szCs w:val="20"/>
                <w:color w:val="auto"/>
              </w:rPr>
            </w:pPr>
            <w:r>
              <w:rPr>
                <w:rFonts w:ascii="Arial" w:cs="Arial" w:eastAsia="Arial" w:hAnsi="Arial"/>
                <w:sz w:val="20"/>
                <w:szCs w:val="20"/>
                <w:color w:val="auto"/>
              </w:rPr>
              <w:t>For</w:t>
            </w: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6,068,356</w:t>
            </w:r>
          </w:p>
        </w:tc>
      </w:tr>
      <w:tr>
        <w:trPr>
          <w:trHeight w:val="230"/>
        </w:trPr>
        <w:tc>
          <w:tcPr>
            <w:tcW w:w="1860" w:type="dxa"/>
            <w:vAlign w:val="bottom"/>
          </w:tcPr>
          <w:p>
            <w:pPr>
              <w:ind w:left="100"/>
              <w:spacing w:after="0"/>
              <w:rPr>
                <w:sz w:val="20"/>
                <w:szCs w:val="20"/>
                <w:color w:val="auto"/>
              </w:rPr>
            </w:pPr>
            <w:r>
              <w:rPr>
                <w:rFonts w:ascii="Arial" w:cs="Arial" w:eastAsia="Arial" w:hAnsi="Arial"/>
                <w:sz w:val="20"/>
                <w:szCs w:val="20"/>
                <w:color w:val="auto"/>
              </w:rPr>
              <w:t>Against</w:t>
            </w:r>
          </w:p>
        </w:tc>
        <w:tc>
          <w:tcPr>
            <w:tcW w:w="1220" w:type="dxa"/>
            <w:vAlign w:val="bottom"/>
          </w:tcPr>
          <w:p>
            <w:pPr>
              <w:jc w:val="right"/>
              <w:ind w:right="1"/>
              <w:spacing w:after="0"/>
              <w:rPr>
                <w:sz w:val="20"/>
                <w:szCs w:val="20"/>
                <w:color w:val="auto"/>
              </w:rPr>
            </w:pPr>
            <w:r>
              <w:rPr>
                <w:rFonts w:ascii="Arial" w:cs="Arial" w:eastAsia="Arial" w:hAnsi="Arial"/>
                <w:sz w:val="20"/>
                <w:szCs w:val="20"/>
                <w:color w:val="auto"/>
              </w:rPr>
              <w:t>6,762,589</w:t>
            </w:r>
          </w:p>
        </w:tc>
      </w:tr>
      <w:tr>
        <w:trPr>
          <w:trHeight w:val="230"/>
        </w:trPr>
        <w:tc>
          <w:tcPr>
            <w:tcW w:w="1860" w:type="dxa"/>
            <w:vAlign w:val="bottom"/>
            <w:shd w:val="clear" w:color="auto" w:fill="CCEEFF"/>
          </w:tcPr>
          <w:p>
            <w:pPr>
              <w:ind w:left="100"/>
              <w:spacing w:after="0"/>
              <w:rPr>
                <w:sz w:val="20"/>
                <w:szCs w:val="20"/>
                <w:color w:val="auto"/>
              </w:rPr>
            </w:pPr>
            <w:r>
              <w:rPr>
                <w:rFonts w:ascii="Arial" w:cs="Arial" w:eastAsia="Arial" w:hAnsi="Arial"/>
                <w:sz w:val="20"/>
                <w:szCs w:val="20"/>
                <w:color w:val="auto"/>
              </w:rPr>
              <w:t>Abstain</w:t>
            </w: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72,081</w:t>
            </w:r>
          </w:p>
        </w:tc>
      </w:tr>
      <w:tr>
        <w:trPr>
          <w:trHeight w:val="250"/>
        </w:trPr>
        <w:tc>
          <w:tcPr>
            <w:tcW w:w="1860" w:type="dxa"/>
            <w:vAlign w:val="bottom"/>
          </w:tcPr>
          <w:p>
            <w:pPr>
              <w:ind w:left="100"/>
              <w:spacing w:after="0"/>
              <w:rPr>
                <w:sz w:val="20"/>
                <w:szCs w:val="20"/>
                <w:color w:val="auto"/>
              </w:rPr>
            </w:pPr>
            <w:r>
              <w:rPr>
                <w:rFonts w:ascii="Arial" w:cs="Arial" w:eastAsia="Arial" w:hAnsi="Arial"/>
                <w:sz w:val="20"/>
                <w:szCs w:val="20"/>
                <w:color w:val="auto"/>
              </w:rPr>
              <w:t>Broker Non-Votes</w:t>
            </w:r>
          </w:p>
        </w:tc>
        <w:tc>
          <w:tcPr>
            <w:tcW w:w="1220" w:type="dxa"/>
            <w:vAlign w:val="bottom"/>
          </w:tcPr>
          <w:p>
            <w:pPr>
              <w:jc w:val="right"/>
              <w:ind w:right="1"/>
              <w:spacing w:after="0"/>
              <w:rPr>
                <w:sz w:val="20"/>
                <w:szCs w:val="20"/>
                <w:color w:val="auto"/>
              </w:rPr>
            </w:pPr>
            <w:r>
              <w:rPr>
                <w:rFonts w:ascii="Arial" w:cs="Arial" w:eastAsia="Arial" w:hAnsi="Arial"/>
                <w:sz w:val="20"/>
                <w:szCs w:val="20"/>
                <w:color w:val="auto"/>
              </w:rPr>
              <w:t>1,749,020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0" w:right="139"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1" w:lineRule="exact"/>
        <w:rPr>
          <w:sz w:val="20"/>
          <w:szCs w:val="20"/>
          <w:color w:val="auto"/>
        </w:rPr>
      </w:pPr>
    </w:p>
    <w:p>
      <w:pPr>
        <w:ind w:left="4740"/>
        <w:spacing w:after="0"/>
        <w:rPr>
          <w:sz w:val="20"/>
          <w:szCs w:val="20"/>
          <w:color w:val="auto"/>
        </w:rPr>
      </w:pPr>
      <w:r>
        <w:rPr>
          <w:rFonts w:ascii="Arial" w:cs="Arial" w:eastAsia="Arial" w:hAnsi="Arial"/>
          <w:sz w:val="20"/>
          <w:szCs w:val="20"/>
          <w:color w:val="auto"/>
        </w:rPr>
        <w:t>Calavo Growers, Inc.</w:t>
      </w:r>
    </w:p>
    <w:p>
      <w:pPr>
        <w:spacing w:after="0" w:line="12" w:lineRule="exact"/>
        <w:rPr>
          <w:sz w:val="20"/>
          <w:szCs w:val="20"/>
          <w:color w:val="auto"/>
        </w:rPr>
      </w:pPr>
    </w:p>
    <w:p>
      <w:pPr>
        <w:ind w:left="60"/>
        <w:spacing w:after="0"/>
        <w:rPr>
          <w:sz w:val="20"/>
          <w:szCs w:val="20"/>
          <w:color w:val="auto"/>
        </w:rPr>
      </w:pPr>
      <w:r>
        <w:rPr>
          <w:rFonts w:ascii="Arial" w:cs="Arial" w:eastAsia="Arial" w:hAnsi="Arial"/>
          <w:sz w:val="20"/>
          <w:szCs w:val="20"/>
          <w:color w:val="auto"/>
        </w:rPr>
        <w:t>April 27, 2020</w:t>
      </w:r>
    </w:p>
    <w:p>
      <w:pPr>
        <w:ind w:left="4740"/>
        <w:spacing w:after="0" w:line="233" w:lineRule="auto"/>
        <w:rPr>
          <w:sz w:val="20"/>
          <w:szCs w:val="20"/>
          <w:color w:val="auto"/>
        </w:rPr>
      </w:pPr>
      <w:r>
        <w:rPr>
          <w:rFonts w:ascii="Arial" w:cs="Arial" w:eastAsia="Arial" w:hAnsi="Arial"/>
          <w:sz w:val="22"/>
          <w:szCs w:val="22"/>
          <w:color w:val="auto"/>
        </w:rPr>
        <w:t>By: /s/ James Gibson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3213100</wp:posOffset>
            </wp:positionH>
            <wp:positionV relativeFrom="paragraph">
              <wp:posOffset>-24765</wp:posOffset>
            </wp:positionV>
            <wp:extent cx="9639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63930" cy="8255"/>
                    </a:xfrm>
                    <a:prstGeom prst="rect">
                      <a:avLst/>
                    </a:prstGeom>
                    <a:noFill/>
                  </pic:spPr>
                </pic:pic>
              </a:graphicData>
            </a:graphic>
          </wp:anchor>
        </w:drawing>
      </w:r>
    </w:p>
    <w:p>
      <w:pPr>
        <w:ind w:left="4740"/>
        <w:spacing w:after="0"/>
        <w:rPr>
          <w:sz w:val="20"/>
          <w:szCs w:val="20"/>
          <w:color w:val="auto"/>
        </w:rPr>
      </w:pPr>
      <w:r>
        <w:rPr>
          <w:rFonts w:ascii="Arial" w:cs="Arial" w:eastAsia="Arial" w:hAnsi="Arial"/>
          <w:sz w:val="20"/>
          <w:szCs w:val="20"/>
          <w:color w:val="auto"/>
        </w:rPr>
        <w:t>James Gibson</w:t>
      </w:r>
    </w:p>
    <w:p>
      <w:pPr>
        <w:ind w:left="4740"/>
        <w:spacing w:after="0"/>
        <w:rPr>
          <w:sz w:val="20"/>
          <w:szCs w:val="20"/>
          <w:color w:val="auto"/>
        </w:rPr>
      </w:pPr>
      <w:r>
        <w:rPr>
          <w:rFonts w:ascii="Arial" w:cs="Arial" w:eastAsia="Arial" w:hAnsi="Arial"/>
          <w:sz w:val="20"/>
          <w:szCs w:val="20"/>
          <w:color w:val="auto"/>
        </w:rPr>
        <w:t>Chief Executive Officer</w:t>
      </w:r>
    </w:p>
    <w:p>
      <w:pPr>
        <w:ind w:left="4740"/>
        <w:spacing w:after="0"/>
        <w:rPr>
          <w:sz w:val="20"/>
          <w:szCs w:val="20"/>
          <w:color w:val="auto"/>
        </w:rPr>
      </w:pPr>
      <w:r>
        <w:rPr>
          <w:rFonts w:ascii="Arial" w:cs="Arial" w:eastAsia="Arial" w:hAnsi="Arial"/>
          <w:sz w:val="20"/>
          <w:szCs w:val="20"/>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2"/>
    </w:lvl>
  </w:abstractNum>
  <w:abstractNum w:abstractNumId="3">
    <w:nsid w:val="238E1F29"/>
    <w:multiLevelType w:val="hybridMultilevel"/>
    <w:lvl w:ilvl="0">
      <w:lvlJc w:val="left"/>
      <w:lvlText w:val="(%1)"/>
      <w:numFmt w:val="decimal"/>
      <w:start w:val="3"/>
    </w:lvl>
  </w:abstractNum>
  <w:abstractNum w:abstractNumId="4">
    <w:nsid w:val="46E87CCD"/>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2020-04-27T13:28:08Z</dcterms:created>
  <dcterms:modified xsi:type="dcterms:W3CDTF">2020-04-27T13:28:08Z</dcterms:modified>
</cp:coreProperties>
</file>