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ectPr>
          <w:pgSz w:w="11900" w:h="16838" w:orient="portrait"/>
          <w:cols w:equalWidth="0" w:num="1">
            <w:col w:w="11420"/>
          </w:cols>
          <w:pgMar w:left="240" w:top="122" w:right="239" w:bottom="1440" w:gutter="0" w:footer="0" w:header="0"/>
        </w:sectPr>
      </w:pPr>
    </w:p>
    <w:p>
      <w:pPr>
        <w:spacing w:after="0" w:line="233" w:lineRule="exact"/>
        <w:rPr>
          <w:sz w:val="20"/>
          <w:szCs w:val="20"/>
          <w:color w:val="auto"/>
        </w:rPr>
      </w:pPr>
    </w:p>
    <w:p>
      <w:pPr>
        <w:spacing w:after="0" w:line="191" w:lineRule="exact"/>
        <w:rPr>
          <w:sz w:val="20"/>
          <w:szCs w:val="20"/>
          <w:color w:val="auto"/>
        </w:rPr>
      </w:pPr>
      <w:r>
        <w:rPr>
          <w:rFonts w:ascii="MS PGothic" w:cs="MS PGothic" w:eastAsia="MS PGothic" w:hAnsi="MS PGothic"/>
          <w:sz w:val="19"/>
          <w:szCs w:val="19"/>
          <w:color w:val="auto"/>
          <w:highlight w:val="black"/>
        </w:rPr>
        <w:t>☑</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ind w:right="100"/>
        <w:spacing w:after="0" w:line="256" w:lineRule="auto"/>
        <w:rPr>
          <w:sz w:val="20"/>
          <w:szCs w:val="20"/>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0" w:lineRule="exact"/>
        <w:rPr>
          <w:sz w:val="20"/>
          <w:szCs w:val="20"/>
          <w:color w:val="auto"/>
        </w:rPr>
      </w:pPr>
    </w:p>
    <w:p>
      <w:pPr>
        <w:sectPr>
          <w:pgSz w:w="11900" w:h="16838" w:orient="portrait"/>
          <w:cols w:equalWidth="0" w:num="2">
            <w:col w:w="880" w:space="720"/>
            <w:col w:w="9820"/>
          </w:cols>
          <w:pgMar w:left="240" w:top="122" w:right="239" w:bottom="1440" w:gutter="0" w:footer="0" w:header="0"/>
          <w:type w:val="continuous"/>
        </w:sectPr>
      </w:pP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October 31, 2005</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000-33385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2"/>
          <w:szCs w:val="42"/>
          <w:b w:val="1"/>
          <w:bCs w:val="1"/>
          <w:color w:val="auto"/>
        </w:rPr>
        <w:t>CALAVO GROWERS,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122" w:right="239" w:bottom="1440" w:gutter="0" w:footer="0" w:header="0"/>
          <w:type w:val="continuous"/>
        </w:sectPr>
      </w:pPr>
    </w:p>
    <w:p>
      <w:pPr>
        <w:spacing w:after="0" w:line="20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California</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340"/>
        <w:spacing w:after="0"/>
        <w:rPr>
          <w:sz w:val="20"/>
          <w:szCs w:val="20"/>
          <w:color w:val="auto"/>
        </w:rPr>
      </w:pPr>
      <w:r>
        <w:rPr>
          <w:rFonts w:ascii="Arial" w:cs="Arial" w:eastAsia="Arial" w:hAnsi="Arial"/>
          <w:sz w:val="18"/>
          <w:szCs w:val="18"/>
          <w:b w:val="1"/>
          <w:bCs w:val="1"/>
          <w:color w:val="auto"/>
        </w:rPr>
        <w:t>33-0945304</w:t>
      </w:r>
    </w:p>
    <w:p>
      <w:pPr>
        <w:spacing w:after="0" w:line="27" w:lineRule="exact"/>
        <w:rPr>
          <w:sz w:val="20"/>
          <w:szCs w:val="20"/>
          <w:color w:val="auto"/>
        </w:rPr>
      </w:pPr>
    </w:p>
    <w:p>
      <w:pPr>
        <w:jc w:val="center"/>
        <w:ind w:right="134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2">
            <w:col w:w="6600" w:space="720"/>
            <w:col w:w="4100"/>
          </w:cols>
          <w:pgMar w:left="240" w:top="122" w:right="239" w:bottom="1440" w:gutter="0" w:footer="0" w:header="0"/>
          <w:type w:val="continuous"/>
        </w:sectPr>
      </w:pPr>
    </w:p>
    <w:p>
      <w:pPr>
        <w:spacing w:after="0" w:line="30" w:lineRule="exact"/>
        <w:rPr>
          <w:sz w:val="20"/>
          <w:szCs w:val="20"/>
          <w:color w:val="auto"/>
        </w:rPr>
      </w:pPr>
    </w:p>
    <w:p>
      <w:pPr>
        <w:jc w:val="center"/>
        <w:ind w:right="2160"/>
        <w:spacing w:after="0"/>
        <w:rPr>
          <w:sz w:val="20"/>
          <w:szCs w:val="20"/>
          <w:color w:val="auto"/>
        </w:rPr>
      </w:pPr>
      <w:r>
        <w:rPr>
          <w:rFonts w:ascii="Arial" w:cs="Arial" w:eastAsia="Arial" w:hAnsi="Arial"/>
          <w:sz w:val="16"/>
          <w:szCs w:val="16"/>
          <w:b w:val="1"/>
          <w:bCs w:val="1"/>
          <w:color w:val="auto"/>
        </w:rPr>
        <w:t>1141-A Cummings Road, Santa Paula, CA</w:t>
      </w:r>
    </w:p>
    <w:p>
      <w:pPr>
        <w:spacing w:after="0" w:line="50" w:lineRule="exact"/>
        <w:rPr>
          <w:sz w:val="20"/>
          <w:szCs w:val="20"/>
          <w:color w:val="auto"/>
        </w:rPr>
      </w:pPr>
    </w:p>
    <w:p>
      <w:pPr>
        <w:jc w:val="center"/>
        <w:ind w:right="2160"/>
        <w:spacing w:after="0"/>
        <w:rPr>
          <w:sz w:val="20"/>
          <w:szCs w:val="20"/>
          <w:color w:val="auto"/>
        </w:rPr>
      </w:pPr>
      <w:r>
        <w:rPr>
          <w:rFonts w:ascii="Arial" w:cs="Arial" w:eastAsia="Arial" w:hAnsi="Arial"/>
          <w:sz w:val="17"/>
          <w:szCs w:val="17"/>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jc w:val="center"/>
        <w:ind w:right="2320"/>
        <w:spacing w:after="0"/>
        <w:rPr>
          <w:sz w:val="20"/>
          <w:szCs w:val="20"/>
          <w:color w:val="auto"/>
        </w:rPr>
      </w:pPr>
      <w:r>
        <w:rPr>
          <w:rFonts w:ascii="Arial" w:cs="Arial" w:eastAsia="Arial" w:hAnsi="Arial"/>
          <w:sz w:val="18"/>
          <w:szCs w:val="18"/>
          <w:b w:val="1"/>
          <w:bCs w:val="1"/>
          <w:color w:val="auto"/>
        </w:rPr>
        <w:t>93060</w:t>
      </w:r>
    </w:p>
    <w:p>
      <w:pPr>
        <w:spacing w:after="0" w:line="27" w:lineRule="exact"/>
        <w:rPr>
          <w:sz w:val="20"/>
          <w:szCs w:val="20"/>
          <w:color w:val="auto"/>
        </w:rPr>
      </w:pPr>
    </w:p>
    <w:p>
      <w:pPr>
        <w:jc w:val="center"/>
        <w:ind w:right="2320"/>
        <w:spacing w:after="0"/>
        <w:rPr>
          <w:sz w:val="20"/>
          <w:szCs w:val="20"/>
          <w:color w:val="auto"/>
        </w:rPr>
      </w:pPr>
      <w:r>
        <w:rPr>
          <w:rFonts w:ascii="Arial" w:cs="Arial" w:eastAsia="Arial" w:hAnsi="Arial"/>
          <w:sz w:val="16"/>
          <w:szCs w:val="16"/>
          <w:b w:val="1"/>
          <w:bCs w:val="1"/>
          <w:color w:val="auto"/>
        </w:rPr>
        <w:t>(Zip code)</w:t>
      </w:r>
    </w:p>
    <w:p>
      <w:pPr>
        <w:spacing w:after="0" w:line="211" w:lineRule="exact"/>
        <w:rPr>
          <w:sz w:val="20"/>
          <w:szCs w:val="20"/>
          <w:color w:val="auto"/>
        </w:rPr>
      </w:pPr>
    </w:p>
    <w:p>
      <w:pPr>
        <w:sectPr>
          <w:pgSz w:w="11900" w:h="16838" w:orient="portrait"/>
          <w:cols w:equalWidth="0" w:num="2">
            <w:col w:w="7600" w:space="720"/>
            <w:col w:w="3100"/>
          </w:cols>
          <w:pgMar w:left="240" w:top="122" w:right="239" w:bottom="1440" w:gutter="0" w:footer="0" w:header="0"/>
          <w:type w:val="continuous"/>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(805) 525-1245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0"/>
          <w:szCs w:val="20"/>
          <w:color w:val="auto"/>
        </w:rPr>
      </w:pPr>
    </w:p>
    <w:p>
      <w:pPr>
        <w:ind w:left="22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0"/>
          <w:szCs w:val="20"/>
          <w:color w:val="auto"/>
        </w:rPr>
      </w:pPr>
    </w:p>
    <w:p>
      <w:pPr>
        <w:ind w:left="22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03" w:lineRule="exact"/>
        <w:rPr>
          <w:sz w:val="20"/>
          <w:szCs w:val="20"/>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Indicate by check mark whether the Registrant is an accelerated filer (as defined in Exchange Act Rule 12b-2 of the Act).</w:t>
      </w:r>
    </w:p>
    <w:p>
      <w:pPr>
        <w:spacing w:after="0" w:line="23" w:lineRule="exact"/>
        <w:rPr>
          <w:sz w:val="20"/>
          <w:szCs w:val="20"/>
          <w:color w:val="auto"/>
        </w:rPr>
      </w:pPr>
    </w:p>
    <w:p>
      <w:pPr>
        <w:ind w:left="2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Indicate by check mark if whether the registrant is a shell company (as defined in Rule 12b-2 of the Exchange Act).</w:t>
      </w:r>
    </w:p>
    <w:p>
      <w:pPr>
        <w:spacing w:after="0" w:line="18" w:lineRule="exact"/>
        <w:rPr>
          <w:sz w:val="20"/>
          <w:szCs w:val="20"/>
          <w:color w:val="auto"/>
        </w:rPr>
      </w:pPr>
    </w:p>
    <w:p>
      <w:pPr>
        <w:ind w:left="22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08"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Based on the closing price as reported on the Nasdaq National Market, the aggregate market value of the Registrant’s Common Stock held by non-affiliates on April 30, 2005 (the last business day of the Registrant’s most recently completed second fiscal quarter) was approximately $114.6 million.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November 30, 2005 was 14,375,833.</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Portions of the Registrant’s Proxy Statement for the 2006 Annual Meeting of Shareholders, which we intend to hold on April 26, 2006, are incorporated by reference into Part III of this Form 10-K. The definitive Proxy Statement will be filed within 120 days after October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CAUTIONARY STATEMENT</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Business</w:t>
        </w:r>
      </w:hyperlink>
    </w:p>
    <w:p>
      <w:pPr>
        <w:ind w:left="320"/>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Item 1A. Risk Factors</w:t>
        </w:r>
      </w:hyperlink>
    </w:p>
    <w:p>
      <w:pPr>
        <w:ind w:left="32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1B. Unresolved Staff Comments</w:t>
        </w:r>
      </w:hyperlink>
    </w:p>
    <w:p>
      <w:pPr>
        <w:ind w:left="320"/>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2. Properties</w:t>
        </w:r>
      </w:hyperlink>
    </w:p>
    <w:p>
      <w:pPr>
        <w:ind w:left="320"/>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Item 3. Legal Proceedings</w:t>
        </w:r>
      </w:hyperlink>
    </w:p>
    <w:p>
      <w:pPr>
        <w:ind w:left="320"/>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Item 4. Submission of Matters to a Vote of Security Holders</w:t>
        </w:r>
      </w:hyperlink>
    </w:p>
    <w:p>
      <w:pPr>
        <w:ind w:left="320"/>
        <w:spacing w:after="0" w:line="230"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PART II</w:t>
        </w:r>
      </w:hyperlink>
    </w:p>
    <w:p>
      <w:pPr>
        <w:spacing w:after="0" w:line="1" w:lineRule="exact"/>
        <w:rPr>
          <w:sz w:val="20"/>
          <w:szCs w:val="20"/>
          <w:color w:val="auto"/>
        </w:rPr>
      </w:pPr>
    </w:p>
    <w:p>
      <w:pPr>
        <w:ind w:left="320"/>
        <w:spacing w:after="0" w:line="230"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Item 5. Market for Registrant’s Common Equity, Related Stockholder Matters and Issuer Purchases of Equity</w:t>
        </w:r>
      </w:hyperlink>
      <w:r>
        <w:rPr>
          <w:rFonts w:ascii="Arial" w:cs="Arial" w:eastAsia="Arial" w:hAnsi="Arial"/>
          <w:sz w:val="22"/>
          <w:szCs w:val="22"/>
          <w:u w:val="single" w:color="auto"/>
          <w:color w:val="0000EE"/>
        </w:rPr>
        <w:t xml:space="preserve"> </w:t>
      </w:r>
      <w:hyperlink w:anchor="page15">
        <w:r>
          <w:rPr>
            <w:rFonts w:ascii="Arial" w:cs="Arial" w:eastAsia="Arial" w:hAnsi="Arial"/>
            <w:sz w:val="22"/>
            <w:szCs w:val="22"/>
            <w:u w:val="single" w:color="auto"/>
            <w:color w:val="0000EE"/>
          </w:rPr>
          <w:t>Securities</w:t>
        </w:r>
      </w:hyperlink>
    </w:p>
    <w:p>
      <w:pPr>
        <w:ind w:left="320"/>
        <w:spacing w:after="0" w:line="231"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Item 6. Selected Financial Data</w:t>
        </w:r>
      </w:hyperlink>
    </w:p>
    <w:p>
      <w:pPr>
        <w:spacing w:after="0" w:line="231"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SELECTED CONSOLIDATED FINANCIAL DATA</w:t>
        </w:r>
      </w:hyperlink>
    </w:p>
    <w:p>
      <w:pPr>
        <w:spacing w:after="0" w:line="1" w:lineRule="exact"/>
        <w:rPr>
          <w:sz w:val="20"/>
          <w:szCs w:val="20"/>
          <w:color w:val="auto"/>
        </w:rPr>
      </w:pPr>
    </w:p>
    <w:p>
      <w:pPr>
        <w:ind w:left="320" w:right="1020"/>
        <w:spacing w:after="0" w:line="230"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Item 7.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29">
        <w:r>
          <w:rPr>
            <w:rFonts w:ascii="Arial" w:cs="Arial" w:eastAsia="Arial" w:hAnsi="Arial"/>
            <w:sz w:val="22"/>
            <w:szCs w:val="22"/>
            <w:u w:val="single" w:color="auto"/>
            <w:color w:val="0000EE"/>
          </w:rPr>
          <w:t>Item 7A. Quantitative and Qualitative Disclosures About Market Risk</w:t>
        </w:r>
      </w:hyperlink>
      <w:r>
        <w:rPr>
          <w:rFonts w:ascii="Arial" w:cs="Arial" w:eastAsia="Arial" w:hAnsi="Arial"/>
          <w:sz w:val="22"/>
          <w:szCs w:val="22"/>
          <w:u w:val="single" w:color="auto"/>
          <w:color w:val="0000EE"/>
        </w:rPr>
        <w:t xml:space="preserve"> </w:t>
      </w:r>
      <w:hyperlink w:anchor="page30">
        <w:r>
          <w:rPr>
            <w:rFonts w:ascii="Arial" w:cs="Arial" w:eastAsia="Arial" w:hAnsi="Arial"/>
            <w:sz w:val="22"/>
            <w:szCs w:val="22"/>
            <w:u w:val="single" w:color="auto"/>
            <w:color w:val="0000EE"/>
          </w:rPr>
          <w:t>Item 8. Financial Statements and Supplementary Data</w:t>
        </w:r>
      </w:hyperlink>
    </w:p>
    <w:p>
      <w:pPr>
        <w:spacing w:after="0" w:line="232" w:lineRule="auto"/>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CONSOLIDATED BALANCE SHEETS</w:t>
        </w:r>
      </w:hyperlink>
    </w:p>
    <w:p>
      <w:pPr>
        <w:spacing w:after="0" w:line="231"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CONSOLIDATED STATEMENTS OF INCOME</w:t>
        </w:r>
      </w:hyperlink>
    </w:p>
    <w:p>
      <w:pPr>
        <w:spacing w:after="0" w:line="230" w:lineRule="auto"/>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CONSOLIDATED STATEMENTS OF COMPREHENSIVE INCOME</w:t>
        </w:r>
      </w:hyperlink>
    </w:p>
    <w:p>
      <w:pPr>
        <w:spacing w:after="0" w:line="231" w:lineRule="auto"/>
        <w:rPr>
          <w:rFonts w:ascii="Arial" w:cs="Arial" w:eastAsia="Arial" w:hAnsi="Arial"/>
          <w:sz w:val="22"/>
          <w:szCs w:val="22"/>
          <w:u w:val="single" w:color="auto"/>
          <w:color w:val="0000EE"/>
        </w:rPr>
      </w:pPr>
      <w:hyperlink w:anchor="page33">
        <w:r>
          <w:rPr>
            <w:rFonts w:ascii="Arial" w:cs="Arial" w:eastAsia="Arial" w:hAnsi="Arial"/>
            <w:sz w:val="22"/>
            <w:szCs w:val="22"/>
            <w:u w:val="single" w:color="auto"/>
            <w:color w:val="0000EE"/>
          </w:rPr>
          <w:t>CONSOLIDATED STATEMENTS OF SHAREHOLDERS’ EQUITY</w:t>
        </w:r>
      </w:hyperlink>
    </w:p>
    <w:p>
      <w:pPr>
        <w:spacing w:after="0" w:line="231" w:lineRule="auto"/>
        <w:rPr>
          <w:rFonts w:ascii="Arial" w:cs="Arial" w:eastAsia="Arial" w:hAnsi="Arial"/>
          <w:sz w:val="22"/>
          <w:szCs w:val="22"/>
          <w:u w:val="single" w:color="auto"/>
          <w:color w:val="0000EE"/>
        </w:rPr>
      </w:pPr>
      <w:hyperlink w:anchor="page34">
        <w:r>
          <w:rPr>
            <w:rFonts w:ascii="Arial" w:cs="Arial" w:eastAsia="Arial" w:hAnsi="Arial"/>
            <w:sz w:val="22"/>
            <w:szCs w:val="22"/>
            <w:u w:val="single" w:color="auto"/>
            <w:color w:val="0000EE"/>
          </w:rPr>
          <w:t>CONSOLIDATED STATEMENTS OF CASH FLOWS</w:t>
        </w:r>
      </w:hyperlink>
    </w:p>
    <w:p>
      <w:pPr>
        <w:spacing w:after="0" w:line="230" w:lineRule="auto"/>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NOTES TO CONSOLIDATED FINANCIAL STATEMENTS</w:t>
        </w:r>
      </w:hyperlink>
    </w:p>
    <w:p>
      <w:pPr>
        <w:spacing w:after="0" w:line="1" w:lineRule="exact"/>
        <w:rPr>
          <w:rFonts w:ascii="Arial" w:cs="Arial" w:eastAsia="Arial" w:hAnsi="Arial"/>
          <w:sz w:val="22"/>
          <w:szCs w:val="22"/>
          <w:u w:val="single" w:color="auto"/>
          <w:color w:val="0000EE"/>
        </w:rPr>
      </w:pPr>
    </w:p>
    <w:p>
      <w:pPr>
        <w:ind w:left="320"/>
        <w:spacing w:after="0"/>
        <w:rPr>
          <w:rFonts w:ascii="Arial" w:cs="Arial" w:eastAsia="Arial" w:hAnsi="Arial"/>
          <w:sz w:val="21"/>
          <w:szCs w:val="21"/>
          <w:u w:val="single" w:color="auto"/>
          <w:color w:val="0000EE"/>
        </w:rPr>
      </w:pPr>
      <w:hyperlink w:anchor="page52">
        <w:r>
          <w:rPr>
            <w:rFonts w:ascii="Arial" w:cs="Arial" w:eastAsia="Arial" w:hAnsi="Arial"/>
            <w:sz w:val="21"/>
            <w:szCs w:val="21"/>
            <w:u w:val="single" w:color="auto"/>
            <w:color w:val="0000EE"/>
          </w:rPr>
          <w:t>Item 9. Changes in and Disagreements with Accountants on Accounting and Financial Disclosure</w:t>
        </w:r>
      </w:hyperlink>
    </w:p>
    <w:p>
      <w:pPr>
        <w:ind w:left="320"/>
        <w:spacing w:after="0" w:line="232" w:lineRule="auto"/>
        <w:rPr>
          <w:rFonts w:ascii="Arial" w:cs="Arial" w:eastAsia="Arial" w:hAnsi="Arial"/>
          <w:sz w:val="22"/>
          <w:szCs w:val="22"/>
          <w:u w:val="single" w:color="auto"/>
          <w:color w:val="0000EE"/>
        </w:rPr>
      </w:pPr>
      <w:hyperlink w:anchor="page52">
        <w:r>
          <w:rPr>
            <w:rFonts w:ascii="Arial" w:cs="Arial" w:eastAsia="Arial" w:hAnsi="Arial"/>
            <w:sz w:val="22"/>
            <w:szCs w:val="22"/>
            <w:u w:val="single" w:color="auto"/>
            <w:color w:val="0000EE"/>
          </w:rPr>
          <w:t>Item 9A. Controls and Procedures</w:t>
        </w:r>
      </w:hyperlink>
    </w:p>
    <w:p>
      <w:pPr>
        <w:ind w:left="320"/>
        <w:spacing w:after="0" w:line="230" w:lineRule="auto"/>
        <w:rPr>
          <w:rFonts w:ascii="Arial" w:cs="Arial" w:eastAsia="Arial" w:hAnsi="Arial"/>
          <w:sz w:val="22"/>
          <w:szCs w:val="22"/>
          <w:u w:val="single" w:color="auto"/>
          <w:color w:val="0000EE"/>
        </w:rPr>
      </w:pPr>
      <w:hyperlink w:anchor="page54">
        <w:r>
          <w:rPr>
            <w:rFonts w:ascii="Arial" w:cs="Arial" w:eastAsia="Arial" w:hAnsi="Arial"/>
            <w:sz w:val="22"/>
            <w:szCs w:val="22"/>
            <w:u w:val="single" w:color="auto"/>
            <w:color w:val="0000EE"/>
          </w:rPr>
          <w:t>Item 9B. Other Information</w:t>
        </w:r>
      </w:hyperlink>
    </w:p>
    <w:p>
      <w:pPr>
        <w:ind w:left="320"/>
        <w:spacing w:after="0" w:line="231" w:lineRule="auto"/>
        <w:rPr>
          <w:rFonts w:ascii="Arial" w:cs="Arial" w:eastAsia="Arial" w:hAnsi="Arial"/>
          <w:sz w:val="22"/>
          <w:szCs w:val="22"/>
          <w:u w:val="single" w:color="auto"/>
          <w:color w:val="0000EE"/>
        </w:rPr>
      </w:pPr>
      <w:hyperlink w:anchor="page54">
        <w:r>
          <w:rPr>
            <w:rFonts w:ascii="Arial" w:cs="Arial" w:eastAsia="Arial" w:hAnsi="Arial"/>
            <w:sz w:val="22"/>
            <w:szCs w:val="22"/>
            <w:u w:val="single" w:color="auto"/>
            <w:color w:val="0000EE"/>
          </w:rPr>
          <w:t>PART III</w:t>
        </w:r>
      </w:hyperlink>
    </w:p>
    <w:p>
      <w:pPr>
        <w:ind w:left="320" w:right="4340"/>
        <w:spacing w:after="0" w:line="230" w:lineRule="auto"/>
        <w:rPr>
          <w:rFonts w:ascii="Arial" w:cs="Arial" w:eastAsia="Arial" w:hAnsi="Arial"/>
          <w:sz w:val="22"/>
          <w:szCs w:val="22"/>
          <w:u w:val="single" w:color="auto"/>
          <w:color w:val="0000EE"/>
        </w:rPr>
      </w:pPr>
      <w:hyperlink w:anchor="page54">
        <w:r>
          <w:rPr>
            <w:rFonts w:ascii="Arial" w:cs="Arial" w:eastAsia="Arial" w:hAnsi="Arial"/>
            <w:sz w:val="22"/>
            <w:szCs w:val="22"/>
            <w:u w:val="single" w:color="auto"/>
            <w:color w:val="0000EE"/>
          </w:rPr>
          <w:t>Item 10. Directors and Executive Officers of the Registrant</w:t>
        </w:r>
      </w:hyperlink>
      <w:r>
        <w:rPr>
          <w:rFonts w:ascii="Arial" w:cs="Arial" w:eastAsia="Arial" w:hAnsi="Arial"/>
          <w:sz w:val="22"/>
          <w:szCs w:val="22"/>
          <w:u w:val="single" w:color="auto"/>
          <w:color w:val="0000EE"/>
        </w:rPr>
        <w:t xml:space="preserve"> </w:t>
      </w:r>
      <w:hyperlink w:anchor="page54">
        <w:r>
          <w:rPr>
            <w:rFonts w:ascii="Arial" w:cs="Arial" w:eastAsia="Arial" w:hAnsi="Arial"/>
            <w:sz w:val="22"/>
            <w:szCs w:val="22"/>
            <w:u w:val="single" w:color="auto"/>
            <w:color w:val="0000EE"/>
          </w:rPr>
          <w:t>Item 11. Executive Compensation</w:t>
        </w:r>
      </w:hyperlink>
    </w:p>
    <w:p>
      <w:pPr>
        <w:spacing w:after="0" w:line="1" w:lineRule="exact"/>
        <w:rPr>
          <w:sz w:val="20"/>
          <w:szCs w:val="20"/>
          <w:color w:val="auto"/>
        </w:rPr>
      </w:pPr>
    </w:p>
    <w:p>
      <w:pPr>
        <w:ind w:left="320" w:right="2820"/>
        <w:spacing w:after="0" w:line="230" w:lineRule="auto"/>
        <w:rPr>
          <w:rFonts w:ascii="Arial" w:cs="Arial" w:eastAsia="Arial" w:hAnsi="Arial"/>
          <w:sz w:val="22"/>
          <w:szCs w:val="22"/>
          <w:u w:val="single" w:color="auto"/>
          <w:color w:val="0000EE"/>
        </w:rPr>
      </w:pPr>
      <w:hyperlink w:anchor="page54">
        <w:r>
          <w:rPr>
            <w:rFonts w:ascii="Arial" w:cs="Arial" w:eastAsia="Arial" w:hAnsi="Arial"/>
            <w:sz w:val="22"/>
            <w:szCs w:val="22"/>
            <w:u w:val="single" w:color="auto"/>
            <w:color w:val="0000EE"/>
          </w:rPr>
          <w:t>Item 12. Security Ownership of Certain Beneficial Owners and Management</w:t>
        </w:r>
      </w:hyperlink>
      <w:r>
        <w:rPr>
          <w:rFonts w:ascii="Arial" w:cs="Arial" w:eastAsia="Arial" w:hAnsi="Arial"/>
          <w:sz w:val="22"/>
          <w:szCs w:val="22"/>
          <w:u w:val="single" w:color="auto"/>
          <w:color w:val="0000EE"/>
        </w:rPr>
        <w:t xml:space="preserve"> </w:t>
      </w:r>
      <w:hyperlink w:anchor="page55">
        <w:r>
          <w:rPr>
            <w:rFonts w:ascii="Arial" w:cs="Arial" w:eastAsia="Arial" w:hAnsi="Arial"/>
            <w:sz w:val="22"/>
            <w:szCs w:val="22"/>
            <w:u w:val="single" w:color="auto"/>
            <w:color w:val="0000EE"/>
          </w:rPr>
          <w:t>Item 13. Certain Relationships and Related Transactions</w:t>
        </w:r>
      </w:hyperlink>
      <w:r>
        <w:rPr>
          <w:rFonts w:ascii="Arial" w:cs="Arial" w:eastAsia="Arial" w:hAnsi="Arial"/>
          <w:sz w:val="22"/>
          <w:szCs w:val="22"/>
          <w:u w:val="single" w:color="auto"/>
          <w:color w:val="0000EE"/>
        </w:rPr>
        <w:t xml:space="preserve"> </w:t>
      </w:r>
      <w:hyperlink w:anchor="page55">
        <w:r>
          <w:rPr>
            <w:rFonts w:ascii="Arial" w:cs="Arial" w:eastAsia="Arial" w:hAnsi="Arial"/>
            <w:sz w:val="22"/>
            <w:szCs w:val="22"/>
            <w:u w:val="single" w:color="auto"/>
            <w:color w:val="0000EE"/>
          </w:rPr>
          <w:t>Item 14. Principal Accountant’s Fees and Services</w:t>
        </w:r>
      </w:hyperlink>
    </w:p>
    <w:p>
      <w:pPr>
        <w:ind w:left="320"/>
        <w:spacing w:after="0" w:line="232" w:lineRule="auto"/>
        <w:rPr>
          <w:rFonts w:ascii="Arial" w:cs="Arial" w:eastAsia="Arial" w:hAnsi="Arial"/>
          <w:sz w:val="22"/>
          <w:szCs w:val="22"/>
          <w:u w:val="single" w:color="auto"/>
          <w:color w:val="0000EE"/>
        </w:rPr>
      </w:pPr>
      <w:hyperlink w:anchor="page56">
        <w:r>
          <w:rPr>
            <w:rFonts w:ascii="Arial" w:cs="Arial" w:eastAsia="Arial" w:hAnsi="Arial"/>
            <w:sz w:val="22"/>
            <w:szCs w:val="22"/>
            <w:u w:val="single" w:color="auto"/>
            <w:color w:val="0000EE"/>
          </w:rPr>
          <w:t>Part IV</w:t>
        </w:r>
      </w:hyperlink>
    </w:p>
    <w:p>
      <w:pPr>
        <w:ind w:left="320"/>
        <w:spacing w:after="0" w:line="231" w:lineRule="auto"/>
        <w:rPr>
          <w:rFonts w:ascii="Arial" w:cs="Arial" w:eastAsia="Arial" w:hAnsi="Arial"/>
          <w:sz w:val="22"/>
          <w:szCs w:val="22"/>
          <w:u w:val="single" w:color="auto"/>
          <w:color w:val="0000EE"/>
        </w:rPr>
      </w:pPr>
      <w:hyperlink w:anchor="page56">
        <w:r>
          <w:rPr>
            <w:rFonts w:ascii="Arial" w:cs="Arial" w:eastAsia="Arial" w:hAnsi="Arial"/>
            <w:sz w:val="22"/>
            <w:szCs w:val="22"/>
            <w:u w:val="single" w:color="auto"/>
            <w:color w:val="0000EE"/>
          </w:rPr>
          <w:t>Item 15. Exhibits and Financial Statement Schedules</w:t>
        </w:r>
      </w:hyperlink>
    </w:p>
    <w:p>
      <w:pPr>
        <w:spacing w:after="0" w:line="230" w:lineRule="auto"/>
        <w:rPr>
          <w:rFonts w:ascii="Arial" w:cs="Arial" w:eastAsia="Arial" w:hAnsi="Arial"/>
          <w:sz w:val="22"/>
          <w:szCs w:val="22"/>
          <w:u w:val="single" w:color="auto"/>
          <w:color w:val="0000EE"/>
        </w:rPr>
      </w:pPr>
      <w:hyperlink w:anchor="page59">
        <w:r>
          <w:rPr>
            <w:rFonts w:ascii="Arial" w:cs="Arial" w:eastAsia="Arial" w:hAnsi="Arial"/>
            <w:sz w:val="22"/>
            <w:szCs w:val="22"/>
            <w:u w:val="single" w:color="auto"/>
            <w:color w:val="0000EE"/>
          </w:rPr>
          <w:t>SIGNATURES</w:t>
        </w:r>
      </w:hyperlink>
    </w:p>
    <w:p>
      <w:pPr>
        <w:ind w:left="320"/>
        <w:spacing w:after="0" w:line="231" w:lineRule="auto"/>
        <w:rPr>
          <w:rFonts w:ascii="Arial" w:cs="Arial" w:eastAsia="Arial" w:hAnsi="Arial"/>
          <w:sz w:val="22"/>
          <w:szCs w:val="22"/>
          <w:u w:val="single" w:color="auto"/>
          <w:color w:val="0000EE"/>
        </w:rPr>
      </w:pPr>
      <w:hyperlink w:anchor="page60">
        <w:r>
          <w:rPr>
            <w:rFonts w:ascii="Arial" w:cs="Arial" w:eastAsia="Arial" w:hAnsi="Arial"/>
            <w:sz w:val="22"/>
            <w:szCs w:val="22"/>
            <w:u w:val="single" w:color="auto"/>
            <w:color w:val="0000EE"/>
          </w:rPr>
          <w:t>SCHEDULE II</w:t>
        </w:r>
      </w:hyperlink>
    </w:p>
    <w:p>
      <w:pPr>
        <w:spacing w:after="0" w:line="231" w:lineRule="auto"/>
        <w:rPr>
          <w:rFonts w:ascii="Arial" w:cs="Arial" w:eastAsia="Arial" w:hAnsi="Arial"/>
          <w:sz w:val="22"/>
          <w:szCs w:val="22"/>
          <w:u w:val="single" w:color="auto"/>
          <w:color w:val="0000EE"/>
        </w:rPr>
      </w:pPr>
      <w:hyperlink w:anchor="page61">
        <w:r>
          <w:rPr>
            <w:rFonts w:ascii="Arial" w:cs="Arial" w:eastAsia="Arial" w:hAnsi="Arial"/>
            <w:sz w:val="22"/>
            <w:szCs w:val="22"/>
            <w:u w:val="single" w:color="auto"/>
            <w:color w:val="0000EE"/>
          </w:rPr>
          <w:t>EXHIBIT INDEX</w:t>
        </w:r>
      </w:hyperlink>
    </w:p>
    <w:p>
      <w:pPr>
        <w:spacing w:after="0" w:line="230" w:lineRule="auto"/>
        <w:rPr>
          <w:rFonts w:ascii="Arial" w:cs="Arial" w:eastAsia="Arial" w:hAnsi="Arial"/>
          <w:sz w:val="22"/>
          <w:szCs w:val="22"/>
          <w:u w:val="single" w:color="auto"/>
          <w:color w:val="0000EE"/>
        </w:rPr>
      </w:pPr>
      <w:hyperlink w:anchor="page63">
        <w:r>
          <w:rPr>
            <w:rFonts w:ascii="Arial" w:cs="Arial" w:eastAsia="Arial" w:hAnsi="Arial"/>
            <w:sz w:val="22"/>
            <w:szCs w:val="22"/>
            <w:u w:val="single" w:color="auto"/>
            <w:color w:val="0000EE"/>
          </w:rPr>
          <w:t>Exhibit 10.14</w:t>
        </w:r>
      </w:hyperlink>
    </w:p>
    <w:p>
      <w:pPr>
        <w:spacing w:after="0" w:line="231" w:lineRule="auto"/>
        <w:rPr>
          <w:rFonts w:ascii="Arial" w:cs="Arial" w:eastAsia="Arial" w:hAnsi="Arial"/>
          <w:sz w:val="22"/>
          <w:szCs w:val="22"/>
          <w:u w:val="single" w:color="auto"/>
          <w:color w:val="0000EE"/>
        </w:rPr>
      </w:pPr>
      <w:hyperlink w:anchor="page76">
        <w:r>
          <w:rPr>
            <w:rFonts w:ascii="Arial" w:cs="Arial" w:eastAsia="Arial" w:hAnsi="Arial"/>
            <w:sz w:val="22"/>
            <w:szCs w:val="22"/>
            <w:u w:val="single" w:color="auto"/>
            <w:color w:val="0000EE"/>
          </w:rPr>
          <w:t>Exhibit 10.16</w:t>
        </w:r>
      </w:hyperlink>
    </w:p>
    <w:p>
      <w:pPr>
        <w:spacing w:after="0" w:line="230" w:lineRule="auto"/>
        <w:rPr>
          <w:rFonts w:ascii="Arial" w:cs="Arial" w:eastAsia="Arial" w:hAnsi="Arial"/>
          <w:sz w:val="22"/>
          <w:szCs w:val="22"/>
          <w:u w:val="single" w:color="auto"/>
          <w:color w:val="0000EE"/>
        </w:rPr>
      </w:pPr>
      <w:hyperlink w:anchor="page77">
        <w:r>
          <w:rPr>
            <w:rFonts w:ascii="Arial" w:cs="Arial" w:eastAsia="Arial" w:hAnsi="Arial"/>
            <w:sz w:val="22"/>
            <w:szCs w:val="22"/>
            <w:u w:val="single" w:color="auto"/>
            <w:color w:val="0000EE"/>
          </w:rPr>
          <w:t>Exhibit 10.17</w:t>
        </w:r>
      </w:hyperlink>
    </w:p>
    <w:p>
      <w:pPr>
        <w:spacing w:after="0" w:line="231" w:lineRule="auto"/>
        <w:rPr>
          <w:rFonts w:ascii="Arial" w:cs="Arial" w:eastAsia="Arial" w:hAnsi="Arial"/>
          <w:sz w:val="22"/>
          <w:szCs w:val="22"/>
          <w:u w:val="single" w:color="auto"/>
          <w:color w:val="0000EE"/>
        </w:rPr>
      </w:pPr>
      <w:hyperlink w:anchor="page85">
        <w:r>
          <w:rPr>
            <w:rFonts w:ascii="Arial" w:cs="Arial" w:eastAsia="Arial" w:hAnsi="Arial"/>
            <w:sz w:val="22"/>
            <w:szCs w:val="22"/>
            <w:u w:val="single" w:color="auto"/>
            <w:color w:val="0000EE"/>
          </w:rPr>
          <w:t>Exhibit 23.1</w:t>
        </w:r>
      </w:hyperlink>
    </w:p>
    <w:p>
      <w:pPr>
        <w:spacing w:after="0" w:line="231" w:lineRule="auto"/>
        <w:rPr>
          <w:rFonts w:ascii="Arial" w:cs="Arial" w:eastAsia="Arial" w:hAnsi="Arial"/>
          <w:sz w:val="22"/>
          <w:szCs w:val="22"/>
          <w:u w:val="single" w:color="auto"/>
          <w:color w:val="0000EE"/>
        </w:rPr>
      </w:pPr>
      <w:hyperlink w:anchor="page86">
        <w:r>
          <w:rPr>
            <w:rFonts w:ascii="Arial" w:cs="Arial" w:eastAsia="Arial" w:hAnsi="Arial"/>
            <w:sz w:val="22"/>
            <w:szCs w:val="22"/>
            <w:u w:val="single" w:color="auto"/>
            <w:color w:val="0000EE"/>
          </w:rPr>
          <w:t>Exhibit 31.1</w:t>
        </w:r>
      </w:hyperlink>
    </w:p>
    <w:p>
      <w:pPr>
        <w:spacing w:after="0" w:line="230" w:lineRule="auto"/>
        <w:rPr>
          <w:rFonts w:ascii="Arial" w:cs="Arial" w:eastAsia="Arial" w:hAnsi="Arial"/>
          <w:sz w:val="22"/>
          <w:szCs w:val="22"/>
          <w:u w:val="single" w:color="auto"/>
          <w:color w:val="0000EE"/>
        </w:rPr>
      </w:pPr>
      <w:hyperlink w:anchor="page87">
        <w:r>
          <w:rPr>
            <w:rFonts w:ascii="Arial" w:cs="Arial" w:eastAsia="Arial" w:hAnsi="Arial"/>
            <w:sz w:val="22"/>
            <w:szCs w:val="22"/>
            <w:u w:val="single" w:color="auto"/>
            <w:color w:val="0000EE"/>
          </w:rPr>
          <w:t>Exhibit 31.2</w:t>
        </w:r>
      </w:hyperlink>
    </w:p>
    <w:p>
      <w:pPr>
        <w:spacing w:after="0" w:line="1"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88">
        <w:r>
          <w:rPr>
            <w:rFonts w:ascii="Arial" w:cs="Arial" w:eastAsia="Arial" w:hAnsi="Arial"/>
            <w:sz w:val="22"/>
            <w:szCs w:val="22"/>
            <w:u w:val="single" w:color="auto"/>
            <w:color w:val="0000EE"/>
          </w:rPr>
          <w:t>Exhibit 32</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60"/>
          </w:cols>
          <w:pgMar w:left="820" w:top="111" w:right="1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Annual Report on Form 10-K contains statements relating to future results of Calavo Growers, Inc. (including certain projections and business trends) that are “forward-looking statements” within the meaning of Section 27A of the Securities Act of 1933, as amended, and Section 21E of the Securities Exchange Act of 1934, as amended, and are subject to the “safe harbor” created by those sections. Forward-looking statements frequently are identifiable by the use of words such as “believe,” “anticipate,” “expect,” “intend,” “will,” and other similar expressions. Our actual results may differ materially from those projected as a result of certain risks and uncertainties. These risks and uncertainties include, but are not limited to: increased competition, general economic and business conditions, energy costs and availability, conducting substantial amounts of business internationally, pricing pressures on agricultural products, adverse weather and growing conditions confronting avocado growers, new governmental regulations, as well as other risks and uncertainties, including those set forth in Item 1A. Risk Factors and elsewhere in this Annual Report on Form 10-K and those detailed from time to time in our other filings with the Securities and Exchange Commission. These forward-looking statements are made only as of the date hereof, and we undertake no obligation to update or revise the forward-looking statements, whether as a result of new information, future events or otherwise.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development of the business</w:t>
      </w:r>
    </w:p>
    <w:p>
      <w:pPr>
        <w:spacing w:after="0" w:line="121"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We engage in the procurement and marketing of avocados and other perishable foods and the preparation and distribution of processed avocado products. Our expertise in marketing and distributing avocados, processed avocados, and other perishable foods allows us to deliver a wide array of fresh and processed food products to food distributors, produce wholesalers, supermarkets, and restaurants on a worldwide basis. Through our three operating facilities in Southern California and two facilities in Mexico, we sort pack and/or ripen avocados procured in California and Mexico and prepare processed avocado products. Additionally, we procure avocados internationally, principally from Chile and the Dominican Republic, and distribute other perishable foods, such as Hawaiian grown papayas. We report these operations in three different business segments: California avocados, international avocados and perishable food products, and processed products.</w:t>
      </w:r>
    </w:p>
    <w:p>
      <w:pPr>
        <w:spacing w:after="0" w:line="8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On October 9, 2001, we completed a series of transactions whereby common and preferred shareholders of Calavo Growers of California (the Cooperative), an agricultural marketing cooperative association, exchanged all of their outstanding shares for shares of our common stock. Concurrent with this transaction, the Cooperative was merged into us with Calavo Growers, Inc. (Calavo) emerging as the surviving entity. These transactions had the effect of converting the legal structure of the business from a non profit cooperative to a for-profit corporation. All references herein to us for periods prior to the merger refer to the business and operations of the Cooperative.</w:t>
      </w:r>
    </w:p>
    <w:p>
      <w:pPr>
        <w:spacing w:after="0" w:line="80" w:lineRule="exact"/>
        <w:rPr>
          <w:sz w:val="20"/>
          <w:szCs w:val="20"/>
          <w:color w:val="auto"/>
        </w:rPr>
      </w:pPr>
    </w:p>
    <w:p>
      <w:pPr>
        <w:ind w:right="120" w:firstLine="225"/>
        <w:spacing w:after="0" w:line="285" w:lineRule="auto"/>
        <w:rPr>
          <w:sz w:val="20"/>
          <w:szCs w:val="20"/>
          <w:color w:val="auto"/>
        </w:rPr>
      </w:pPr>
      <w:r>
        <w:rPr>
          <w:rFonts w:ascii="Arial" w:cs="Arial" w:eastAsia="Arial" w:hAnsi="Arial"/>
          <w:sz w:val="16"/>
          <w:szCs w:val="16"/>
          <w:color w:val="auto"/>
        </w:rPr>
        <w:t>In February 2003, our Board of Directors approved a plan whereby the operations of our processed products business would be relocated. The plan called for the closing of our Santa Paula, California and Mexicali, Baja California Norte processing facilities and the relocation of these operations to a new facility in Uruapan, Michoacan, Mexico. This restructuring has provided for cost savings in the elimination of certain transportation costs, duplicative overhead structures, and savings in the overall cost of labor and services. The Uruapan facility commenced operations in February 2004 and the Santa Paula and Mexicali facilities were closed in February 2003 and August 2004. During fiscal 2005, we incurred costs related to this restructuring approximating</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$0.4 million, which are recorded in our income statement as both cost of sales ($0.3 million) and selling, general and administrative expenses ($0.1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 the above amounts have been paid and we do not expect any additional operating costs related to this restructuring.</w:t>
      </w:r>
    </w:p>
    <w:p>
      <w:pPr>
        <w:spacing w:after="0" w:line="103" w:lineRule="exact"/>
        <w:rPr>
          <w:sz w:val="20"/>
          <w:szCs w:val="20"/>
          <w:color w:val="auto"/>
        </w:rPr>
      </w:pPr>
    </w:p>
    <w:p>
      <w:pPr>
        <w:jc w:val="both"/>
        <w:ind w:right="420" w:firstLine="225"/>
        <w:spacing w:after="0" w:line="279" w:lineRule="auto"/>
        <w:rPr>
          <w:sz w:val="20"/>
          <w:szCs w:val="20"/>
          <w:color w:val="auto"/>
        </w:rPr>
      </w:pPr>
      <w:r>
        <w:rPr>
          <w:rFonts w:ascii="Arial" w:cs="Arial" w:eastAsia="Arial" w:hAnsi="Arial"/>
          <w:sz w:val="17"/>
          <w:szCs w:val="17"/>
          <w:color w:val="auto"/>
        </w:rPr>
        <w:t>In November 2003, we acquired all the outstanding common shares of Maui Fresh International, Inc. (Maui). Maui distributes a multi-product line of specialty produce through retail, food service and terminal market wholesale channels. Maui is currently based in Los Angeles, California, but maintains significant operations in Hawaii and Nogales, Arizona. Maui packs and distributes a diversified line comprised of more than 20 commodities, including tropical and exotic fruits, chilies and hothouse-grown items, as well as other conventional fruits and vegetables.</w:t>
      </w:r>
    </w:p>
    <w:p>
      <w:pPr>
        <w:spacing w:after="0" w:line="6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 March 2005, we completed the sale of our old corporate headquarters building (located in Santa Ana) for $3.4 million. This transaction resulted in a pre-tax gain on sale of approximately $1.7 million. In conjunction with such sale, we relocated our corporate offices to Santa Paula, California in March 2005. Total expenses related to such relocation approximated $0.4 million.</w:t>
      </w:r>
    </w:p>
    <w:p>
      <w:pPr>
        <w:spacing w:after="0" w:line="73"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In June 2005, in order to increase our market share of California avocados and increase synergies within the marketplace, we entered into a stock purchase agreement with Limoneira Company (Limoneira). Pursuant to such agreement, we acquired approximately 15.1% of Limoneira’s outstanding common stock for $23.45 million and Limoneira acquired approximately 6.9% of our outstanding common stock for $10 million. The transaction was settled by a net cash payment by us of $13.45 million. Additionally, such agreement also provided for: (1) Calavo to lease office space from Limoneira in Santa Paula, California for a period of 10 years at an initial annual gross rental of approximately $0.2 million (subject to annual CPI increases, as defined), (2) Calavo to market Limoneira’s avocados and (3) Calavo and Limoneira to use good faith reasonable efforts to maximize avocado packing efficiencies for both parties by consolidating their fruit packing operations. Various opportunities are currently being considered, including the use of existing packing facilities, an investment in existing vacant facilities, and/or an investment in a new consolidated facility for both parties.</w:t>
      </w:r>
    </w:p>
    <w:p>
      <w:pPr>
        <w:spacing w:after="0" w:line="71" w:lineRule="exact"/>
        <w:rPr>
          <w:sz w:val="20"/>
          <w:szCs w:val="20"/>
          <w:color w:val="auto"/>
        </w:rPr>
      </w:pPr>
    </w:p>
    <w:p>
      <w:pPr>
        <w:ind w:right="280" w:firstLine="225"/>
        <w:spacing w:after="0" w:line="342" w:lineRule="auto"/>
        <w:rPr>
          <w:sz w:val="20"/>
          <w:szCs w:val="20"/>
          <w:color w:val="auto"/>
        </w:rPr>
      </w:pPr>
      <w:r>
        <w:rPr>
          <w:rFonts w:ascii="Arial" w:cs="Arial" w:eastAsia="Arial" w:hAnsi="Arial"/>
          <w:sz w:val="16"/>
          <w:szCs w:val="16"/>
          <w:color w:val="auto"/>
        </w:rPr>
        <w:t>Limoneira, which generated total revenues of approximately $26 million during fiscal 2004, primarily engages in growing citrus and avocados, picking and hauling citrus, and packing lemons. The issuances of the shares discussed above are exempt from registration under federal and state securities laws.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principal executive offices are located at 1141-A Cummings Road, Santa Paula, California 93060; telephone (805) 525-1245.</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October 31, 2005, we employed approximately 700 employees worldwide.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maintain an Internet website at http://www.calavo.com. Our annual reports on Form 10-K, quarterly reports on Form 10-Q, current reports on Form 8-K and amendments to such reports filed or furnished pursuant to section 13(a) or 15(d) of the Securities and Exchange Act of 1934, as amended, and other information related to us, are available, free of charge, on our website as soon as reasonably practicable after we electronically file those documents with, or otherwise furnish them to, the Securities and Exchange Commission. Our Internet website and the information contained therein, or connected thereto, is not and is not intended to be incorporated into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avocados</w:t>
      </w:r>
    </w:p>
    <w:p>
      <w:pPr>
        <w:spacing w:after="0" w:line="121"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Calavo was founded in 1924 to market California avocados. In California, the growing area stretches from San Diego County to San Luis Obispo County, with the majority of the growing areas located approximately 100 miles north and south of Los Angeles County. The storage life of fresh avocados is limited. It generally ranges from one to four weeks, depending upon the maturity of the fruit, the growing methods used, and the handling conditions in the distribution chain.</w:t>
      </w:r>
    </w:p>
    <w:p>
      <w:pPr>
        <w:spacing w:after="0" w:line="79"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Hass variety is the predominant avocado variety marketed on a worldwide basis. California grown Hass avocados are available year-round, with peak production periods occurring between February through September. Other varieties have a more limited picking season and command a lower price. Approximately 2,200 growers deliver avocados to us, generally pursuant to a standard marketing agreement. Over the past several years, our share of the California avocado crop has remained strong, with approximately 35% of the 2005 California avocado crop handled by us, based on data published by the California Avocado Commission. We attribute our solid foothold in the California industry principally to the competitiveness of the per pound returns we pay and the communication we maintain with our growers.</w:t>
      </w:r>
    </w:p>
    <w:p>
      <w:pPr>
        <w:spacing w:after="0" w:line="85" w:lineRule="exact"/>
        <w:rPr>
          <w:sz w:val="20"/>
          <w:szCs w:val="20"/>
          <w:color w:val="auto"/>
        </w:rPr>
      </w:pPr>
    </w:p>
    <w:p>
      <w:pPr>
        <w:ind w:right="100" w:firstLine="215"/>
        <w:spacing w:after="0" w:line="259" w:lineRule="auto"/>
        <w:rPr>
          <w:sz w:val="20"/>
          <w:szCs w:val="20"/>
          <w:color w:val="auto"/>
        </w:rPr>
      </w:pPr>
      <w:r>
        <w:rPr>
          <w:rFonts w:ascii="Arial" w:cs="Arial" w:eastAsia="Arial" w:hAnsi="Arial"/>
          <w:sz w:val="18"/>
          <w:szCs w:val="18"/>
          <w:color w:val="auto"/>
        </w:rPr>
        <w:t>Avocados delivered to our packinghouses are graded, sized, packed, and cooled for delivery to customers. Our ability to estimate the size, as well as the timing of the delivery of the annual avocado crop, has a substantial impact on both our costs and the sales price we receive for the fruit. To that end, our field personnel maintain direct contact with growers and farm managers and coordinate harvest plans. The feedback from our field-managers is used by our sales department to prepare sales plans used by our direct sales force.</w:t>
      </w:r>
    </w:p>
    <w:p>
      <w:pPr>
        <w:spacing w:after="0" w:line="79" w:lineRule="exact"/>
        <w:rPr>
          <w:sz w:val="20"/>
          <w:szCs w:val="20"/>
          <w:color w:val="auto"/>
        </w:rPr>
      </w:pPr>
    </w:p>
    <w:p>
      <w:pPr>
        <w:ind w:right="20" w:firstLine="215"/>
        <w:spacing w:after="0" w:line="279" w:lineRule="auto"/>
        <w:rPr>
          <w:sz w:val="20"/>
          <w:szCs w:val="20"/>
          <w:color w:val="auto"/>
        </w:rPr>
      </w:pPr>
      <w:r>
        <w:rPr>
          <w:rFonts w:ascii="Arial" w:cs="Arial" w:eastAsia="Arial" w:hAnsi="Arial"/>
          <w:sz w:val="17"/>
          <w:szCs w:val="17"/>
          <w:color w:val="auto"/>
        </w:rPr>
        <w:t>A significant portion of our costs are fixed. As a result, significant fluctuations in the volume of avocados delivered have a considerable impact on the per pound packing costs of avocados we handle. Generally, larger crops will result in a lower per pound handling cost. We believe that our cost structure is geared to optimally handle larger avocado crops than we have handled in recent years. Our strategy calls for continued efforts in aggressively recruiting new growers, retaining existing growers, and procuring a larger percentage of the California avocado crop.</w:t>
      </w:r>
    </w:p>
    <w:p>
      <w:pPr>
        <w:spacing w:after="0" w:line="63" w:lineRule="exact"/>
        <w:rPr>
          <w:sz w:val="20"/>
          <w:szCs w:val="20"/>
          <w:color w:val="auto"/>
        </w:rPr>
      </w:pPr>
    </w:p>
    <w:p>
      <w:pPr>
        <w:jc w:val="both"/>
        <w:ind w:right="20" w:firstLine="215"/>
        <w:spacing w:after="0" w:line="285" w:lineRule="auto"/>
        <w:rPr>
          <w:sz w:val="20"/>
          <w:szCs w:val="20"/>
          <w:color w:val="auto"/>
        </w:rPr>
      </w:pPr>
      <w:r>
        <w:rPr>
          <w:rFonts w:ascii="Arial" w:cs="Arial" w:eastAsia="Arial" w:hAnsi="Arial"/>
          <w:sz w:val="16"/>
          <w:szCs w:val="16"/>
          <w:color w:val="auto"/>
        </w:rPr>
        <w:t>Avocados delivered to us are grouped as a homogenous pool on a weekly basis based on the variety, size, and grade. The proceeds we receive from the sale of each separate avocado pool, net of a packing and marketing fee to cover our costs and a profit, are paid back to the growers once each month. The packing and marketing fee we withhold is periodically determined and revised based on our estimated per pound packing and operating costs, as well as our operating profit. Significant competitive pressures dictate that we set the packing and marketing fee at the lowest possible level to attract new and retain existing grower business. We believe that, if net proceeds paid ceased to be competitive, growers would choose to deliver their avocados to alternate competitive handlers.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Consequently, we strive to deliver growers the highest return possible on avocados delivered to our packinghouses.</w:t>
      </w:r>
    </w:p>
    <w:p>
      <w:pPr>
        <w:spacing w:after="0" w:line="103"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The California avocado market is highly competitive with 9 major avocado handlers. A marketing order enacted by the state legislature is in effect for California grown avocados and provides the financial resource to fund generic advertising and promotional programs. Although avocados handled by us are identifiable through packaging and the Calavo brand name sticker, we believe that consumers generally do not purchase avocados based on brand loyalty. We have, however, developed a series of marketing and sales initiatives aimed at our largest customers that are designed to differentiate our products and services from those offered by our competitors. Some of these key initiatives are as follows:</w:t>
      </w:r>
    </w:p>
    <w:p>
      <w:pPr>
        <w:spacing w:after="0" w:line="64" w:lineRule="exact"/>
        <w:rPr>
          <w:sz w:val="20"/>
          <w:szCs w:val="20"/>
          <w:color w:val="auto"/>
        </w:rPr>
      </w:pPr>
    </w:p>
    <w:p>
      <w:pPr>
        <w:ind w:left="660" w:hanging="436"/>
        <w:spacing w:after="0" w:line="255"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We continue to have success with our ProRipeVIP™ avocado ripening program. This proprietary program allows us to deliver avocados with varying degrees of ripeness to our customers. We have invested in the Aweta AFS (acoustic firmness sensor) technology and equipment. ProRipeVIP™ is the next generation of selling preconditioned avocados that have firmness determined via soundwaves. This technology is not new to the produce industry, but is new to avocados. The most significant and compelling reason we choose to invest in Aweta systems is because the acoustic sensors measure firmness of the entire piece of fruit, as opposed to competitive mechanical tests that use pressure and calculated averages to measure firmness. We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believe that ripened avocados help our customers address the consumers’ immediate needs and accelerate the sale of avocados through their stores.</w:t>
      </w:r>
    </w:p>
    <w:p>
      <w:pPr>
        <w:spacing w:after="0" w:line="154" w:lineRule="exact"/>
        <w:rPr>
          <w:sz w:val="20"/>
          <w:szCs w:val="20"/>
          <w:color w:val="auto"/>
        </w:rPr>
      </w:pPr>
    </w:p>
    <w:p>
      <w:pPr>
        <w:ind w:left="660" w:right="120" w:hanging="436"/>
        <w:spacing w:after="0" w:line="279" w:lineRule="auto"/>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We have developed various display techniques and packages that appeal to consumers and, in particular, impulse buyers. Some of our techniques include the bagging of avocados and the strategic display of the bags within the produce section of retail stores. Our research has demonstrated that consumers generally purchase a larger quantity of avocados when presented in a bag as opposed to the conventional bulk displays. We also believe that the value proposition of avocados in a bag provides for a higher level of sales to grocery stores.</w:t>
      </w:r>
    </w:p>
    <w:p>
      <w:pPr>
        <w:spacing w:after="0" w:line="76" w:lineRule="exact"/>
        <w:rPr>
          <w:rFonts w:ascii="Arial" w:cs="Arial" w:eastAsia="Arial" w:hAnsi="Arial"/>
          <w:sz w:val="17"/>
          <w:szCs w:val="17"/>
          <w:b w:val="1"/>
          <w:bCs w:val="1"/>
          <w:color w:val="auto"/>
        </w:rPr>
      </w:pPr>
    </w:p>
    <w:p>
      <w:pPr>
        <w:ind w:left="660" w:right="20" w:hanging="436"/>
        <w:spacing w:after="0" w:line="279" w:lineRule="auto"/>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From time to time, we market our avocados under joint promotion programs with other food manufacturers. Under these programs, we seek to increase the promotional exposure of our products by providing certain sales incentives. These incentives will be offered in conjunction with various promotional campaigns designed to advertise the products of all parties involved. We believe these programs will help us minimize our advertising costs, as they will be shared with other parties, while still achieving recognition in the marketplace.</w:t>
      </w:r>
    </w:p>
    <w:p>
      <w:pPr>
        <w:spacing w:after="0" w:line="76" w:lineRule="exact"/>
        <w:rPr>
          <w:rFonts w:ascii="Arial" w:cs="Arial" w:eastAsia="Arial" w:hAnsi="Arial"/>
          <w:sz w:val="17"/>
          <w:szCs w:val="17"/>
          <w:b w:val="1"/>
          <w:bCs w:val="1"/>
          <w:color w:val="auto"/>
        </w:rPr>
      </w:pPr>
    </w:p>
    <w:p>
      <w:pPr>
        <w:jc w:val="both"/>
        <w:ind w:left="660" w:right="60" w:hanging="436"/>
        <w:spacing w:after="0" w:line="259"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We have established one of the industry’s largest proprietary marketing databases that facilitates a review of the performance of avocados in various grocery stores located across the nation. Based on this data, we are able to assist our customers in developing programs that will increase their sales. Generally, we review the performance of stores relative to others within the same geographic area and make recommendations designed to increase both the per unit and total dollar sales of avocados within the produce section.</w:t>
      </w:r>
    </w:p>
    <w:p>
      <w:pPr>
        <w:spacing w:after="0" w:line="79" w:lineRule="exact"/>
        <w:rPr>
          <w:sz w:val="20"/>
          <w:szCs w:val="20"/>
          <w:color w:val="auto"/>
        </w:rPr>
      </w:pPr>
    </w:p>
    <w:p>
      <w:pPr>
        <w:ind w:right="20" w:firstLine="222"/>
        <w:spacing w:after="0" w:line="289" w:lineRule="auto"/>
        <w:rPr>
          <w:sz w:val="20"/>
          <w:szCs w:val="20"/>
          <w:color w:val="auto"/>
        </w:rPr>
      </w:pPr>
      <w:r>
        <w:rPr>
          <w:rFonts w:ascii="Arial" w:cs="Arial" w:eastAsia="Arial" w:hAnsi="Arial"/>
          <w:sz w:val="16"/>
          <w:szCs w:val="16"/>
          <w:color w:val="auto"/>
        </w:rPr>
        <w:t>We sell avocados to a diverse group of supermarket chains, wholesalers, food service and other distributors, under the Calavo and private labels. The consolidation in the supermarket industry has led to fewer, but bigger buyers. From time to time, sales are transacted via e-commerce. We believe that our largest customers will require us and our competitors to implement one or more e-commerce distribution solutions to facilitate their procurement and inventory management programs. In our judgment, the shift to e-commerce by our largest customers will favorably impact larger handlers like us, which have the ability and financial resources to support these strategies. From time to time, some of our larger customers seek short-term sales contracts that formalize their pricing and volume requirements. Generally, these contracts contain provisions that establish a price floor and/or ceiling during the contract duration. Again, in our judgment, the shift by our customers to drafting sales contracts benefits large handlers like us, which have the ability to fulfill the terms of these contracts. During fiscal year 2005, our 5 and 25 largest customers represented approximately 21% and 44% of our total consolidated revenues. During fiscal years 2005, 2004 and 2003 none of our California avocado customers represented more than 10% of total consolidated revenues.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avocados and perishable food products</w:t>
      </w:r>
    </w:p>
    <w:p>
      <w:pPr>
        <w:spacing w:after="0" w:line="121"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Our international avocados and perishable food products segment leverages our expertise in the handling and marketing of California avocados. We believe that the sales generated by this segment complement our offering of California avocados to our customers and stabilize the supply of avocados during seasons of low California production. Sales generated by this segment include avocados grown outside of California and other perishable food products, such as papayas, tomatoes, ginger, and pineapple. We primarily market international avocados from Mexico, Chile, and the Dominican Republic. We handle some of these products on a consignment basis for the suppliers. Pursuant to these arrangements, from time to time, we make advances to Chilean handlers and Mexican growers. We primarily make such advances related to both pre-harvest and post-harvest activities. Our ability to recover pre-harvest advances is largely dependent on the growers’ ability to deliver avocados to us and is subject to inherent risks of farming, such as weather and pests. Historical experience demonstrates that providing post-harvest advances results in our acquiring full market risk for the product, as it is possible that our resale proceeds may be less than the amounts we paid to the grower. This is a result of the high level of volatility inherent in the avocado and perishable food markets, which are subject to significant pricing declines based on the availability of fruit in the market.</w:t>
      </w:r>
    </w:p>
    <w:p>
      <w:pPr>
        <w:spacing w:after="0" w:line="70" w:lineRule="exact"/>
        <w:rPr>
          <w:sz w:val="20"/>
          <w:szCs w:val="20"/>
          <w:color w:val="auto"/>
        </w:rPr>
      </w:pPr>
    </w:p>
    <w:p>
      <w:pPr>
        <w:ind w:right="260" w:firstLine="225"/>
        <w:spacing w:after="0" w:line="255" w:lineRule="auto"/>
        <w:rPr>
          <w:sz w:val="20"/>
          <w:szCs w:val="20"/>
          <w:color w:val="auto"/>
        </w:rPr>
      </w:pPr>
      <w:r>
        <w:rPr>
          <w:rFonts w:ascii="Arial" w:cs="Arial" w:eastAsia="Arial" w:hAnsi="Arial"/>
          <w:sz w:val="18"/>
          <w:szCs w:val="18"/>
          <w:color w:val="auto"/>
        </w:rPr>
        <w:t>Net sales generated by our International avocados and perishable food products business depend principally on the availability of Chilean and Mexican grown avocados in the U.S. markets. In November 2004, the United States Department of Food and Agriculture (USDA) published a rule allowing Hass avocado imports from Mexico into all 50 states year round (up from 31 states for only a six month period), except for California, Florida, and Hawaii. We expect the restriction on such states to be lifted in February 2007. For the remaining 47 states, however, Mexico was able to deliver its fruit for all of fiscal 2005. The implementation of this rule resulted in a significant increase in the sale of Mexican sourced fruit during fiscal 2005. See Item 7 for a detailed description of such increase.</w:t>
      </w:r>
    </w:p>
    <w:p>
      <w:pPr>
        <w:spacing w:after="0" w:line="85"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 1998, we invested in the Mexican avocado market by building a packinghouse in Uruapan, Mexico. We believe that our continued success in marketing Mexican avocados is largely dependent upon securing a reliable, high-quality supply of avocados at reasonable prices. The Mexican avocado harvest is both complimentary and competitive with the California market, as the Mexican harvest typically runs from September to June. As a result, it is common for Mexican growers to monitor the supply of avocados for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export to the United States in order to obtain higher field prices. During 2005, we packed and distributed approximately 21% of the avocados exported from Mexico into the United States and approximately 12% of the avocados exported from Mexico to countries other than the United States, based on our estimates.</w:t>
      </w:r>
    </w:p>
    <w:p>
      <w:pPr>
        <w:spacing w:after="0" w:line="73"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In recent years, the volume of avocados exported by Chilean growers to the United States has continued to increase. Chilean growers continue to increase avocado plantings to capitalize on high returns available in the worldwide avocado markets. Sales of Chilean grown avocados have been significant during our 4</w:t>
      </w:r>
      <w:r>
        <w:rPr>
          <w:rFonts w:ascii="Arial" w:cs="Arial" w:eastAsia="Arial" w:hAnsi="Arial"/>
          <w:sz w:val="15"/>
          <w:szCs w:val="15"/>
          <w:color w:val="auto"/>
        </w:rPr>
        <w:t>th</w:t>
      </w:r>
      <w:r>
        <w:rPr>
          <w:rFonts w:ascii="Arial" w:cs="Arial" w:eastAsia="Arial" w:hAnsi="Arial"/>
          <w:sz w:val="18"/>
          <w:szCs w:val="18"/>
          <w:color w:val="auto"/>
        </w:rPr>
        <w:t xml:space="preserve"> and 1</w:t>
      </w:r>
      <w:r>
        <w:rPr>
          <w:rFonts w:ascii="Arial" w:cs="Arial" w:eastAsia="Arial" w:hAnsi="Arial"/>
          <w:sz w:val="15"/>
          <w:szCs w:val="15"/>
          <w:color w:val="auto"/>
        </w:rPr>
        <w:t>st</w:t>
      </w:r>
      <w:r>
        <w:rPr>
          <w:rFonts w:ascii="Arial" w:cs="Arial" w:eastAsia="Arial" w:hAnsi="Arial"/>
          <w:sz w:val="18"/>
          <w:szCs w:val="18"/>
          <w:color w:val="auto"/>
        </w:rPr>
        <w:t xml:space="preserve"> fiscal quarters. Additionally, with the Chilean harvesting season being complimentary to the California season (August through February), Chilean avocados are able to command competitive retail pricing in the market. During 2005, we distributed approximately 10% of the Chilean imports into the United States, based on our estimates.</w:t>
      </w:r>
    </w:p>
    <w:p>
      <w:pPr>
        <w:spacing w:after="0" w:line="80"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Dominican Republic also exports avocados into the United States. The harvest of Dominican Republic avocados (September to January) overlaps with the Chilean and Mexican avocado harvest periods. As a result, the increased volume of avocados in the U.S. marketplace related to Dominican Republic sourced fruit has the effect of increasing pressure on sales prices. During 2005, we distributed substantially all of the Dominican Republic imports into the United States, based on our estimates.</w:t>
      </w:r>
    </w:p>
    <w:p>
      <w:pPr>
        <w:spacing w:after="0" w:line="79" w:lineRule="exact"/>
        <w:rPr>
          <w:sz w:val="20"/>
          <w:szCs w:val="20"/>
          <w:color w:val="auto"/>
        </w:rPr>
      </w:pPr>
    </w:p>
    <w:p>
      <w:pPr>
        <w:ind w:right="420" w:firstLine="225"/>
        <w:spacing w:after="0" w:line="259" w:lineRule="auto"/>
        <w:rPr>
          <w:sz w:val="20"/>
          <w:szCs w:val="20"/>
          <w:color w:val="auto"/>
        </w:rPr>
      </w:pPr>
      <w:r>
        <w:rPr>
          <w:rFonts w:ascii="Arial" w:cs="Arial" w:eastAsia="Arial" w:hAnsi="Arial"/>
          <w:sz w:val="18"/>
          <w:szCs w:val="18"/>
          <w:color w:val="auto"/>
        </w:rPr>
        <w:t>In recent years, our distribution of other perishable food products has generally been limited to papayas procured from a Hawaiian packing operation, which is owned by the Chairman of our Board of Directors, Chief Executive Officer and President. The acquisition of Maui, however, expanded our perishable food products to include additional papayas, tomatoes, chili peppers, pineapples, and ginger. While Maui has numerous product offerings, the aforementioned commodities account for the majority of its sales.</w:t>
      </w:r>
    </w:p>
    <w:p>
      <w:pPr>
        <w:spacing w:after="0" w:line="79"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Maui has operations in Arizona, California, and Hawaii. The primary focus of these operations is the growing, shipping and distribution of fresh produce. Maui primarily sources its products from the United States and Mexico. Sales for fiscal year 2005 were approximately $21.7 million. Maui has customers located primarily in the United States and Canada and these customers are principally in the retail, foodservice, and wholesale sectors. Maui does not experience significant fluctuations in sales related to seasonality.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Processed Products</w:t>
      </w:r>
    </w:p>
    <w:p>
      <w:pPr>
        <w:spacing w:after="0" w:line="121"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In the 1960’s and early 1970’s, we pioneered the process of freezing avocado pulp and developed a wide variety of guacamole recipes to address the diverse tastes of consumers and buyers in the food service industry. Our customers include both companies in the food service industry and the retail business. Sales are made principally through a commissioned nationwide broker network, which is supported by our regional sales managers. We believe that our marketing strength is distinguished by providing quality products, innovation, year-round product availability, strategically located warehouses, and market relationships. During fiscal year 2005, our 5 and 25 largest customers represented approximately 7% and 10% of our total consolidated revenues. During fiscal years 2005, 2004 and 2003 none of our processed product customers represented more than 10% of total consolidated revenues.</w:t>
      </w:r>
    </w:p>
    <w:p>
      <w:pPr>
        <w:spacing w:after="0" w:line="57"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The food service and retail industries have continued a trend of business consolidation resulting in larger customers, but a smaller number of customers for our processed products. From time to time, in order to secure the ongoing business of some of our largest customers, we enter into certain rebate programs and agreements. While we made no such payments during fiscal 2005 or 2004, we believe that customers will continue to request payment to secure either a certain volume of product or preferred status as a provider of processed products will continue.</w:t>
      </w:r>
    </w:p>
    <w:p>
      <w:pPr>
        <w:spacing w:after="0" w:line="63"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processed product segment was originally conceived as a mechanism to stabilize the price of California avocados by reducing the volume of avocados available to the marketplace. With the introduction of low cost processed products delivered from Mexican based processors, however, we realigned the segment’s strategy by shifting the fruit procurement and pulp processing functions to Mexico. In 1995, we invested in a processing plant in Mexicali, Mexico to derive the benefit of competitive avocado prices available in Mexico.</w:t>
      </w:r>
    </w:p>
    <w:p>
      <w:pPr>
        <w:spacing w:after="0" w:line="79"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In February 2003, our Board of Directors approved a plan whereby the operations of our processed products business would be relocated. The plan called for the closing of our Santa Paula, California and Mexicali, Baja California Norte (Mexicali) processing facilities and relocating these operations to a new facility in Uruapan, Michoacan, Mexico (Uruapan). This restructuring has provided for cost savings in the elimination of certain transportation costs, duplicative overhead structures, and savings in the overall cost of labor and services. The Uruapan facility commenced operations in February 2004 and the Santa Paula and Mexicali facilities ceased production in February 2003 and August 2004.</w:t>
      </w:r>
    </w:p>
    <w:p>
      <w:pPr>
        <w:spacing w:after="0" w:line="64"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Through January 2003, the primary function of our Mexicali processed operation was to produce pulp for our Santa Paula plant. Our processing facility in Santa Paula, California would receive the pulp from Mexicali, add ingredients, and package the product in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various containers. The product would then be frozen for storage with shipment to warehouses and, ultimately, to our customers. From January 2003 to August 2004, however, our Mexicali processed operations became primarily focused on our individually quick frozen (IQF) avocado half product line and one of our high-pressure lines.</w:t>
      </w:r>
    </w:p>
    <w:p>
      <w:pPr>
        <w:spacing w:after="0" w:line="73" w:lineRule="exact"/>
        <w:rPr>
          <w:sz w:val="20"/>
          <w:szCs w:val="20"/>
          <w:color w:val="auto"/>
        </w:rPr>
      </w:pPr>
    </w:p>
    <w:p>
      <w:pPr>
        <w:ind w:right="260" w:firstLine="225"/>
        <w:spacing w:after="0" w:line="308" w:lineRule="auto"/>
        <w:rPr>
          <w:sz w:val="20"/>
          <w:szCs w:val="20"/>
          <w:color w:val="auto"/>
        </w:rPr>
      </w:pPr>
      <w:r>
        <w:rPr>
          <w:rFonts w:ascii="Arial" w:cs="Arial" w:eastAsia="Arial" w:hAnsi="Arial"/>
          <w:sz w:val="17"/>
          <w:szCs w:val="17"/>
          <w:color w:val="auto"/>
        </w:rPr>
        <w:t>Our IQF line provides food service and retail customers with peeled avocado halves that are ripe and suitable for immediate consumption. These halves were frozen, packaged and shipped out of Mexicali to warehouses located in the U.S., and, ultimately, to our customers.</w:t>
      </w:r>
    </w:p>
    <w:p>
      <w:pPr>
        <w:spacing w:after="0" w:line="38"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During fiscal year 2005, we operated one high-pressure line designed to manufacture processed avocado products that are not frozen (guacamole) in Uruapan. This machine ran at about 60% capacity (with one shift) through October 2005. We anticipate that we will operate such high-pressure machine at a higher capacity during fiscal year 2006. We presently own another, much smaller, high-pressure machine, located in Uruapan, that is currently not in use. We are considering various alternatives with such machine, including trading such machine in for credit towards another high-pressure machine with similar capacity as our high-pressure machine that is currently in use in Uruapan. Utilizing avocado pulp and chunks, these high-pressure machines allow us to deliver fresh guacamole to retail and food service customers. Sales of our high-pressure product totaled approximately $8.7 million and $5.5 million for fiscal years 2005 and 2004.</w:t>
      </w:r>
    </w:p>
    <w:p>
      <w:pPr>
        <w:spacing w:after="0" w:line="81" w:lineRule="exact"/>
        <w:rPr>
          <w:sz w:val="20"/>
          <w:szCs w:val="20"/>
          <w:color w:val="auto"/>
        </w:rPr>
      </w:pPr>
    </w:p>
    <w:p>
      <w:pPr>
        <w:ind w:right="100" w:firstLine="215"/>
        <w:spacing w:after="0" w:line="259" w:lineRule="auto"/>
        <w:rPr>
          <w:sz w:val="20"/>
          <w:szCs w:val="20"/>
          <w:color w:val="auto"/>
        </w:rPr>
      </w:pPr>
      <w:r>
        <w:rPr>
          <w:rFonts w:ascii="Arial" w:cs="Arial" w:eastAsia="Arial" w:hAnsi="Arial"/>
          <w:sz w:val="18"/>
          <w:szCs w:val="18"/>
          <w:color w:val="auto"/>
        </w:rPr>
        <w:t>Although the additions of these product offerings are fairly recent, we believe that these high pressure machines will position our company to deliver the widest available array of processed avocado products to our customers. Consequently, we believe we are currently the only single source company supplying the complete range of processed avocado products, including frozen guacamole, ultra high pressure treated guacamole, and frozen avocado halves to foodservice and retail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Other Financial Information by Business Segment and Product Category</w:t>
      </w:r>
    </w:p>
    <w:p>
      <w:pPr>
        <w:spacing w:after="0" w:line="121"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Sales and other financial information by business segment are provided in Note 11 to our consolidated financial statements that are included in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121"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Our trademarks include the Calavo brand name and related logos. We also utilize the following trademarks in conducting our business: Avo Fresco, Bueno, Calavo Gold, Celebrate the Taste, El Dorado, Fresh Ripe, Select, Taste of Paradise, The First Name in Avocados, Tico, Mfresh, and Triggered Avocados.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Requirements</w:t>
      </w:r>
    </w:p>
    <w:p>
      <w:pPr>
        <w:spacing w:after="0" w:line="121"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Generally, we make payments to our California avocado growers and other suppliers in advance of collecting all of the related accounts receivable. We generally bridge the timing between vendor payments and customer receipts by using operating cash flows and commercial bank borrowings. In addition, we provide crop loans and other advances to some of our growers, which are also funded through operating cash flows and borrowings. We generally experience larger levels of commercial bank borrowings during the California Hass avocado crop harvesting season.</w:t>
      </w:r>
    </w:p>
    <w:p>
      <w:pPr>
        <w:spacing w:after="0" w:line="63"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Our international avocados and perishable food products business requires working capital to finance the payment of advances to suppliers, and collection of accounts receivable. These working capital needs are also financed through the use of operating cash flows and bank borrowings and are generally concentrated during the Chilean Hass avocado crop harvesting season.</w:t>
      </w:r>
    </w:p>
    <w:p>
      <w:pPr>
        <w:spacing w:after="0" w:line="73" w:lineRule="exact"/>
        <w:rPr>
          <w:sz w:val="20"/>
          <w:szCs w:val="20"/>
          <w:color w:val="auto"/>
        </w:rPr>
      </w:pPr>
    </w:p>
    <w:p>
      <w:pPr>
        <w:jc w:val="both"/>
        <w:ind w:right="260" w:firstLine="222"/>
        <w:spacing w:after="0" w:line="264" w:lineRule="auto"/>
        <w:rPr>
          <w:sz w:val="20"/>
          <w:szCs w:val="20"/>
          <w:color w:val="auto"/>
        </w:rPr>
      </w:pPr>
      <w:r>
        <w:rPr>
          <w:rFonts w:ascii="Arial" w:cs="Arial" w:eastAsia="Arial" w:hAnsi="Arial"/>
          <w:sz w:val="18"/>
          <w:szCs w:val="18"/>
          <w:color w:val="auto"/>
        </w:rPr>
        <w:t>With respect to our processed products business, we require working capital to finance the production of our processed avocado products, building and maintaining an adequate supply of finished product, and collecting our accounts receivable balances. These working capital needs are financed through the use of operating cash flows and bank borrowings.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Our customers do not place product orders significantly in advance of the requested product delivery dates. Customers typically order perishable products two to ten days in advance of shipment, and typically order processed products within thirty days in advance of shipment.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We do not undertake significant research and development efforts. Research and development programs, if any, are limited to the continuous process of refining and developing new techniques to enhance the effectiveness and efficiency of our processed products operations and the handling, ripening, storage, and packing of fresh avocados.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Government Regulations</w:t>
      </w:r>
    </w:p>
    <w:p>
      <w:pPr>
        <w:spacing w:after="0" w:line="121"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 California State Department of Food and Agriculture oversees the packing and processing of avocados and conducts tests for fruit quality and packaging standards. All of our packages are stamped with the state seal as meeting standards. Various states have instituted regulations providing differing levels of oversight with respect to weights and measures, as well as quality standards.</w:t>
      </w:r>
    </w:p>
    <w:p>
      <w:pPr>
        <w:spacing w:after="0" w:line="73" w:lineRule="exact"/>
        <w:rPr>
          <w:sz w:val="20"/>
          <w:szCs w:val="20"/>
          <w:color w:val="auto"/>
        </w:rPr>
      </w:pPr>
    </w:p>
    <w:p>
      <w:pPr>
        <w:ind w:right="160" w:firstLine="222"/>
        <w:spacing w:after="0" w:line="297" w:lineRule="auto"/>
        <w:rPr>
          <w:sz w:val="20"/>
          <w:szCs w:val="20"/>
          <w:color w:val="auto"/>
        </w:rPr>
      </w:pPr>
      <w:r>
        <w:rPr>
          <w:rFonts w:ascii="Arial" w:cs="Arial" w:eastAsia="Arial" w:hAnsi="Arial"/>
          <w:sz w:val="16"/>
          <w:szCs w:val="16"/>
          <w:color w:val="auto"/>
        </w:rPr>
        <w:t>The USDA regulates and reviews imported food products. In particular, the USDA regulates the distribution of Mexican avocados within 47 states in the U.S. by requiring avocado importers and handlers to execute compliance agreements. These agreements represent an acknowledgment by handlers of the distribution restrictions placed on Mexican avocados and are used as a tool to ensure compliance with existing regulations. From time to time, we have been approached by USDA representatives in their oversight of the compliance agreement process. We continue to consult with USDA representatives to ensure that our systems of internal control provide a high level of reliability in securing compliance agreements on behalf of our customers.</w:t>
      </w:r>
    </w:p>
    <w:p>
      <w:pPr>
        <w:spacing w:after="0" w:line="50" w:lineRule="exact"/>
        <w:rPr>
          <w:sz w:val="20"/>
          <w:szCs w:val="20"/>
          <w:color w:val="auto"/>
        </w:rPr>
      </w:pPr>
    </w:p>
    <w:p>
      <w:pPr>
        <w:ind w:right="40" w:firstLine="215"/>
        <w:spacing w:after="0" w:line="273" w:lineRule="auto"/>
        <w:rPr>
          <w:sz w:val="20"/>
          <w:szCs w:val="20"/>
          <w:color w:val="auto"/>
        </w:rPr>
      </w:pPr>
      <w:r>
        <w:rPr>
          <w:rFonts w:ascii="Arial" w:cs="Arial" w:eastAsia="Arial" w:hAnsi="Arial"/>
          <w:sz w:val="17"/>
          <w:szCs w:val="17"/>
          <w:color w:val="auto"/>
        </w:rPr>
        <w:t>As a manufacturer and marketer of processed avocado products, our operations are subject to extensive regulation by various federal government agencies, including the Food and Drug Administration (FDA), the USDA and the Federal Trade Commission (FTC), as well as state and local agencies, with respect to production processes, product attributes, packaging, labeling, storage and distribution. Under various statutes and regulations, these agencies prescribe requirements and establish standards for safety, purity and labeling. In addition, advertising of our products is subject to regulation by the FTC, and our operations are subject to certain health and safety regulations, including those issued under the Occupational Safety and Health Act. Our manufacturing facilities and products are subject to periodic inspection by federal, state and local authorities.</w:t>
      </w:r>
    </w:p>
    <w:p>
      <w:pPr>
        <w:spacing w:after="0" w:line="70" w:lineRule="exact"/>
        <w:rPr>
          <w:sz w:val="20"/>
          <w:szCs w:val="20"/>
          <w:color w:val="auto"/>
        </w:rPr>
      </w:pPr>
    </w:p>
    <w:p>
      <w:pPr>
        <w:ind w:right="180" w:firstLine="215"/>
        <w:spacing w:after="0" w:line="277" w:lineRule="auto"/>
        <w:rPr>
          <w:sz w:val="20"/>
          <w:szCs w:val="20"/>
          <w:color w:val="auto"/>
        </w:rPr>
      </w:pPr>
      <w:r>
        <w:rPr>
          <w:rFonts w:ascii="Arial" w:cs="Arial" w:eastAsia="Arial" w:hAnsi="Arial"/>
          <w:sz w:val="18"/>
          <w:szCs w:val="18"/>
          <w:color w:val="auto"/>
        </w:rPr>
        <w:t>As a result of our agricultural and food processing activities, we are subject to numerous environmental laws and regulations. These laws and regulations govern the treatment, handling, storage and disposal of materials and waste and the remediation of contaminated properties.</w:t>
      </w:r>
    </w:p>
    <w:p>
      <w:pPr>
        <w:spacing w:after="0" w:line="62" w:lineRule="exact"/>
        <w:rPr>
          <w:sz w:val="20"/>
          <w:szCs w:val="20"/>
          <w:color w:val="auto"/>
        </w:rPr>
      </w:pPr>
    </w:p>
    <w:p>
      <w:pPr>
        <w:ind w:right="140" w:firstLine="222"/>
        <w:spacing w:after="0" w:line="276" w:lineRule="auto"/>
        <w:rPr>
          <w:sz w:val="20"/>
          <w:szCs w:val="20"/>
          <w:color w:val="auto"/>
        </w:rPr>
      </w:pPr>
      <w:r>
        <w:rPr>
          <w:rFonts w:ascii="Arial" w:cs="Arial" w:eastAsia="Arial" w:hAnsi="Arial"/>
          <w:sz w:val="17"/>
          <w:szCs w:val="17"/>
          <w:color w:val="auto"/>
        </w:rPr>
        <w:t>We seek to comply at all times with all such laws and regulations and to obtain any necessary permits and licenses, and we are not aware of any instances of material non-compliance. We believe our facilities and practices are sufficient to maintain compliance with applicable governmental laws, regulations, permits and licenses. Nevertheless, there is no guarantee that we will be able to comply with any future laws and regulations or requirements for necessary permits and licenses. Our failure to comply with applicable laws and regulations or obtain any necessary permits and licenses could subject us to civil remedies including fines, injunctions, recalls or seizures, as well as potential criminal sanctions.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60" w:firstLine="215"/>
        <w:spacing w:after="0" w:line="312" w:lineRule="auto"/>
        <w:rPr>
          <w:sz w:val="20"/>
          <w:szCs w:val="20"/>
          <w:color w:val="auto"/>
        </w:rPr>
      </w:pPr>
      <w:r>
        <w:rPr>
          <w:rFonts w:ascii="Arial" w:cs="Arial" w:eastAsia="Arial" w:hAnsi="Arial"/>
          <w:sz w:val="16"/>
          <w:szCs w:val="16"/>
          <w:color w:val="auto"/>
        </w:rPr>
        <w:t>As of October 31, 2005, we had approximately 700 employees, of which approximately 230 were located in the United States and 470 were located in Mexico. None of Calavo’s United States employees are covered by a collective bargaining agreement. Approximately 460 of Calavo’s Mexican employees are represented by a union. We consider the relationship with our employees to be good and we have never experienced a significant work stoppage.</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summary of the number of “salaried” and “hourly” employees as of October 31, 2005.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80" w:type="dxa"/>
            <w:vAlign w:val="bottom"/>
            <w:tcBorders>
              <w:bottom w:val="single" w:sz="8" w:color="auto"/>
            </w:tcBorders>
          </w:tcPr>
          <w:p>
            <w:pPr>
              <w:ind w:left="4060"/>
              <w:spacing w:after="0"/>
              <w:rPr>
                <w:sz w:val="20"/>
                <w:szCs w:val="20"/>
                <w:color w:val="auto"/>
              </w:rPr>
            </w:pPr>
            <w:r>
              <w:rPr>
                <w:rFonts w:ascii="Arial" w:cs="Arial" w:eastAsia="Arial" w:hAnsi="Arial"/>
                <w:sz w:val="14"/>
                <w:szCs w:val="14"/>
                <w:b w:val="1"/>
                <w:bCs w:val="1"/>
                <w:color w:val="auto"/>
              </w:rPr>
              <w:t>Location</w:t>
            </w:r>
          </w:p>
        </w:tc>
        <w:tc>
          <w:tcPr>
            <w:tcW w:w="580" w:type="dxa"/>
            <w:vAlign w:val="bottom"/>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Salaried</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Hourly</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9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88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Mexico</w:t>
            </w:r>
          </w:p>
        </w:tc>
        <w:tc>
          <w:tcPr>
            <w:tcW w:w="58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64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firstLine="215"/>
        <w:spacing w:after="0" w:line="277" w:lineRule="auto"/>
        <w:rPr>
          <w:sz w:val="20"/>
          <w:szCs w:val="20"/>
          <w:color w:val="auto"/>
        </w:rPr>
      </w:pPr>
      <w:r>
        <w:rPr>
          <w:rFonts w:ascii="Arial" w:cs="Arial" w:eastAsia="Arial" w:hAnsi="Arial"/>
          <w:sz w:val="18"/>
          <w:szCs w:val="18"/>
          <w:color w:val="auto"/>
        </w:rPr>
        <w:t>Although agriculture is a seasonal industry, avocados have a wider window of production than most perishable commodities. Consequently, we employ hourly personnel more routinely throughout the year when compared to other agriculture-dependent companies.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increasing competition that may adversely affect our operating results.</w:t>
      </w:r>
    </w:p>
    <w:p>
      <w:pPr>
        <w:spacing w:after="0" w:line="117"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market for avocados and processed avocado products is highly competitive and affects each of our businesses. Each of our businesses is subject to competitive pressures, including the following:</w:t>
      </w:r>
    </w:p>
    <w:p>
      <w:pPr>
        <w:spacing w:after="0" w:line="62" w:lineRule="exact"/>
        <w:rPr>
          <w:sz w:val="20"/>
          <w:szCs w:val="20"/>
          <w:color w:val="auto"/>
        </w:rPr>
      </w:pPr>
    </w:p>
    <w:p>
      <w:pPr>
        <w:ind w:left="660" w:right="20" w:hanging="436"/>
        <w:spacing w:after="0" w:line="25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California avocado business is impacted by an increasing volume of foreign grown avocados being imported into the United States. Recently, there have been significant plantings of avocados in Mexico, Chile, New Zealand, the Dominican Republic, and other parts of the world, which have had, and will continue to have, the effect of increasing the volume of foreign grown avocados entering the United States market. Generally, an increase in foreign grown avocados in the markets we distribute in has the effect of lowering prices for California grown avocados and adversely impacting our results from operations.</w:t>
      </w:r>
    </w:p>
    <w:p>
      <w:pPr>
        <w:spacing w:after="0" w:line="93" w:lineRule="exact"/>
        <w:rPr>
          <w:rFonts w:ascii="Arial" w:cs="Arial" w:eastAsia="Arial" w:hAnsi="Arial"/>
          <w:sz w:val="18"/>
          <w:szCs w:val="18"/>
          <w:b w:val="1"/>
          <w:bCs w:val="1"/>
          <w:color w:val="auto"/>
        </w:rPr>
      </w:pPr>
    </w:p>
    <w:p>
      <w:pPr>
        <w:ind w:left="660" w:right="260" w:hanging="436"/>
        <w:spacing w:after="0" w:line="342"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Our California avocado business is subject to competition from other California avocado handlers. If we are unable to consistently pay California growers a competitive price for their avocados, these growers may choose to have their avocados marketed by alternate handlers.</w:t>
      </w:r>
    </w:p>
    <w:p>
      <w:pPr>
        <w:spacing w:after="0" w:line="29" w:lineRule="exact"/>
        <w:rPr>
          <w:rFonts w:ascii="Arial" w:cs="Arial" w:eastAsia="Arial" w:hAnsi="Arial"/>
          <w:sz w:val="16"/>
          <w:szCs w:val="16"/>
          <w:b w:val="1"/>
          <w:bCs w:val="1"/>
          <w:color w:val="auto"/>
        </w:rPr>
      </w:pPr>
    </w:p>
    <w:p>
      <w:pPr>
        <w:ind w:left="660" w:hanging="436"/>
        <w:spacing w:after="0" w:line="259"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international avocados and perishable food products business is impacted by competitors operating in Mexico. Generally, handlers of Mexican grown avocados operate facilities that are substantially smaller than our facility in Uruapan, Mexico. If we are unable to pack and market a sufficient volume of Mexican grown avocados, smaller handlers will have a lower per unit cost and be able to offer Mexican avocados at a more competitive price to our customers.</w:t>
      </w:r>
    </w:p>
    <w:p>
      <w:pPr>
        <w:spacing w:after="0" w:line="92" w:lineRule="exact"/>
        <w:rPr>
          <w:rFonts w:ascii="Arial" w:cs="Arial" w:eastAsia="Arial" w:hAnsi="Arial"/>
          <w:sz w:val="18"/>
          <w:szCs w:val="18"/>
          <w:b w:val="1"/>
          <w:bCs w:val="1"/>
          <w:color w:val="auto"/>
        </w:rPr>
      </w:pPr>
    </w:p>
    <w:p>
      <w:pPr>
        <w:ind w:left="660" w:right="100" w:hanging="436"/>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international avocados and perishable food products business is also subject to competition from other California avocado handlers that market Chilean grown avocados. If we are unable to consistently pay Chilean packers a competitive price for their avocados, these packers may choose to have their avocados marketed by alternate handlers.</w:t>
      </w:r>
    </w:p>
    <w:p>
      <w:pPr>
        <w:spacing w:after="0" w:line="86" w:lineRule="exact"/>
        <w:rPr>
          <w:rFonts w:ascii="Arial" w:cs="Arial" w:eastAsia="Arial" w:hAnsi="Arial"/>
          <w:sz w:val="18"/>
          <w:szCs w:val="18"/>
          <w:b w:val="1"/>
          <w:bCs w:val="1"/>
          <w:color w:val="auto"/>
        </w:rPr>
      </w:pPr>
    </w:p>
    <w:p>
      <w:pPr>
        <w:ind w:left="660" w:right="240" w:hanging="436"/>
        <w:spacing w:after="0" w:line="308"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Our processed products business is impacted by demand for our product. If we are unable to produce a sufficient volume of processed products at our existing facilities, our competitors may be able to offer processed products at a more competitive price to our customers.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the risks of doing business internationally.</w:t>
      </w:r>
    </w:p>
    <w:p>
      <w:pPr>
        <w:spacing w:after="0" w:line="117" w:lineRule="exact"/>
        <w:rPr>
          <w:sz w:val="20"/>
          <w:szCs w:val="20"/>
          <w:color w:val="auto"/>
        </w:rPr>
      </w:pPr>
    </w:p>
    <w:p>
      <w:pPr>
        <w:ind w:firstLine="222"/>
        <w:spacing w:after="0" w:line="312" w:lineRule="auto"/>
        <w:rPr>
          <w:sz w:val="20"/>
          <w:szCs w:val="20"/>
          <w:color w:val="auto"/>
        </w:rPr>
      </w:pPr>
      <w:r>
        <w:rPr>
          <w:rFonts w:ascii="Arial" w:cs="Arial" w:eastAsia="Arial" w:hAnsi="Arial"/>
          <w:sz w:val="16"/>
          <w:szCs w:val="16"/>
          <w:color w:val="auto"/>
        </w:rPr>
        <w:t>We conduct a substantial amount of business with growers and customers who are located outside the United States. We purchase avocados from foreign growers and packers, sell fresh avocados and processed avocado products to foreign customers, and operate a packinghouse and a processing plant in Mexico. For additional information about our international business operations, see the “Business” section included in this Annual Report.</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current international operations are subject to a number of inherent risks, including:</w:t>
      </w:r>
    </w:p>
    <w:p>
      <w:pPr>
        <w:spacing w:after="0" w:line="117"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Local economic and political conditions, including disruptions in trading and capital markets;</w:t>
      </w:r>
    </w:p>
    <w:p>
      <w:pPr>
        <w:spacing w:after="0" w:line="130"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Restrictive foreign governmental actions, such as restrictions on transfers of funds and trade protection measures, including export duties and quotas and customs duties and tariffs;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Changes in legal or regulatory requirements affecting foreign investment, loans, taxes, imports, and exports; and</w:t>
      </w:r>
    </w:p>
    <w:p>
      <w:pPr>
        <w:spacing w:after="0" w:line="130" w:lineRule="exact"/>
        <w:rPr>
          <w:rFonts w:ascii="Arial" w:cs="Arial" w:eastAsia="Arial" w:hAnsi="Arial"/>
          <w:sz w:val="18"/>
          <w:szCs w:val="18"/>
          <w:b w:val="1"/>
          <w:bCs w:val="1"/>
          <w:color w:val="auto"/>
        </w:rPr>
      </w:pPr>
    </w:p>
    <w:p>
      <w:pPr>
        <w:ind w:left="660" w:right="2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Currency exchange rate fluctuations which, depending upon the nature of the changes, may make our domestic-sourced products more expensive compared to foreign grown products or may increase our cost of obtaining foreign-sourced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and our growers are subject to the risks that are inherent in farming.</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Our results of operations may be adversely affected by numerous factors over which we have little or no control and that are inherent in farming, including reductions in the market prices for our products, adverse weather and growing conditions, pest and disease problems, and new government regulations regarding farming and the marketing of agricultural products.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We are subject to rapidly changing USDA and FDA regulations which govern the importation of foreign avocados into the United States and the processing of processed avocado products.</w:t>
      </w:r>
    </w:p>
    <w:p>
      <w:pPr>
        <w:spacing w:after="0" w:line="62" w:lineRule="exact"/>
        <w:rPr>
          <w:sz w:val="20"/>
          <w:szCs w:val="20"/>
          <w:color w:val="auto"/>
        </w:rPr>
      </w:pPr>
    </w:p>
    <w:p>
      <w:pPr>
        <w:ind w:right="20" w:firstLine="222"/>
        <w:spacing w:after="0" w:line="312" w:lineRule="auto"/>
        <w:rPr>
          <w:sz w:val="20"/>
          <w:szCs w:val="20"/>
          <w:color w:val="auto"/>
        </w:rPr>
      </w:pPr>
      <w:r>
        <w:rPr>
          <w:rFonts w:ascii="Arial" w:cs="Arial" w:eastAsia="Arial" w:hAnsi="Arial"/>
          <w:sz w:val="16"/>
          <w:szCs w:val="16"/>
          <w:color w:val="auto"/>
        </w:rPr>
        <w:t>The USDA has established, and continues to modify, regulations governing the importation of avocados into the United States. Our permits that allow us to import foreign-sourced avocados into the United States generally are contingent on our compliance with these regulations. Our results of operations may be adversely affected if we are unable to comply with existing and modified regulations and are unable to secure avocado import permits in the future.</w:t>
      </w:r>
    </w:p>
    <w:p>
      <w:pPr>
        <w:spacing w:after="0" w:line="39"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FDA establishes, and continues to modify, regulations governing the production of processed avocado products. Our results of operations may be adversely affected if we are unable to comply with existing and modified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lost key members of our management.</w:t>
      </w:r>
    </w:p>
    <w:p>
      <w:pPr>
        <w:spacing w:after="0" w:line="117"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We are dependent on the efforts and performance of our current directors and officers. If we were to lose any key members of management, our business could be adversely affected. You should read the information under “Executive Officers” in this Annual Report for additional information about our management.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acquisition of other businesses could pose risks to our operating income.</w:t>
      </w:r>
    </w:p>
    <w:p>
      <w:pPr>
        <w:spacing w:after="0" w:line="117" w:lineRule="exact"/>
        <w:rPr>
          <w:sz w:val="20"/>
          <w:szCs w:val="20"/>
          <w:color w:val="auto"/>
        </w:rPr>
      </w:pPr>
    </w:p>
    <w:p>
      <w:pPr>
        <w:ind w:right="40" w:firstLine="222"/>
        <w:spacing w:after="0" w:line="272" w:lineRule="auto"/>
        <w:rPr>
          <w:sz w:val="20"/>
          <w:szCs w:val="20"/>
          <w:color w:val="auto"/>
        </w:rPr>
      </w:pPr>
      <w:r>
        <w:rPr>
          <w:rFonts w:ascii="Arial" w:cs="Arial" w:eastAsia="Arial" w:hAnsi="Arial"/>
          <w:sz w:val="17"/>
          <w:szCs w:val="17"/>
          <w:color w:val="auto"/>
        </w:rPr>
        <w:t>We intend to review acquisition prospects that would complement our business. While we are not currently a party to any agreement with respect to any acquisitions, we may acquire other businesses in the future. Future acquisitions by us could result in accounting charges, potentially dilutive issuances of equity securities, and increased debt and contingent liabilities, any of which could have a material adverse effect on our business and the market price of our common stock. Acquisitions entail numerous risks, including the assimilation of the acquired operations, diversion of management’s attention to other business concerns, risks of entering markets in which we have limited prior experience, and the potential loss of key employees of acquired organizations. We may be unable to successfully integrate businesses or the personnel of any business that might be acquired in the future, and our failure to do so could have a material adverse effect on our business and on the market price of our common stock.</w:t>
      </w:r>
    </w:p>
    <w:p>
      <w:pPr>
        <w:spacing w:after="0" w:line="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Our ability to competitively serve our customers is a function of reliable and low cost transportation. Disruption of the supply of these services and/or significant increases in the cost of these services could impact our operating income.</w:t>
      </w:r>
    </w:p>
    <w:p>
      <w:pPr>
        <w:spacing w:after="0" w:line="6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use multiple forms of transportation to bring our products to market. They include ocean, truck, and air-cargo. Disruption to the timely supply of these services or dramatic increases in the cost of these services for any reason including availability of fuel for such services, labor disputes, or governmental restrictions limiting specific forms of transportation could have an adverse effect on our ability to serve our customers and consumers and could have an adverse effect on our financial performance.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We lease our corporate headquarters building. Additionally, we own two packinghouses and one processing facility in California, lease one packinghouse in California, own one processing facility in Mexico, and lease one packinghouse in Mexico.</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 March 2005, we completed the sale of our corporate headquarters building (located in Santa Ana, CA) for $3.4 million. In conjunction with such sale, we relocated our corporate offices to Santa Paula, California in March 2005. We currently lease our corporate headquarters from Limoneira (see note 12 to the consolidated financial statements).</w:t>
      </w:r>
    </w:p>
    <w:p>
      <w:pPr>
        <w:spacing w:after="0" w:line="73"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Our two California packinghouses handle avocados delivered to us by California and Chilean growers. The Temecula, California facility was built in 1985 and has been improved in capacity and efficiency since then. The Santa Paula, California facility was purchased in 1955 and has had recent equipment improvements equivalent to our Temecula facility. We believe that the combined annual capacity of the two packinghouses, under normal workweek operations, is sufficient to pack the annually budgeted volume of California avocados delivered to us by our growers.</w:t>
      </w:r>
    </w:p>
    <w:p>
      <w:pPr>
        <w:spacing w:after="0" w:line="63"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Our Santa Paula, California processing facility was built in 1975 and had a major expansion in 1988. In conjunction with our restructuring plan, which was approved in February 2003, this facility ceased operating as a processed product avocado processing facility and now functions primarily as a ripening and storage facility for our fresh avocado operation. Additionally, it also serves to store certain processed avocado products as well. Also, effective December 2005, certain operations of our leased Vernon, California</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packinghouse operation has been relocated to this facility. We believe that the annual capacity of this facility will be sufficient to pack the expected annual volume of specialty commodities delivered to us.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leased Vernon, California packinghouse primarily handles avocados and tropical commodities. We are committed to leasing the facility through 2006.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Presently, we are using this facility for storage and packing purposes, but are also exploring opportunities to sublet this facility as well.</w:t>
      </w:r>
    </w:p>
    <w:p>
      <w:pPr>
        <w:spacing w:after="0" w:line="10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Our owned processing facility in Uruapan, Michoacan, Mexico was constructed pursuant to our restructuring plan approved in February 2003. This facility commenced operations in February 2004. We believe that the annual capacity of this facility will be sufficient to process our budgeted annual production needs.</w:t>
      </w:r>
    </w:p>
    <w:p>
      <w:pPr>
        <w:spacing w:after="0" w:line="73" w:lineRule="exact"/>
        <w:rPr>
          <w:sz w:val="20"/>
          <w:szCs w:val="20"/>
          <w:color w:val="auto"/>
        </w:rPr>
      </w:pPr>
    </w:p>
    <w:p>
      <w:pPr>
        <w:ind w:right="320" w:firstLine="225"/>
        <w:spacing w:after="0" w:line="308" w:lineRule="auto"/>
        <w:rPr>
          <w:sz w:val="20"/>
          <w:szCs w:val="20"/>
          <w:color w:val="auto"/>
        </w:rPr>
      </w:pPr>
      <w:r>
        <w:rPr>
          <w:rFonts w:ascii="Arial" w:cs="Arial" w:eastAsia="Arial" w:hAnsi="Arial"/>
          <w:sz w:val="17"/>
          <w:szCs w:val="17"/>
          <w:color w:val="auto"/>
        </w:rPr>
        <w:t>Our Mexicali, Mexico processing plant was built in 1995 to our specifications. In conjunction with our restructuring plan, we ceased production at this facility in August 2004. Our lease commitment for this facility ended in December 2004 and we have not extended such lease.</w:t>
      </w:r>
    </w:p>
    <w:p>
      <w:pPr>
        <w:spacing w:after="0" w:line="38"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Our Uruapan, Mexico packinghouse, owned by the same landlord as our Mexicali facility, was also built to our specifications. We are committed to leasing the facility through 2008 and have the option to purchase such facility at the end of the lease term. We believe that the annual capacity of this facility will be sufficient to process our budgeted annual production needs.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760" w:firstLine="225"/>
        <w:spacing w:after="0" w:line="277" w:lineRule="auto"/>
        <w:rPr>
          <w:sz w:val="20"/>
          <w:szCs w:val="20"/>
          <w:color w:val="auto"/>
        </w:rPr>
      </w:pPr>
      <w:r>
        <w:rPr>
          <w:rFonts w:ascii="Arial" w:cs="Arial" w:eastAsia="Arial" w:hAnsi="Arial"/>
          <w:sz w:val="18"/>
          <w:szCs w:val="18"/>
          <w:color w:val="auto"/>
        </w:rPr>
        <w:t>From time to time, we become involved in legal proceedings that are related to our business operations. We are not currently a party to any legal proceedings that could have a material adverse effect upon our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 matters were submitted to a vote of our shareholders during the quarter ended October 31, 2005.</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following table sets forth the name, age and position of individuals who hold positions as executive officers of our company. There are no family relationships between any director or executive officer and any other director or executive officer of our company. Executive officers are elected by the Board of Directors and serve at the discretion of the Board.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320" w:type="dxa"/>
            <w:vAlign w:val="bottom"/>
          </w:tcPr>
          <w:p>
            <w:pPr>
              <w:spacing w:after="0"/>
              <w:rPr>
                <w:sz w:val="14"/>
                <w:szCs w:val="14"/>
                <w:color w:val="auto"/>
              </w:rPr>
            </w:pPr>
          </w:p>
        </w:tc>
        <w:tc>
          <w:tcPr>
            <w:tcW w:w="8300" w:type="dxa"/>
            <w:vAlign w:val="bottom"/>
          </w:tcPr>
          <w:p>
            <w:pPr>
              <w:ind w:left="390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Lecil E. Cole</w:t>
            </w:r>
          </w:p>
        </w:tc>
        <w:tc>
          <w:tcPr>
            <w:tcW w:w="3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320" w:type="dxa"/>
            <w:vAlign w:val="bottom"/>
            <w:shd w:val="clear" w:color="auto" w:fill="CCEEFF"/>
          </w:tcPr>
          <w:p>
            <w:pPr>
              <w:spacing w:after="0"/>
              <w:rPr>
                <w:sz w:val="18"/>
                <w:szCs w:val="18"/>
                <w:color w:val="auto"/>
              </w:rPr>
            </w:pPr>
          </w:p>
        </w:tc>
        <w:tc>
          <w:tcPr>
            <w:tcW w:w="8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Chief Executive Officer and President</w:t>
            </w: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Arthur J. Bruno</w:t>
            </w:r>
          </w:p>
        </w:tc>
        <w:tc>
          <w:tcPr>
            <w:tcW w:w="7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55</w:t>
            </w:r>
          </w:p>
        </w:tc>
        <w:tc>
          <w:tcPr>
            <w:tcW w:w="3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Chief Operating Officer, Chief Financial Officer and Corporate Secretary</w:t>
            </w: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Robert J. Wedin</w:t>
            </w:r>
          </w:p>
        </w:tc>
        <w:tc>
          <w:tcPr>
            <w:tcW w:w="7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56</w:t>
            </w:r>
          </w:p>
        </w:tc>
        <w:tc>
          <w:tcPr>
            <w:tcW w:w="32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Sales and Fresh Marketing</w:t>
            </w: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Alan C. Ahmer</w:t>
            </w:r>
          </w:p>
        </w:tc>
        <w:tc>
          <w:tcPr>
            <w:tcW w:w="76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57</w:t>
            </w:r>
          </w:p>
        </w:tc>
        <w:tc>
          <w:tcPr>
            <w:tcW w:w="3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Vice President, Processed Product Sales and Production</w:t>
            </w: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Michael A. Browne</w:t>
            </w:r>
          </w:p>
        </w:tc>
        <w:tc>
          <w:tcPr>
            <w:tcW w:w="7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46</w:t>
            </w:r>
          </w:p>
        </w:tc>
        <w:tc>
          <w:tcPr>
            <w:tcW w:w="32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Fresh Operations</w:t>
            </w:r>
          </w:p>
        </w:tc>
      </w:tr>
    </w:tbl>
    <w:p>
      <w:pPr>
        <w:spacing w:after="0" w:line="94"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i w:val="1"/>
          <w:iCs w:val="1"/>
          <w:color w:val="auto"/>
        </w:rPr>
        <w:t xml:space="preserve">Lecil E. Cole </w:t>
      </w:r>
      <w:r>
        <w:rPr>
          <w:rFonts w:ascii="Arial" w:cs="Arial" w:eastAsia="Arial" w:hAnsi="Arial"/>
          <w:sz w:val="16"/>
          <w:szCs w:val="16"/>
          <w:color w:val="auto"/>
        </w:rPr>
        <w:t>has been a member of our board of directors since February 1982 and has served as Chairman of the Board since 1988. Mr. Cole has also</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our Chief Executive Officer and President since February 1999. He served as an executive of Safeway Stores from 1964 to 1976 and as Chairman of Central Coast Federal Land Bank from 1986 to 1996. Mr. Cole has served as Chairman and President of Hawaiian Sweet, Inc. and Tropical Hawaiian Products, Inc. since 1996. Mr. Cole farms a total of 4,430 acres in California and Hawaii on which avocados, papayas, and cattle are produced and raised.</w:t>
      </w:r>
    </w:p>
    <w:p>
      <w:pPr>
        <w:spacing w:after="0" w:line="46" w:lineRule="exact"/>
        <w:rPr>
          <w:sz w:val="20"/>
          <w:szCs w:val="20"/>
          <w:color w:val="auto"/>
        </w:rPr>
      </w:pPr>
    </w:p>
    <w:p>
      <w:pPr>
        <w:jc w:val="both"/>
        <w:ind w:right="200" w:firstLine="225"/>
        <w:spacing w:after="0" w:line="264" w:lineRule="auto"/>
        <w:rPr>
          <w:sz w:val="20"/>
          <w:szCs w:val="20"/>
          <w:color w:val="auto"/>
        </w:rPr>
      </w:pPr>
      <w:r>
        <w:rPr>
          <w:rFonts w:ascii="Arial" w:cs="Arial" w:eastAsia="Arial" w:hAnsi="Arial"/>
          <w:sz w:val="18"/>
          <w:szCs w:val="18"/>
          <w:i w:val="1"/>
          <w:iCs w:val="1"/>
          <w:color w:val="auto"/>
        </w:rPr>
        <w:t xml:space="preserve">Arthur J. Bruno </w:t>
      </w:r>
      <w:r>
        <w:rPr>
          <w:rFonts w:ascii="Arial" w:cs="Arial" w:eastAsia="Arial" w:hAnsi="Arial"/>
          <w:sz w:val="18"/>
          <w:szCs w:val="18"/>
          <w:color w:val="auto"/>
        </w:rPr>
        <w:t>has served as our Chief Financial Officer and Corporate Secretary since October 2003. During fiscal 2004, Mr. Bruno also assumed the</w:t>
      </w:r>
      <w:r>
        <w:rPr>
          <w:rFonts w:ascii="Arial" w:cs="Arial" w:eastAsia="Arial" w:hAnsi="Arial"/>
          <w:sz w:val="18"/>
          <w:szCs w:val="18"/>
          <w:i w:val="1"/>
          <w:iCs w:val="1"/>
          <w:color w:val="auto"/>
        </w:rPr>
        <w:t xml:space="preserve"> </w:t>
      </w:r>
      <w:r>
        <w:rPr>
          <w:rFonts w:ascii="Arial" w:cs="Arial" w:eastAsia="Arial" w:hAnsi="Arial"/>
          <w:sz w:val="18"/>
          <w:szCs w:val="18"/>
          <w:color w:val="auto"/>
        </w:rPr>
        <w:t>title and responsibilities of Chief Operating Officer. From 1988 to 2003, Mr. Bruno served as the president and co-founder of Maui Fresh International, Inc. Mr. Bruno is a Certified Public Accountant.</w:t>
      </w:r>
    </w:p>
    <w:p>
      <w:pPr>
        <w:spacing w:after="0" w:line="73"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i w:val="1"/>
          <w:iCs w:val="1"/>
          <w:color w:val="auto"/>
        </w:rPr>
        <w:t xml:space="preserve">Robert J. Wedin </w:t>
      </w:r>
      <w:r>
        <w:rPr>
          <w:rFonts w:ascii="Arial" w:cs="Arial" w:eastAsia="Arial" w:hAnsi="Arial"/>
          <w:sz w:val="18"/>
          <w:szCs w:val="18"/>
          <w:color w:val="auto"/>
        </w:rPr>
        <w:t>has served as our Vice President since 1993. Mr. Wedin joined us in 1973 at our then Santa Barbara packinghouse. Beginning in 1990,</w:t>
      </w:r>
      <w:r>
        <w:rPr>
          <w:rFonts w:ascii="Arial" w:cs="Arial" w:eastAsia="Arial" w:hAnsi="Arial"/>
          <w:sz w:val="18"/>
          <w:szCs w:val="18"/>
          <w:i w:val="1"/>
          <w:iCs w:val="1"/>
          <w:color w:val="auto"/>
        </w:rPr>
        <w:t xml:space="preserve"> </w:t>
      </w:r>
      <w:r>
        <w:rPr>
          <w:rFonts w:ascii="Arial" w:cs="Arial" w:eastAsia="Arial" w:hAnsi="Arial"/>
          <w:sz w:val="18"/>
          <w:szCs w:val="18"/>
          <w:color w:val="auto"/>
        </w:rPr>
        <w:t>Mr. Wedin served as a director of the California Avocado Commission for a period of ten years. Mr. Wedin currently is a board member of Producesupply.org and serves as a member of that organization’s executive committee.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Alan C. Ahmer </w:t>
      </w:r>
      <w:r>
        <w:rPr>
          <w:rFonts w:ascii="Arial" w:cs="Arial" w:eastAsia="Arial" w:hAnsi="Arial"/>
          <w:sz w:val="16"/>
          <w:szCs w:val="16"/>
          <w:color w:val="auto"/>
        </w:rPr>
        <w:t>has served as our Vice President since 1989. Mr. Ahmer joined us in 1979 as a regional sales manager in our processed products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2003, Mr. Ahmer’s new title became Vice-President, Processed Products Sales and Production.</w:t>
      </w:r>
    </w:p>
    <w:p>
      <w:pPr>
        <w:spacing w:after="0" w:line="103" w:lineRule="exact"/>
        <w:rPr>
          <w:sz w:val="20"/>
          <w:szCs w:val="20"/>
          <w:color w:val="auto"/>
        </w:rPr>
      </w:pPr>
    </w:p>
    <w:p>
      <w:pPr>
        <w:ind w:right="380" w:firstLine="225"/>
        <w:spacing w:after="0" w:line="264" w:lineRule="auto"/>
        <w:rPr>
          <w:sz w:val="20"/>
          <w:szCs w:val="20"/>
          <w:color w:val="auto"/>
        </w:rPr>
      </w:pPr>
      <w:r>
        <w:rPr>
          <w:rFonts w:ascii="Arial" w:cs="Arial" w:eastAsia="Arial" w:hAnsi="Arial"/>
          <w:sz w:val="18"/>
          <w:szCs w:val="18"/>
          <w:i w:val="1"/>
          <w:iCs w:val="1"/>
          <w:color w:val="auto"/>
        </w:rPr>
        <w:t xml:space="preserve">Michael A. Browne </w:t>
      </w:r>
      <w:r>
        <w:rPr>
          <w:rFonts w:ascii="Arial" w:cs="Arial" w:eastAsia="Arial" w:hAnsi="Arial"/>
          <w:sz w:val="18"/>
          <w:szCs w:val="18"/>
          <w:color w:val="auto"/>
        </w:rPr>
        <w:t>has served as our Vice President since 2005. From 1997 until joining us, Mr. Browne served as the founder and co-owner of Fresh</w:t>
      </w:r>
      <w:r>
        <w:rPr>
          <w:rFonts w:ascii="Arial" w:cs="Arial" w:eastAsia="Arial" w:hAnsi="Arial"/>
          <w:sz w:val="18"/>
          <w:szCs w:val="18"/>
          <w:i w:val="1"/>
          <w:iCs w:val="1"/>
          <w:color w:val="auto"/>
        </w:rPr>
        <w:t xml:space="preserve"> </w:t>
      </w:r>
      <w:r>
        <w:rPr>
          <w:rFonts w:ascii="Arial" w:cs="Arial" w:eastAsia="Arial" w:hAnsi="Arial"/>
          <w:sz w:val="18"/>
          <w:szCs w:val="18"/>
          <w:color w:val="auto"/>
        </w:rPr>
        <w:t>Directions International, a closely held multinational fresh produce company, which marketed fresh avocados from Mexico, Chile, and the Dominican Republic. Mr. Browne joined us in May 2005.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In March 2002, our common stock began trading on the OTC Bulletin Board under the symbol “CVGW.” In July 2002, our common stock began trading on the Nasdaq National Market under the symbol “CVGW.”</w:t>
      </w:r>
    </w:p>
    <w:p>
      <w:pPr>
        <w:spacing w:after="0" w:line="62"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following tables set forth, for the periods indicated, the high and low sales prices per share of our common stock as reported on the Nasdaq National Market.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80" w:type="dxa"/>
            <w:vAlign w:val="bottom"/>
            <w:tcBorders>
              <w:bottom w:val="single" w:sz="8" w:color="auto"/>
            </w:tcBorders>
          </w:tcPr>
          <w:p>
            <w:pPr>
              <w:ind w:left="3980"/>
              <w:spacing w:after="0"/>
              <w:rPr>
                <w:sz w:val="20"/>
                <w:szCs w:val="20"/>
                <w:color w:val="auto"/>
              </w:rPr>
            </w:pPr>
            <w:r>
              <w:rPr>
                <w:rFonts w:ascii="Arial" w:cs="Arial" w:eastAsia="Arial" w:hAnsi="Arial"/>
                <w:sz w:val="14"/>
                <w:szCs w:val="14"/>
                <w:b w:val="1"/>
                <w:bCs w:val="1"/>
                <w:color w:val="auto"/>
              </w:rPr>
              <w:t>Fiscal 2004</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High</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Second Quarter</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10.90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w:t>
            </w: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Fourth Quarter</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12.27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r>
      <w:tr>
        <w:trPr>
          <w:trHeight w:val="350"/>
        </w:trPr>
        <w:tc>
          <w:tcPr>
            <w:tcW w:w="20" w:type="dxa"/>
            <w:vAlign w:val="bottom"/>
          </w:tcPr>
          <w:p>
            <w:pPr>
              <w:spacing w:after="0"/>
              <w:rPr>
                <w:sz w:val="24"/>
                <w:szCs w:val="24"/>
                <w:color w:val="auto"/>
              </w:rPr>
            </w:pPr>
          </w:p>
        </w:tc>
        <w:tc>
          <w:tcPr>
            <w:tcW w:w="8680" w:type="dxa"/>
            <w:vAlign w:val="bottom"/>
            <w:tcBorders>
              <w:bottom w:val="single" w:sz="8" w:color="auto"/>
            </w:tcBorders>
          </w:tcPr>
          <w:p>
            <w:pPr>
              <w:ind w:left="3980"/>
              <w:spacing w:after="0"/>
              <w:rPr>
                <w:sz w:val="20"/>
                <w:szCs w:val="20"/>
                <w:color w:val="auto"/>
              </w:rPr>
            </w:pPr>
            <w:r>
              <w:rPr>
                <w:rFonts w:ascii="Arial" w:cs="Arial" w:eastAsia="Arial" w:hAnsi="Arial"/>
                <w:sz w:val="14"/>
                <w:szCs w:val="14"/>
                <w:b w:val="1"/>
                <w:bCs w:val="1"/>
                <w:color w:val="auto"/>
              </w:rPr>
              <w:t>Fiscal 2005</w:t>
            </w:r>
          </w:p>
        </w:tc>
        <w:tc>
          <w:tcPr>
            <w:tcW w:w="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High</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Second Quarter</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11.81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9.76</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Fourth Quarter</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10.25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8.66</w:t>
            </w:r>
          </w:p>
        </w:tc>
      </w:tr>
    </w:tbl>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October 31, 2005, there were approximately 1,400 stockholders of record of our common stock.</w:t>
      </w:r>
    </w:p>
    <w:p>
      <w:pPr>
        <w:spacing w:after="0" w:line="117"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During the year ended October 31, 2005, we did not issue any shares of common stock that were not registered under the Securities Act of 1933, save for the shares issued to Limoneira Company (see Note 12 in consolidated financial statements). The issuance of the shares discussed in the preceding sentence was exempt from registration by reason of the exemption provided by Section 4(2) of the Securities Act of 1933 for offers and sales of securities that do not involve a public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Shares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Total Number of</w:t>
            </w:r>
          </w:p>
        </w:tc>
        <w:tc>
          <w:tcPr>
            <w:tcW w:w="18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3"/>
              </w:rPr>
              <w:t>Approximate Dollar Value of</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1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 Number</w:t>
            </w:r>
          </w:p>
        </w:tc>
        <w:tc>
          <w:tcPr>
            <w:tcW w:w="260" w:type="dxa"/>
            <w:vAlign w:val="bottom"/>
          </w:tcPr>
          <w:p>
            <w:pPr>
              <w:spacing w:after="0"/>
              <w:rPr>
                <w:sz w:val="12"/>
                <w:szCs w:val="12"/>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204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rPr>
              <w:t>Shares Purchased as</w:t>
            </w:r>
          </w:p>
        </w:tc>
        <w:tc>
          <w:tcPr>
            <w:tcW w:w="1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40" w:type="dxa"/>
            <w:vAlign w:val="bottom"/>
          </w:tcPr>
          <w:p>
            <w:pPr>
              <w:spacing w:after="0"/>
              <w:rPr>
                <w:sz w:val="12"/>
                <w:szCs w:val="12"/>
                <w:color w:val="auto"/>
              </w:rPr>
            </w:pP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1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Of Shares</w:t>
            </w:r>
          </w:p>
        </w:tc>
        <w:tc>
          <w:tcPr>
            <w:tcW w:w="26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260" w:type="dxa"/>
            <w:vAlign w:val="bottom"/>
          </w:tcPr>
          <w:p>
            <w:pPr>
              <w:spacing w:after="0"/>
              <w:rPr>
                <w:sz w:val="12"/>
                <w:szCs w:val="12"/>
                <w:color w:val="auto"/>
              </w:rPr>
            </w:pPr>
          </w:p>
        </w:tc>
        <w:tc>
          <w:tcPr>
            <w:tcW w:w="17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Announced</w:t>
            </w:r>
          </w:p>
        </w:tc>
        <w:tc>
          <w:tcPr>
            <w:tcW w:w="140" w:type="dxa"/>
            <w:vAlign w:val="bottom"/>
          </w:tcPr>
          <w:p>
            <w:pPr>
              <w:spacing w:after="0"/>
              <w:rPr>
                <w:sz w:val="12"/>
                <w:szCs w:val="12"/>
                <w:color w:val="auto"/>
              </w:rPr>
            </w:pP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Purchased under the</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6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Per Share</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1"/>
              </w:rPr>
              <w:t>Plans or Programs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Month #1 (August 2005)</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Month #2 (September 2005)</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Month #3 (October 2005)</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25"/>
        <w:spacing w:after="0" w:line="342" w:lineRule="auto"/>
        <w:rPr>
          <w:sz w:val="20"/>
          <w:szCs w:val="20"/>
          <w:color w:val="auto"/>
        </w:rPr>
      </w:pPr>
      <w:r>
        <w:rPr>
          <w:rFonts w:ascii="Arial" w:cs="Arial" w:eastAsia="Arial" w:hAnsi="Arial"/>
          <w:sz w:val="16"/>
          <w:szCs w:val="16"/>
          <w:color w:val="auto"/>
        </w:rPr>
        <w:t>From time to time, our Board of Directors will authorize the repurchase of shares opportunistically. Such repurchases may be in the open market or in private transactions. The repurchase shown above relates to a private transaction and is from a related party. See Note 9 in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Our dividend policy is to provide for an annual dividend payment, as determined by the Board of Directors. We anticipate that dividends will be paid in the first quarter of our fiscal year.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On January 3, 2005, we paid a $0.30 per share dividend in the aggregate amount of $4,052,000 to shareholders of record on November 15, 2004.</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On January 3, 2006, we paid a $0.32 per share dividend in the aggregate amount of $4,564,000 to shareholders of record on December 15, 2005.</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21" w:lineRule="exact"/>
        <w:rPr>
          <w:sz w:val="20"/>
          <w:szCs w:val="20"/>
          <w:color w:val="auto"/>
        </w:rPr>
      </w:pPr>
    </w:p>
    <w:p>
      <w:pPr>
        <w:ind w:right="180" w:firstLine="222"/>
        <w:spacing w:after="0" w:line="308" w:lineRule="auto"/>
        <w:rPr>
          <w:sz w:val="20"/>
          <w:szCs w:val="20"/>
          <w:color w:val="auto"/>
        </w:rPr>
      </w:pPr>
      <w:r>
        <w:rPr>
          <w:rFonts w:ascii="Arial" w:cs="Arial" w:eastAsia="Arial" w:hAnsi="Arial"/>
          <w:sz w:val="17"/>
          <w:szCs w:val="17"/>
          <w:color w:val="auto"/>
        </w:rPr>
        <w:t>The following summary consolidated financial data (other than pounds information) for each of the years in the five-year period ended October 31, 2005 are derived from the audited consolidated financial statements of Calavo Growers, Inc. and our predecessor, Calavo Growers of California.</w:t>
      </w:r>
    </w:p>
    <w:p>
      <w:pPr>
        <w:spacing w:after="0" w:line="38"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Historical results are not necessarily indicative of results that may be expected in any future period. The following data should be read in conjunction with “Management’s Discussion and Analysis of Financial Condition and Results of Operations” and our consolidated financial statements and notes thereto that are included elsewhere in this Annual Report.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center"/>
              <w:ind w:left="393"/>
              <w:spacing w:after="0"/>
              <w:rPr>
                <w:sz w:val="20"/>
                <w:szCs w:val="20"/>
                <w:color w:val="auto"/>
              </w:rPr>
            </w:pPr>
            <w:r>
              <w:rPr>
                <w:rFonts w:ascii="Arial" w:cs="Arial" w:eastAsia="Arial" w:hAnsi="Arial"/>
                <w:sz w:val="14"/>
                <w:szCs w:val="14"/>
                <w:b w:val="1"/>
                <w:bCs w:val="1"/>
                <w:color w:val="auto"/>
                <w:w w:val="92"/>
              </w:rPr>
              <w:t>Fiscal Year Ended October 31,2005</w:t>
            </w: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31"/>
              <w:spacing w:after="0" w:line="142" w:lineRule="exact"/>
              <w:rPr>
                <w:sz w:val="20"/>
                <w:szCs w:val="20"/>
                <w:color w:val="auto"/>
              </w:rPr>
            </w:pPr>
            <w:r>
              <w:rPr>
                <w:rFonts w:ascii="Arial" w:cs="Arial" w:eastAsia="Arial" w:hAnsi="Arial"/>
                <w:sz w:val="14"/>
                <w:szCs w:val="14"/>
                <w:b w:val="1"/>
                <w:bCs w:val="1"/>
                <w:color w:val="auto"/>
                <w:w w:val="89"/>
              </w:rPr>
              <w:t>2003</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2"/>
                <w:szCs w:val="12"/>
                <w:color w:val="auto"/>
              </w:rPr>
            </w:pPr>
          </w:p>
        </w:tc>
      </w:tr>
      <w:tr>
        <w:trPr>
          <w:trHeight w:val="142"/>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gridSpan w:val="6"/>
          </w:tcPr>
          <w:p>
            <w:pPr>
              <w:jc w:val="center"/>
              <w:ind w:left="393"/>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 (1)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258,822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274,218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246,761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242,671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217,704</w:t>
            </w: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21,734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25,404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25,465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25,823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18,808</w:t>
            </w: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3,322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6,210</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7,160</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6,915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3,838</w:t>
            </w: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and diluted net income per share(2)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r>
      <w:tr>
        <w:trPr>
          <w:trHeight w:val="216"/>
        </w:trPr>
        <w:tc>
          <w:tcPr>
            <w:tcW w:w="5100" w:type="dxa"/>
            <w:vAlign w:val="bottom"/>
          </w:tcPr>
          <w:p>
            <w:pPr>
              <w:spacing w:after="0"/>
              <w:rPr>
                <w:sz w:val="20"/>
                <w:szCs w:val="20"/>
                <w:color w:val="auto"/>
              </w:rPr>
            </w:pPr>
            <w:r>
              <w:rPr>
                <w:rFonts w:ascii="Arial" w:cs="Arial" w:eastAsia="Arial" w:hAnsi="Arial"/>
                <w:sz w:val="18"/>
                <w:szCs w:val="18"/>
                <w:b w:val="1"/>
                <w:bCs w:val="1"/>
                <w:color w:val="auto"/>
              </w:rPr>
              <w:t>Balance Sheet Data as of End of Period: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Working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17,618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20,353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20,735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18,833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9,799</w:t>
            </w: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Total assets(5)</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108,482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67,398</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53,689</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55,132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52,368</w:t>
            </w: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debt(5)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3,222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16,241</w:t>
            </w: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Long-term debt, less current portion(3)(5)</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11,719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3,180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3,429</w:t>
            </w: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64,746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43,937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37,147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30,556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20,029</w:t>
            </w:r>
          </w:p>
        </w:tc>
      </w:tr>
      <w:tr>
        <w:trPr>
          <w:trHeight w:val="216"/>
        </w:trPr>
        <w:tc>
          <w:tcPr>
            <w:tcW w:w="5100" w:type="dxa"/>
            <w:vAlign w:val="bottom"/>
          </w:tcPr>
          <w:p>
            <w:pPr>
              <w:spacing w:after="0"/>
              <w:rPr>
                <w:sz w:val="20"/>
                <w:szCs w:val="20"/>
                <w:color w:val="auto"/>
              </w:rPr>
            </w:pPr>
            <w:r>
              <w:rPr>
                <w:rFonts w:ascii="Arial" w:cs="Arial" w:eastAsia="Arial" w:hAnsi="Arial"/>
                <w:sz w:val="18"/>
                <w:szCs w:val="18"/>
                <w:b w:val="1"/>
                <w:bCs w:val="1"/>
                <w:color w:val="auto"/>
              </w:rPr>
              <w:t>Cash Flows Provided by (Used in):</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5,964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15,222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8,135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w:t>
            </w: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Investing(4)(5)</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(22,337)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(8,474)</w:t>
            </w: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(2,078)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(2,029)</w:t>
            </w: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(6,293)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(7,193)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w:t>
            </w:r>
          </w:p>
        </w:tc>
      </w:tr>
      <w:tr>
        <w:trPr>
          <w:trHeight w:val="216"/>
        </w:trPr>
        <w:tc>
          <w:tcPr>
            <w:tcW w:w="510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per share (2)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Net book value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4.51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2.38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Pounds of California avocados sold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104,950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152,725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122,950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158,187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163,891</w:t>
            </w: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Pounds of international avocados sold</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103,830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69,410</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70,348</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69,512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44,935</w:t>
            </w: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Pounds of processed avocados products sold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15,628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13,317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14,707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14,248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4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results for fiscal years 2005 and 2004 include the acquisition of Maui. For fiscal year 2005, Maui’s net sales, gross margins, and net income were as follows: $21.7 million, $1.1 million, and $0.4 million. For fiscal year 2004, Maui’s net sales, gross margins, and net income were as follows: $19.8 million, $1.4 million, and $0.5 million.</w:t>
      </w:r>
    </w:p>
    <w:p>
      <w:pPr>
        <w:spacing w:after="0" w:line="32"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Dividends per share for fiscal 2001 represent the payment of our dividend to shareholders for the results of our fiscal 2000 operations. We did not declare a cash dividend in connection with our fiscal 2001 operating results. In December 2001, we declared a 5% stock dividend payable February 15, 2002 for all shareholders of record as of February 1, 2002. Dividends per share and net book value per share are computed based on the actual shares outstanding.</w:t>
      </w:r>
    </w:p>
    <w:p>
      <w:pPr>
        <w:spacing w:after="0" w:line="38" w:lineRule="exact"/>
        <w:rPr>
          <w:rFonts w:ascii="Arial" w:cs="Arial" w:eastAsia="Arial" w:hAnsi="Arial"/>
          <w:sz w:val="18"/>
          <w:szCs w:val="18"/>
          <w:color w:val="auto"/>
        </w:rPr>
      </w:pPr>
    </w:p>
    <w:p>
      <w:pPr>
        <w:jc w:val="both"/>
        <w:ind w:left="460" w:right="60" w:hanging="452"/>
        <w:spacing w:after="0" w:line="325"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July 2003, our Board of Directors approved the retirement of our Industrial Development Revenue Bond. The bonds were initially floated to provide the financing to construct our Temecula, California packinghouse. We repaid the final $2.8 million in principal under the indenture in September 2003.</w:t>
      </w:r>
    </w:p>
    <w:p>
      <w:pPr>
        <w:spacing w:after="0" w:line="1" w:lineRule="exact"/>
        <w:rPr>
          <w:rFonts w:ascii="Arial" w:cs="Arial" w:eastAsia="Arial" w:hAnsi="Arial"/>
          <w:sz w:val="16"/>
          <w:szCs w:val="16"/>
          <w:color w:val="auto"/>
        </w:rPr>
      </w:pPr>
    </w:p>
    <w:p>
      <w:pPr>
        <w:ind w:left="460" w:right="6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flows used in investing activities for fiscal 2004 and 2003 include the effect of constructing a processing facility in Uruapan, Michoacan, Mexico. The Uruapan facility commenced operations in February 2004.</w:t>
      </w:r>
    </w:p>
    <w:p>
      <w:pPr>
        <w:spacing w:after="0" w:line="21"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Total assets, short-term debt, long-term debt, cash flows used in investing activities, and cash flows provided by financing activities for fiscal 2005 include the effect of the stock purchase agreement with Limoneira Company. See Note 12 to the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“Selected Consolidated Financial Data” and our consolidated financial statements and notes thereto that appear elsewhere in this Annual Report. This discussion and analysis contains forward-looking statements that involve risks, uncertainties, and assumptions. Actual results may differ materially from those anticipated in these forward-looking statements as a result of various factors, including, but not limited to, those presented under “Risks related to our business” included in Item 1A and elsewhere in this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We are a leader in the distribution of avocados, processed avocado products, and other perishable food products throughout the United States and elsewhere in the world. Our history and expertise in handling California grown avocados has allowed us to develop a reputation of delivering quality products, at competitive prices, while providing a competitive return to our growers. This reputation has enabled us to expand our product offering to include avocados sourced on an international basis, processed avocado products, and other perishable foods. We report these operations in three business segments: California avocados, international avocados and other perishable food products and processed products. We report our financial results on a November 1 to October 31 fiscal year basis to coincide with the California avocado harvest season.</w:t>
      </w:r>
    </w:p>
    <w:p>
      <w:pPr>
        <w:spacing w:after="0" w:line="70"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On October 9, 2001, we completed a series of transactions whereby common and preferred shareholders of Calavo Growers of California, an agricultural marketing cooperative association, exchanged all of their outstanding shares for shares of our common stock. Concurrently with this transaction, the Cooperative was merged into us with Calavo emerging as the surviving entity. These transactions had the effect of converting the legal structure of the business from a non-profit cooperative to a for-profit corporation. The merger and the conversion were approved on an overwhelming basis by both the Cooperative’s shareholders and our board of directors. Prior to the merger, the Cooperative reported results of operations as constituting either member (the packing and distribution of avocados procured from either members or associate members) or non-member business (non-member business included both the processed product business and the sourcing and distribution of all crops that were not procured from the Cooperative’s members).</w:t>
      </w:r>
    </w:p>
    <w:p>
      <w:pPr>
        <w:spacing w:after="0" w:line="59"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In June 2005, in order to increase our market share of California avocados and increase synergies within the marketplace, we entered into a stock purchase agreement with Limoneira Company (Limoneira). Pursuant to such agreement, we acquired approximately 15.1% of Limoneira’s outstanding common stock for $23.45 million and Limoneira acquired approximately 6.9% of our outstanding common stock for $10 million. The transaction was settled by a net cash payment by us of $13.45 million. Additionally, such agreement also provided for: (1) Calavo to lease office space from Limoneira in Santa Paula, California for a period of 10 years at an initial annual gross rental of approximately $0.2 million (subject to annual CPI increases, as defined), (2) Calavo to market Limoneira’s avocados and (3) Calavo and Limoneira to use good faith reasonable efforts to maximize avocado packing efficiencies for both parties by consolidating their fruit packing operations. Various opportunities are currently being considered, including the use of existing packing facilities, an investment in existing vacant facilities, and/or an investment in a new consolidated facility for both parties.</w:t>
      </w:r>
    </w:p>
    <w:p>
      <w:pPr>
        <w:spacing w:after="0" w:line="71"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Limoneira, which generated total revenues of approximately $26 million during fiscal 2004, primarily engages in growing citrus and avocados, picking and hauling citrus, and packing lemons.</w:t>
      </w:r>
    </w:p>
    <w:p>
      <w:pPr>
        <w:spacing w:after="0" w:line="62"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Our California avocado business grades, sizes, packs and cools avocados grown in California for delivery to our customers. We presently operate three packinghouses in Southern California. These packinghouses handled approximately 35% of the California avocado crop during the 2005 fiscal year, based on data obtained from the California Avocado Commission. Our operating results and the returns we pay our growers are highly dependent on the volume of avocados delivered to our packinghouses, as a significant portion of our costs are fixed. Our strategy calls for continued efforts in retaining existing growers, aggressively recruiting new growers, and procuring a larger percentage of the California avocado crop to improve our results from operations.</w:t>
      </w:r>
    </w:p>
    <w:p>
      <w:pPr>
        <w:spacing w:after="0" w:line="50"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Our international and perishable food products business procures avocados grown in Mexico, Chile, and the Dominican Republic, as well as other various commodities, including papayas, tomatoes, chili peppers, pineapples, and ginger. We operate a packinghouse in Mexico that handled approximately 21% of the Mexican avocado crop bound for the United States market during the 2004-2005 Mexican harvest season, based on our estimates. Additionally, during the 2004-2005 Chilean avocado harvest season, we handled approximately 10% of the Chilean avocado crop, based on our estimates. Our strategy is to procure and sell the internationally grown avocados to complement our distribution efforts of California grown avocados. We believe that the introduction of these avocados, although competitive at times with California grown avocados, provides a level of supply stability that may, over time, help solidify the demand for avocados among consumers in the United States and elsewhere in the world. We believe our efforts in distributing our other various commodities, such as those shown above, complement our offerings of avocados. From time to time, we continue to explore distribution of other crops that provide reasonable returns to the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5"/>
        <w:spacing w:after="0" w:line="290" w:lineRule="auto"/>
        <w:rPr>
          <w:sz w:val="20"/>
          <w:szCs w:val="20"/>
          <w:color w:val="auto"/>
        </w:rPr>
      </w:pPr>
      <w:r>
        <w:rPr>
          <w:rFonts w:ascii="Arial" w:cs="Arial" w:eastAsia="Arial" w:hAnsi="Arial"/>
          <w:sz w:val="16"/>
          <w:szCs w:val="16"/>
          <w:color w:val="auto"/>
        </w:rPr>
        <w:t>Our processed products business procures avocados, processes avocados into a wide variety of guacamole products, and distributes the processed product to our customers. In February 2003, our Board of Directors approved a plan whereby the operations of our processed products business would be relocated. The plan called for the closing of our Santa Paula, California and Mexicali, Baja California Norte processing facilities and the relocation of these operations to a new facility in Uruapan, Michoacan, Mexico. This restructuring has provided for cost savings in the elimination of certain transportation costs, duplicative overhead structures, and savings in the overall cost of labor and services. The Uruapan facility commenced operations in February 2004 and the Santa Paula and Mexicali facilities were closed in February 2003 and August 2004. During fiscal 2005, we incurred costs related to this restructuring approximating $0.4 million, which are recorded in our income statement as both cost of sales ($0.3 million) and selling, general and administrative expenses ($0.1 million). All the above amounts have been paid and we do not expect any additional operating costs related to this restructuring.</w:t>
      </w:r>
    </w:p>
    <w:p>
      <w:pPr>
        <w:spacing w:after="0" w:line="58" w:lineRule="exact"/>
        <w:rPr>
          <w:sz w:val="20"/>
          <w:szCs w:val="20"/>
          <w:color w:val="auto"/>
        </w:rPr>
      </w:pPr>
    </w:p>
    <w:p>
      <w:pPr>
        <w:jc w:val="both"/>
        <w:ind w:right="200" w:firstLine="225"/>
        <w:spacing w:after="0" w:line="286" w:lineRule="auto"/>
        <w:rPr>
          <w:sz w:val="20"/>
          <w:szCs w:val="20"/>
          <w:color w:val="auto"/>
        </w:rPr>
      </w:pPr>
      <w:r>
        <w:rPr>
          <w:rFonts w:ascii="Arial" w:cs="Arial" w:eastAsia="Arial" w:hAnsi="Arial"/>
          <w:sz w:val="17"/>
          <w:szCs w:val="17"/>
          <w:color w:val="auto"/>
        </w:rPr>
        <w:t>Processed products customers include both food service industry and retail businesses. Our strategy calls for the development of new guacamole recipes and other processed avocado products that address the diverse taste of today’s consumers. We also seek to expand our relationships with major food service companies and develop alliances that will allow our products to reach a larger percentage of the marketplace.</w:t>
      </w:r>
    </w:p>
    <w:p>
      <w:pPr>
        <w:spacing w:after="0" w:line="57"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Our California avocado and international and perishable food product businesses are highly seasonal and are characterized by rapid crop volume and price changes. Furthermore, the operating results of all of our businesses, including our processed products business, have been, and will continue to be, affected by substantial quarterly and annual fluctuations and market downturns due to a number of factors, such as pests and disease, weather patterns, changes in demand by consumers, the timing of the receipt, reduction, or cancellation of significant customer orders, the gain or loss of significant customers, market acceptance of our products, our ability to develop, introduce, and market new products on a timely basis, availability and cost of avocados and supplies from growers and vendors, new product introductions by our competitors, change in the mix of avocados and processed products we sell, and general economic conditions. We believe, however, that we are currently positioned to address these risks and deliver favorable operating results for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Payment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January 2006, we paid a $0.32 per share dividend in the aggregate amount of $4,564,000 to shareholders of record on December 15, 2005.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headquarters building</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 March 2005, we completed the sale of our old corporate headquarters building (located in Santa Ana) for $3.4 million. This transaction resulted in a pre-tax gain on sale of approximately $1.7 million. In conjunction with such sale, we relocated our corporate offices to Santa Paula, California in March 2005. Total expenses related to such relocation approximated $0.4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Grant</w:t>
      </w:r>
    </w:p>
    <w:p>
      <w:pPr>
        <w:spacing w:after="0" w:line="117"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In August 2005, our Board of Directors approved the issuance of options to acquire a total of 400,000 shares of our common stock to various employees of the Company. The options vest if the closing price of our common stock is at least $11.00 per share at any time throughout the life of the option. At no time, however, may any options vest within one year from the date of grant. Additionally, such options have an exercise price of $9.10 per share and a term of 5 years from the grant date. The market price of our common stock at the grant date was $9.10.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agreement</w:t>
      </w:r>
    </w:p>
    <w:p>
      <w:pPr>
        <w:spacing w:after="0" w:line="117" w:lineRule="exact"/>
        <w:rPr>
          <w:sz w:val="20"/>
          <w:szCs w:val="20"/>
          <w:color w:val="auto"/>
        </w:rPr>
      </w:pPr>
    </w:p>
    <w:p>
      <w:pPr>
        <w:jc w:val="both"/>
        <w:ind w:right="460" w:firstLine="225"/>
        <w:spacing w:after="0" w:line="259" w:lineRule="auto"/>
        <w:rPr>
          <w:sz w:val="20"/>
          <w:szCs w:val="20"/>
          <w:color w:val="auto"/>
        </w:rPr>
      </w:pPr>
      <w:r>
        <w:rPr>
          <w:rFonts w:ascii="Arial" w:cs="Arial" w:eastAsia="Arial" w:hAnsi="Arial"/>
          <w:sz w:val="18"/>
          <w:szCs w:val="18"/>
          <w:color w:val="auto"/>
        </w:rPr>
        <w:t>In July 2005, we entered into a non-collateralized term loan agreement with Farm Credit West, PCA to finance the purchase of our Limoneira Stock. Pursuant to such agreement, we borrowed $13.0 million, which is to be repaid in 10 annual installments of $1.3 million. Such annual installments begin July 2006 and continue through July 2015. Interest is to be paid monthly, in arrears, beginning August 2005 through the life of the loan. Such loan bears interest at a fixed rate of 5.70%.</w:t>
      </w:r>
    </w:p>
    <w:p>
      <w:pPr>
        <w:spacing w:after="0" w:line="79"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Such loan contains various financial covenants, which are substantially identical to existing covenants, with which we were in compliance at October 31, 2005. The most significant financial covenants relate to working capital, tangible net worth (as defined), and Earnings Before Interest, Taxes, Depreciation and Amortization (EBITDA) (as defined) requirements.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Useful lives of property, plant and equipment</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Effective May 1, 2005, based on a review performed by us, we changed our estimate of useful lives of certain property, plant and equipment. The principal estimated useful lives were: buildings and improvements — 7 to 30 years; leasehold improvements — the lesser of the term of the lease or 7 years; equipment</w:t>
      </w:r>
    </w:p>
    <w:p>
      <w:pPr>
        <w:ind w:right="120"/>
        <w:spacing w:after="0" w:line="281" w:lineRule="auto"/>
        <w:rPr>
          <w:sz w:val="20"/>
          <w:szCs w:val="20"/>
          <w:color w:val="auto"/>
        </w:rPr>
      </w:pPr>
      <w:r>
        <w:rPr>
          <w:rFonts w:ascii="Arial" w:cs="Arial" w:eastAsia="Arial" w:hAnsi="Arial"/>
          <w:sz w:val="16"/>
          <w:szCs w:val="16"/>
          <w:color w:val="auto"/>
        </w:rPr>
        <w:t>— 7 years; information systems hardware and software — 3 to 5 years. The revised estimated useful lives are: buildings and improvements — 7 to 50 years; leasehold improvements — the lesser of the term of the lease or 7 years; equipment — 7 to 25 years; information systems hardware and software — 3 to</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15 years. The change in estimated useful lives increased our operating income by approximately $0.4 million during the six months ended October 31, 2005 when compared to the old useful lives.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of Common Stock</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 August 2005, we repurchased 200,000 shares of our common stock at an average price per share of $10.00 from the estate of a deceased former member of our Board of Directors. In December 2005, we repurchased another 120,000 shares of our common stock at an average price per share of $10.00 from the same estate.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On an ongoing basis, we re-evaluate all of our estimates, including those related to the areas of customer and grower receivables, inventories, useful lives of property, plant and equipment, promotional allowances, income taxes, retirement benefits, and commitments and contingencies.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materially differ from these estimates under different assumptions or conditions as additional information becomes available in future periods.</w:t>
      </w:r>
    </w:p>
    <w:p>
      <w:pPr>
        <w:spacing w:after="0" w:line="71"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Management has discussed the development and selection of critical accounting estimates with the Audit Committee of the Board of Directors and the Audit Committee has reviewed our disclosure relating to critical accounting estimates in this Annual Report.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believe the following are the more significant judgments and estimates used in the preparation of our consolidated financial statements.</w:t>
      </w:r>
    </w:p>
    <w:p>
      <w:pPr>
        <w:spacing w:after="0" w:line="117"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i w:val="1"/>
          <w:iCs w:val="1"/>
          <w:color w:val="auto"/>
        </w:rPr>
        <w:t>Promotional allowances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provide for promotional allowances at the time of sale, based on our historical experience. Our estimates are generally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evaluating the average length of time between the product shipment date and the date on which we pay the customer the promotional allowance. The product of this lag factor and our historical promotional allowance payment rate is the basis for the promotional allowance included in accrued expenses on our balance sheet. Actual amounts may differ from these estimates and such differences are recognized as an adjustment to net sales in the period they are identified.</w:t>
      </w:r>
    </w:p>
    <w:p>
      <w:pPr>
        <w:spacing w:after="0" w:line="80" w:lineRule="exact"/>
        <w:rPr>
          <w:sz w:val="20"/>
          <w:szCs w:val="20"/>
          <w:color w:val="auto"/>
        </w:rPr>
      </w:pPr>
    </w:p>
    <w:p>
      <w:pPr>
        <w:ind w:right="180" w:firstLine="225"/>
        <w:spacing w:after="0" w:line="270" w:lineRule="auto"/>
        <w:rPr>
          <w:sz w:val="20"/>
          <w:szCs w:val="20"/>
          <w:color w:val="auto"/>
        </w:rPr>
      </w:pPr>
      <w:r>
        <w:rPr>
          <w:rFonts w:ascii="Arial" w:cs="Arial" w:eastAsia="Arial" w:hAnsi="Arial"/>
          <w:sz w:val="17"/>
          <w:szCs w:val="17"/>
          <w:i w:val="1"/>
          <w:iCs w:val="1"/>
          <w:color w:val="auto"/>
        </w:rPr>
        <w:t>Goodwill and acquired intangible assets</w:t>
      </w:r>
      <w:r>
        <w:rPr>
          <w:rFonts w:ascii="Arial" w:cs="Arial" w:eastAsia="Arial" w:hAnsi="Arial"/>
          <w:sz w:val="17"/>
          <w:szCs w:val="17"/>
          <w:color w:val="auto"/>
        </w:rPr>
        <w:t>. The purchase method of accounting for business combinations requires us to make use of estimates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judgments to allocate the purchase price paid for acquisitions to the fair value of the net tangible and identifiable intangible assets. Goodwill is tested for impairment annually, or when a possible impairment is indicated, using the fair value based test prescribed by Statement of Financial Accounting Standards (SFAS) No. 142,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The impairment test requires us to compare the fair value of business reporting units to carrying value, including goodwill. We primarily use an “income approach” (which considers the present value of future cash flows) in combination with a “market approach” (which considers what other purchasers in the marketplace have paid for similar businesses) to determine fair value. Future cash flows typically include operating cash flows for the business for five years and an estimated terminal value. Management judgment is required in the estimation of future operating results and to determine the appropriate terminal values. Future operating results and terminal values could differ from the estimates and could require a provision for impairment in a future period.</w:t>
      </w:r>
    </w:p>
    <w:p>
      <w:pPr>
        <w:spacing w:after="0" w:line="74"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i w:val="1"/>
          <w:iCs w:val="1"/>
          <w:color w:val="auto"/>
        </w:rPr>
        <w:t>Allowance for accounts receivable</w:t>
      </w:r>
      <w:r>
        <w:rPr>
          <w:rFonts w:ascii="Arial" w:cs="Arial" w:eastAsia="Arial" w:hAnsi="Arial"/>
          <w:sz w:val="18"/>
          <w:szCs w:val="18"/>
          <w:color w:val="auto"/>
        </w:rPr>
        <w:t>. We provide an allowance for estimated uncollectible accounts receivable balances based on historical experience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aging of the related accounts receivable. If the financial condition of our customers were to deteriorate, resulting in an impairment of their ability to make payments, additional allowances may be required.</w:t>
      </w:r>
    </w:p>
    <w:p>
      <w:pPr>
        <w:spacing w:after="0" w:line="73"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Sales of products and related costs of products sold are recognized when persuasive evidence of an arrangement exists, shipment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made, title passes, the price is fixed or determinable and collectibility is reasonably assured. Service revenue, including freight, ripening, storage, bagging and palletization charges, is recorded when services are performed and sales of the related products are delivered.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following table sets forth certain items from our consolidated statements of income, expressed as percentages of our total net sales, for the periods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Year ended October 31, 2005</w:t>
            </w:r>
          </w:p>
        </w:tc>
        <w:tc>
          <w:tcPr>
            <w:tcW w:w="720" w:type="dxa"/>
            <w:vAlign w:val="bottom"/>
            <w:tcBorders>
              <w:bottom w:val="single" w:sz="8" w:color="auto"/>
            </w:tcBorders>
          </w:tcPr>
          <w:p>
            <w:pPr>
              <w:spacing w:after="0"/>
              <w:rPr>
                <w:sz w:val="14"/>
                <w:szCs w:val="14"/>
                <w:color w:val="auto"/>
              </w:rPr>
            </w:pPr>
          </w:p>
        </w:tc>
      </w:tr>
      <w:tr>
        <w:trPr>
          <w:trHeight w:val="142"/>
        </w:trPr>
        <w:tc>
          <w:tcPr>
            <w:tcW w:w="7880" w:type="dxa"/>
            <w:vAlign w:val="bottom"/>
          </w:tcPr>
          <w:p>
            <w:pPr>
              <w:spacing w:after="0"/>
              <w:rPr>
                <w:sz w:val="12"/>
                <w:szCs w:val="12"/>
                <w:color w:val="auto"/>
              </w:rPr>
            </w:pPr>
          </w:p>
        </w:tc>
        <w:tc>
          <w:tcPr>
            <w:tcW w:w="7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2"/>
                <w:szCs w:val="12"/>
                <w:color w:val="auto"/>
              </w:rPr>
            </w:pPr>
          </w:p>
        </w:tc>
        <w:tc>
          <w:tcPr>
            <w:tcW w:w="74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2"/>
                <w:szCs w:val="12"/>
                <w:color w:val="auto"/>
              </w:rPr>
            </w:pPr>
          </w:p>
        </w:tc>
        <w:tc>
          <w:tcPr>
            <w:tcW w:w="7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2003</w:t>
            </w: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Gross margins</w:t>
            </w:r>
          </w:p>
        </w:tc>
        <w:tc>
          <w:tcPr>
            <w:tcW w:w="740" w:type="dxa"/>
            <w:vAlign w:val="bottom"/>
          </w:tcPr>
          <w:p>
            <w:pPr>
              <w:jc w:val="right"/>
              <w:spacing w:after="0"/>
              <w:rPr>
                <w:sz w:val="20"/>
                <w:szCs w:val="20"/>
                <w:color w:val="auto"/>
              </w:rPr>
            </w:pPr>
            <w:r>
              <w:rPr>
                <w:rFonts w:ascii="Arial" w:cs="Arial" w:eastAsia="Arial" w:hAnsi="Arial"/>
                <w:sz w:val="18"/>
                <w:szCs w:val="18"/>
                <w:color w:val="auto"/>
              </w:rPr>
              <w:t>8.4%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6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Operating income</w:t>
            </w: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Net income</w:t>
            </w: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believe that the fundamentals for our products continue to be favorable. Government census studies continue to indicate a shift in the demographics of the U.S. population in which larger portions of the population descend from a Hispanic origin. Avocados are considered a staple item purchased by Hispanic consumers and their acceptance as part of American cuisine continues to spur demand for our products. We anticipate avocado products will further penetrate the United States marketplace driven by growth in the Hispanic community and general acceptance in American cuisine. As the largest marketer of avocado products in the United States, we believe that we are well positioned to leverage this trend and to grow all segments of our business. Additionally, we also believe that avocados and avocado based products will further penetrate other marketplaces that we currently operate in, as interest in avocados continues to expand.</w:t>
      </w:r>
    </w:p>
    <w:p>
      <w:pPr>
        <w:spacing w:after="0" w:line="81" w:lineRule="exact"/>
        <w:rPr>
          <w:sz w:val="20"/>
          <w:szCs w:val="20"/>
          <w:color w:val="auto"/>
        </w:rPr>
      </w:pPr>
    </w:p>
    <w:p>
      <w:pPr>
        <w:ind w:right="240" w:firstLine="225"/>
        <w:spacing w:after="0" w:line="302" w:lineRule="auto"/>
        <w:rPr>
          <w:sz w:val="20"/>
          <w:szCs w:val="20"/>
          <w:color w:val="auto"/>
        </w:rPr>
      </w:pPr>
      <w:r>
        <w:rPr>
          <w:rFonts w:ascii="Arial" w:cs="Arial" w:eastAsia="Arial" w:hAnsi="Arial"/>
          <w:sz w:val="16"/>
          <w:szCs w:val="16"/>
          <w:color w:val="auto"/>
        </w:rPr>
        <w:t>Sales of products and related costs of products sold are recognized when persuasive evidence of an arrangement exists, shipment has been made, title passes, the price is fixed or determinable and collectibility is reasonably assured. Service revenue, including freight, ripening, storage, bagging and palletization charges, is recorded when services are performed and sales of the related products are delivered. We provide for sales returns and promotional allowances at the time of shipment, based on our experience. The following table summarizes our net sales by business segment: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700" w:type="dxa"/>
            <w:vAlign w:val="bottom"/>
          </w:tcPr>
          <w:p>
            <w:pPr>
              <w:spacing w:after="0"/>
              <w:rPr>
                <w:sz w:val="14"/>
                <w:szCs w:val="14"/>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2004</w:t>
            </w:r>
          </w:p>
        </w:tc>
        <w:tc>
          <w:tcPr>
            <w:tcW w:w="700" w:type="dxa"/>
            <w:vAlign w:val="bottom"/>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4"/>
                <w:szCs w:val="14"/>
                <w:color w:val="auto"/>
              </w:rPr>
            </w:pPr>
          </w:p>
        </w:tc>
      </w:tr>
      <w:tr>
        <w:trPr>
          <w:trHeight w:val="142"/>
        </w:trPr>
        <w:tc>
          <w:tcPr>
            <w:tcW w:w="4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w w:val="97"/>
              </w:rPr>
              <w:t>(Dollars in thousands)</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California avocados</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w w:val="84"/>
              </w:rPr>
              <w:t>$ 116,308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1840" w:type="dxa"/>
            <w:vAlign w:val="bottom"/>
            <w:gridSpan w:val="3"/>
          </w:tcPr>
          <w:p>
            <w:pPr>
              <w:jc w:val="right"/>
              <w:ind w:right="700"/>
              <w:spacing w:after="0"/>
              <w:rPr>
                <w:sz w:val="20"/>
                <w:szCs w:val="20"/>
                <w:color w:val="auto"/>
              </w:rPr>
            </w:pPr>
            <w:r>
              <w:rPr>
                <w:rFonts w:ascii="Arial" w:cs="Arial" w:eastAsia="Arial" w:hAnsi="Arial"/>
                <w:sz w:val="18"/>
                <w:szCs w:val="18"/>
                <w:color w:val="auto"/>
              </w:rPr>
              <w:t>$ 163,486</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9.3%</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$ 149,635</w:t>
            </w: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avocados and perishable food products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129,831</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w:t>
            </w:r>
          </w:p>
        </w:tc>
        <w:tc>
          <w:tcPr>
            <w:tcW w:w="18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94,423</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25.3%</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75,347</w:t>
            </w: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Processed products</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34,699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840" w:type="dxa"/>
            <w:vAlign w:val="bottom"/>
            <w:gridSpan w:val="3"/>
          </w:tcPr>
          <w:p>
            <w:pPr>
              <w:jc w:val="right"/>
              <w:ind w:right="700"/>
              <w:spacing w:after="0"/>
              <w:rPr>
                <w:sz w:val="20"/>
                <w:szCs w:val="20"/>
                <w:color w:val="auto"/>
              </w:rPr>
            </w:pPr>
            <w:r>
              <w:rPr>
                <w:rFonts w:ascii="Arial" w:cs="Arial" w:eastAsia="Arial" w:hAnsi="Arial"/>
                <w:sz w:val="18"/>
                <w:szCs w:val="18"/>
                <w:color w:val="auto"/>
              </w:rPr>
              <w:t>32,749</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32,360</w:t>
            </w: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Eliminations</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(22,016)</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(16,440)</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(10,581)</w:t>
            </w:r>
          </w:p>
        </w:tc>
      </w:tr>
      <w:tr>
        <w:trPr>
          <w:trHeight w:val="223"/>
        </w:trPr>
        <w:tc>
          <w:tcPr>
            <w:tcW w:w="4920" w:type="dxa"/>
            <w:vAlign w:val="bottom"/>
          </w:tcPr>
          <w:p>
            <w:pPr>
              <w:ind w:left="420"/>
              <w:spacing w:after="0"/>
              <w:rPr>
                <w:sz w:val="20"/>
                <w:szCs w:val="20"/>
                <w:color w:val="auto"/>
              </w:rPr>
            </w:pPr>
            <w:r>
              <w:rPr>
                <w:rFonts w:ascii="Arial" w:cs="Arial" w:eastAsia="Arial" w:hAnsi="Arial"/>
                <w:sz w:val="18"/>
                <w:szCs w:val="18"/>
                <w:color w:val="auto"/>
              </w:rPr>
              <w:t>Total net sales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$ 258,822</w:t>
            </w:r>
          </w:p>
        </w:tc>
        <w:tc>
          <w:tcPr>
            <w:tcW w:w="7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$ 274,218</w:t>
            </w:r>
          </w:p>
        </w:tc>
        <w:tc>
          <w:tcPr>
            <w:tcW w:w="7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$ 246,761</w:t>
            </w:r>
          </w:p>
        </w:tc>
        <w:tc>
          <w:tcPr>
            <w:tcW w:w="16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net sales:</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California avocados</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43.3%</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3"/>
          </w:tcPr>
          <w:p>
            <w:pPr>
              <w:jc w:val="right"/>
              <w:ind w:right="540"/>
              <w:spacing w:after="0"/>
              <w:rPr>
                <w:sz w:val="20"/>
                <w:szCs w:val="20"/>
                <w:color w:val="auto"/>
              </w:rPr>
            </w:pPr>
            <w:r>
              <w:rPr>
                <w:rFonts w:ascii="Arial" w:cs="Arial" w:eastAsia="Arial" w:hAnsi="Arial"/>
                <w:sz w:val="18"/>
                <w:szCs w:val="18"/>
                <w:color w:val="auto"/>
              </w:rPr>
              <w:t>59.0%</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60.6%</w:t>
            </w: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avocados and perishable food products</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45.7%</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31.6%</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Processed products</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11.0%</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3"/>
          </w:tcPr>
          <w:p>
            <w:pPr>
              <w:jc w:val="right"/>
              <w:ind w:right="540"/>
              <w:spacing w:after="0"/>
              <w:rPr>
                <w:sz w:val="20"/>
                <w:szCs w:val="20"/>
                <w:color w:val="auto"/>
              </w:rPr>
            </w:pPr>
            <w:r>
              <w:rPr>
                <w:rFonts w:ascii="Arial" w:cs="Arial" w:eastAsia="Arial" w:hAnsi="Arial"/>
                <w:sz w:val="18"/>
                <w:szCs w:val="18"/>
                <w:color w:val="auto"/>
              </w:rPr>
              <w:t>9.4%</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11.4%</w:t>
            </w:r>
          </w:p>
        </w:tc>
      </w:tr>
      <w:tr>
        <w:trPr>
          <w:trHeight w:val="27"/>
        </w:trPr>
        <w:tc>
          <w:tcPr>
            <w:tcW w:w="49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9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9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Net sales for the year ended October 31, 2005, when compared to 2004, decreased by approximately $15.4 million, or 5.6%, principally as a result of a decrease in our California avocados segment, partially offset by an increase in our and International avocados and perishable food products segment. The decrease in sales related to our California avocados segment was primarily driven by a smaller overall harvest of the California avocado crop for the 2004/2005 season, while the increase in our international avocados and perishable food products segment was driven primarily by an increase in the volume of avocados being imported from Mexico.</w:t>
      </w:r>
    </w:p>
    <w:p>
      <w:pPr>
        <w:spacing w:after="0" w:line="80"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Net sales generated by our International avocados and perishable food products business depend principally on the availability of Chilean and Mexican grown avocados in the U.S. markets. In November 2004, the USDA published a rule allowing Hass avocado imports from Mexico into all 50 states year round (up from 31 states for only a six month period), except for California, Florida, and Hawaii. We expect the restriction on such states to be lifted in February 2007. For the remaining 47 states, however, Mexico was able to deliver its fruit for all of fiscal 2005. The implementation of this rule resulted in a significant increase in the sale of Mexican sourced fruit during fiscal 2005.</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tables set forth sales by product category, freight and other charges and sales incentives, by segment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6"/>
              </w:rPr>
              <w:t>Year ended October 31, 2005</w:t>
            </w:r>
          </w:p>
        </w:tc>
        <w:tc>
          <w:tcPr>
            <w:tcW w:w="7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Year ended October 31, 2004</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International</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International</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avocados and</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avocados and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9"/>
              </w:rPr>
              <w:t>California</w:t>
            </w:r>
          </w:p>
        </w:tc>
        <w:tc>
          <w:tcPr>
            <w:tcW w:w="8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perishable</w:t>
            </w:r>
          </w:p>
        </w:tc>
        <w:tc>
          <w:tcPr>
            <w:tcW w:w="112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0"/>
              </w:rPr>
              <w:t>Processed</w:t>
            </w: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California</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perishable</w:t>
            </w:r>
          </w:p>
        </w:tc>
        <w:tc>
          <w:tcPr>
            <w:tcW w:w="180" w:type="dxa"/>
            <w:vAlign w:val="bottom"/>
          </w:tcPr>
          <w:p>
            <w:pPr>
              <w:spacing w:after="0"/>
              <w:rPr>
                <w:sz w:val="12"/>
                <w:szCs w:val="12"/>
                <w:color w:val="auto"/>
              </w:rPr>
            </w:pPr>
          </w:p>
        </w:tc>
        <w:tc>
          <w:tcPr>
            <w:tcW w:w="9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4"/>
              </w:rPr>
              <w:t>Processed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food</w:t>
            </w:r>
          </w:p>
        </w:tc>
        <w:tc>
          <w:tcPr>
            <w:tcW w:w="1120" w:type="dxa"/>
            <w:vAlign w:val="bottom"/>
            <w:gridSpan w:val="3"/>
            <w:vMerge w:val="continue"/>
          </w:tcPr>
          <w:p>
            <w:pPr>
              <w:spacing w:after="0"/>
              <w:rPr>
                <w:sz w:val="12"/>
                <w:szCs w:val="12"/>
                <w:color w:val="auto"/>
              </w:rPr>
            </w:pPr>
          </w:p>
        </w:tc>
        <w:tc>
          <w:tcPr>
            <w:tcW w:w="11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food</w:t>
            </w:r>
          </w:p>
        </w:tc>
        <w:tc>
          <w:tcPr>
            <w:tcW w:w="1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avocados</w:t>
            </w:r>
          </w:p>
        </w:tc>
        <w:tc>
          <w:tcPr>
            <w:tcW w:w="8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products</w:t>
            </w:r>
          </w:p>
        </w:tc>
        <w:tc>
          <w:tcPr>
            <w:tcW w:w="11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products</w:t>
            </w:r>
          </w:p>
        </w:tc>
        <w:tc>
          <w:tcPr>
            <w:tcW w:w="1140" w:type="dxa"/>
            <w:vAlign w:val="bottom"/>
            <w:gridSpan w:val="2"/>
            <w:vMerge w:val="continue"/>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avocados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products</w:t>
            </w:r>
          </w:p>
        </w:tc>
        <w:tc>
          <w:tcPr>
            <w:tcW w:w="180" w:type="dxa"/>
            <w:vAlign w:val="bottom"/>
          </w:tcPr>
          <w:p>
            <w:pPr>
              <w:spacing w:after="0"/>
              <w:rPr>
                <w:sz w:val="14"/>
                <w:szCs w:val="14"/>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products</w:t>
            </w: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Third-party sales:</w:t>
            </w:r>
          </w:p>
        </w:tc>
        <w:tc>
          <w:tcPr>
            <w:tcW w:w="1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California avocados</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$ 104,481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$ 104,481</w:t>
            </w:r>
          </w:p>
        </w:tc>
        <w:tc>
          <w:tcPr>
            <w:tcW w:w="4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$ 150,159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$ 150,159</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Imported avocados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81,756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81,756</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54,589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54,589</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Papayas</w:t>
            </w:r>
          </w:p>
        </w:tc>
        <w:tc>
          <w:tcPr>
            <w:tcW w:w="1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6,251</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6,251</w:t>
            </w:r>
          </w:p>
        </w:tc>
        <w:tc>
          <w:tcPr>
            <w:tcW w:w="4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6,846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6,846</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Specialities and tropicals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13,777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13,777</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14,233</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Processed — food service</w:t>
            </w:r>
          </w:p>
        </w:tc>
        <w:tc>
          <w:tcPr>
            <w:tcW w:w="1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28,307</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28,307</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27,352</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27,352</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Processed — retail and club</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6,766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4,285</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09"/>
        </w:trPr>
        <w:tc>
          <w:tcPr>
            <w:tcW w:w="2320" w:type="dxa"/>
            <w:vAlign w:val="bottom"/>
          </w:tcPr>
          <w:p>
            <w:pPr>
              <w:spacing w:after="0"/>
              <w:rPr>
                <w:sz w:val="20"/>
                <w:szCs w:val="20"/>
                <w:color w:val="auto"/>
              </w:rPr>
            </w:pPr>
            <w:r>
              <w:rPr>
                <w:rFonts w:ascii="Arial" w:cs="Arial" w:eastAsia="Arial" w:hAnsi="Arial"/>
                <w:sz w:val="18"/>
                <w:szCs w:val="18"/>
                <w:color w:val="auto"/>
              </w:rPr>
              <w:t>Total fruit and product sales</w:t>
            </w: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20"/>
              <w:spacing w:after="0"/>
              <w:rPr>
                <w:sz w:val="20"/>
                <w:szCs w:val="20"/>
                <w:color w:val="auto"/>
              </w:rPr>
            </w:pPr>
            <w:r>
              <w:rPr>
                <w:rFonts w:ascii="Arial" w:cs="Arial" w:eastAsia="Arial" w:hAnsi="Arial"/>
                <w:sz w:val="18"/>
                <w:szCs w:val="18"/>
                <w:color w:val="auto"/>
              </w:rPr>
              <w:t>to third-parties</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104,481</w:t>
            </w:r>
          </w:p>
        </w:tc>
        <w:tc>
          <w:tcPr>
            <w:tcW w:w="8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101,784</w:t>
            </w: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35,073</w:t>
            </w:r>
          </w:p>
        </w:tc>
        <w:tc>
          <w:tcPr>
            <w:tcW w:w="700" w:type="dxa"/>
            <w:vAlign w:val="bottom"/>
          </w:tcPr>
          <w:p>
            <w:pPr>
              <w:jc w:val="right"/>
              <w:spacing w:after="0"/>
              <w:rPr>
                <w:sz w:val="20"/>
                <w:szCs w:val="20"/>
                <w:color w:val="auto"/>
              </w:rPr>
            </w:pPr>
            <w:r>
              <w:rPr>
                <w:rFonts w:ascii="Arial" w:cs="Arial" w:eastAsia="Arial" w:hAnsi="Arial"/>
                <w:sz w:val="18"/>
                <w:szCs w:val="18"/>
                <w:color w:val="auto"/>
              </w:rPr>
              <w:t>241,338</w:t>
            </w:r>
          </w:p>
        </w:tc>
        <w:tc>
          <w:tcPr>
            <w:tcW w:w="4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150,159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75,668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31,637</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257,464</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Freight and other charges</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7,699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16,430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258</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24,387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534</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23,448</w:t>
            </w:r>
          </w:p>
        </w:tc>
        <w:tc>
          <w:tcPr>
            <w:tcW w:w="0" w:type="dxa"/>
            <w:vAlign w:val="bottom"/>
          </w:tcPr>
          <w:p>
            <w:pPr>
              <w:spacing w:after="0"/>
              <w:rPr>
                <w:sz w:val="1"/>
                <w:szCs w:val="1"/>
                <w:color w:val="auto"/>
              </w:rPr>
            </w:pPr>
          </w:p>
        </w:tc>
      </w:tr>
      <w:tr>
        <w:trPr>
          <w:trHeight w:val="209"/>
        </w:trPr>
        <w:tc>
          <w:tcPr>
            <w:tcW w:w="2320" w:type="dxa"/>
            <w:vAlign w:val="bottom"/>
          </w:tcPr>
          <w:p>
            <w:pPr>
              <w:spacing w:after="0"/>
              <w:rPr>
                <w:sz w:val="20"/>
                <w:szCs w:val="20"/>
                <w:color w:val="auto"/>
              </w:rPr>
            </w:pPr>
            <w:r>
              <w:rPr>
                <w:rFonts w:ascii="Arial" w:cs="Arial" w:eastAsia="Arial" w:hAnsi="Arial"/>
                <w:sz w:val="18"/>
                <w:szCs w:val="18"/>
                <w:color w:val="auto"/>
              </w:rPr>
              <w:t>Total gross sales to third-</w:t>
            </w: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20"/>
              <w:spacing w:after="0"/>
              <w:rPr>
                <w:sz w:val="20"/>
                <w:szCs w:val="20"/>
                <w:color w:val="auto"/>
              </w:rPr>
            </w:pPr>
            <w:r>
              <w:rPr>
                <w:rFonts w:ascii="Arial" w:cs="Arial" w:eastAsia="Arial" w:hAnsi="Arial"/>
                <w:sz w:val="18"/>
                <w:szCs w:val="18"/>
                <w:color w:val="auto"/>
              </w:rPr>
              <w:t>parties</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112,180</w:t>
            </w:r>
          </w:p>
        </w:tc>
        <w:tc>
          <w:tcPr>
            <w:tcW w:w="8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118,214</w:t>
            </w: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35,331</w:t>
            </w:r>
          </w:p>
        </w:tc>
        <w:tc>
          <w:tcPr>
            <w:tcW w:w="700" w:type="dxa"/>
            <w:vAlign w:val="bottom"/>
          </w:tcPr>
          <w:p>
            <w:pPr>
              <w:jc w:val="right"/>
              <w:spacing w:after="0"/>
              <w:rPr>
                <w:sz w:val="20"/>
                <w:szCs w:val="20"/>
                <w:color w:val="auto"/>
              </w:rPr>
            </w:pPr>
            <w:r>
              <w:rPr>
                <w:rFonts w:ascii="Arial" w:cs="Arial" w:eastAsia="Arial" w:hAnsi="Arial"/>
                <w:sz w:val="18"/>
                <w:szCs w:val="18"/>
                <w:color w:val="auto"/>
              </w:rPr>
              <w:t>265,725</w:t>
            </w:r>
          </w:p>
        </w:tc>
        <w:tc>
          <w:tcPr>
            <w:tcW w:w="4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162,105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86,636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32,171</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280,912</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Less sales incentives</w:t>
            </w: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(6,798)</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(6,903)</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(6,515)</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(6,694)</w:t>
            </w:r>
          </w:p>
        </w:tc>
        <w:tc>
          <w:tcPr>
            <w:tcW w:w="0" w:type="dxa"/>
            <w:vAlign w:val="bottom"/>
          </w:tcPr>
          <w:p>
            <w:pPr>
              <w:spacing w:after="0"/>
              <w:rPr>
                <w:sz w:val="1"/>
                <w:szCs w:val="1"/>
                <w:color w:val="auto"/>
              </w:rPr>
            </w:pPr>
          </w:p>
        </w:tc>
      </w:tr>
      <w:tr>
        <w:trPr>
          <w:trHeight w:val="223"/>
        </w:trPr>
        <w:tc>
          <w:tcPr>
            <w:tcW w:w="2320" w:type="dxa"/>
            <w:vAlign w:val="bottom"/>
          </w:tcPr>
          <w:p>
            <w:pPr>
              <w:spacing w:after="0"/>
              <w:rPr>
                <w:sz w:val="20"/>
                <w:szCs w:val="20"/>
                <w:color w:val="auto"/>
              </w:rPr>
            </w:pPr>
            <w:r>
              <w:rPr>
                <w:rFonts w:ascii="Arial" w:cs="Arial" w:eastAsia="Arial" w:hAnsi="Arial"/>
                <w:sz w:val="18"/>
                <w:szCs w:val="18"/>
                <w:color w:val="auto"/>
                <w:w w:val="96"/>
              </w:rPr>
              <w:t>Total net sales to third-parties</w:t>
            </w:r>
          </w:p>
        </w:tc>
        <w:tc>
          <w:tcPr>
            <w:tcW w:w="1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112,077</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118,212</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28,533</w:t>
            </w:r>
          </w:p>
        </w:tc>
        <w:tc>
          <w:tcPr>
            <w:tcW w:w="4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258,822</w:t>
            </w:r>
          </w:p>
        </w:tc>
        <w:tc>
          <w:tcPr>
            <w:tcW w:w="4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161,974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86,588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25,656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Intercompany sales</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4,231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11,619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6,166</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22,016</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7,093</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16,440</w:t>
            </w:r>
          </w:p>
        </w:tc>
        <w:tc>
          <w:tcPr>
            <w:tcW w:w="0" w:type="dxa"/>
            <w:vAlign w:val="bottom"/>
          </w:tcPr>
          <w:p>
            <w:pPr>
              <w:spacing w:after="0"/>
              <w:rPr>
                <w:sz w:val="1"/>
                <w:szCs w:val="1"/>
                <w:color w:val="auto"/>
              </w:rPr>
            </w:pPr>
          </w:p>
        </w:tc>
      </w:tr>
      <w:tr>
        <w:trPr>
          <w:trHeight w:val="223"/>
        </w:trPr>
        <w:tc>
          <w:tcPr>
            <w:tcW w:w="2320" w:type="dxa"/>
            <w:vAlign w:val="bottom"/>
          </w:tcPr>
          <w:p>
            <w:pPr>
              <w:spacing w:after="0"/>
              <w:rPr>
                <w:sz w:val="20"/>
                <w:szCs w:val="20"/>
                <w:color w:val="auto"/>
              </w:rPr>
            </w:pPr>
            <w:r>
              <w:rPr>
                <w:rFonts w:ascii="Arial" w:cs="Arial" w:eastAsia="Arial" w:hAnsi="Arial"/>
                <w:sz w:val="18"/>
                <w:szCs w:val="18"/>
                <w:color w:val="auto"/>
              </w:rPr>
              <w:t>Net sales</w:t>
            </w: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$ 116,308</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129,831</w:t>
            </w: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$ 34,699</w:t>
            </w:r>
          </w:p>
        </w:tc>
        <w:tc>
          <w:tcPr>
            <w:tcW w:w="4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280,838</w:t>
            </w:r>
          </w:p>
        </w:tc>
        <w:tc>
          <w:tcPr>
            <w:tcW w:w="4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$ 163,486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$ 32,749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Intercompany sales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eliminations</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(22,016)</w:t>
            </w: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(16,440)</w:t>
            </w:r>
          </w:p>
        </w:tc>
        <w:tc>
          <w:tcPr>
            <w:tcW w:w="0" w:type="dxa"/>
            <w:vAlign w:val="bottom"/>
          </w:tcPr>
          <w:p>
            <w:pPr>
              <w:spacing w:after="0"/>
              <w:rPr>
                <w:sz w:val="1"/>
                <w:szCs w:val="1"/>
                <w:color w:val="auto"/>
              </w:rPr>
            </w:pPr>
          </w:p>
        </w:tc>
      </w:tr>
      <w:tr>
        <w:trPr>
          <w:trHeight w:val="223"/>
        </w:trPr>
        <w:tc>
          <w:tcPr>
            <w:tcW w:w="2320" w:type="dxa"/>
            <w:vAlign w:val="bottom"/>
          </w:tcPr>
          <w:p>
            <w:pPr>
              <w:spacing w:after="0"/>
              <w:rPr>
                <w:sz w:val="20"/>
                <w:szCs w:val="20"/>
                <w:color w:val="auto"/>
              </w:rPr>
            </w:pPr>
            <w:r>
              <w:rPr>
                <w:rFonts w:ascii="Arial" w:cs="Arial" w:eastAsia="Arial" w:hAnsi="Arial"/>
                <w:sz w:val="18"/>
                <w:szCs w:val="18"/>
                <w:color w:val="auto"/>
              </w:rPr>
              <w:t>Consolidated net sales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$ 258,822</w:t>
            </w: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$ 274,218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60" w:type="dxa"/>
            <w:vAlign w:val="bottom"/>
            <w:gridSpan w:val="6"/>
            <w:vMerge w:val="restart"/>
          </w:tcPr>
          <w:p>
            <w:pPr>
              <w:jc w:val="right"/>
              <w:ind w:right="500"/>
              <w:spacing w:after="0"/>
              <w:rPr>
                <w:sz w:val="20"/>
                <w:szCs w:val="20"/>
                <w:color w:val="auto"/>
              </w:rPr>
            </w:pPr>
            <w:r>
              <w:rPr>
                <w:rFonts w:ascii="Arial" w:cs="Arial" w:eastAsia="Arial" w:hAnsi="Arial"/>
                <w:sz w:val="14"/>
                <w:szCs w:val="14"/>
                <w:b w:val="1"/>
                <w:bCs w:val="1"/>
                <w:color w:val="auto"/>
                <w:w w:val="96"/>
              </w:rPr>
              <w:t>Year ended October 31, 2004</w:t>
            </w: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rPr>
              <w:t>Year ended October 31, 2003</w:t>
            </w: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vMerge w:val="continue"/>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7"/>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International</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International</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avocados and</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avocados and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9"/>
              </w:rPr>
              <w:t>California</w:t>
            </w:r>
          </w:p>
        </w:tc>
        <w:tc>
          <w:tcPr>
            <w:tcW w:w="8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perishable</w:t>
            </w:r>
          </w:p>
        </w:tc>
        <w:tc>
          <w:tcPr>
            <w:tcW w:w="112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0"/>
              </w:rPr>
              <w:t>Processed</w:t>
            </w: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California</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perishable</w:t>
            </w:r>
          </w:p>
        </w:tc>
        <w:tc>
          <w:tcPr>
            <w:tcW w:w="180" w:type="dxa"/>
            <w:vAlign w:val="bottom"/>
          </w:tcPr>
          <w:p>
            <w:pPr>
              <w:spacing w:after="0"/>
              <w:rPr>
                <w:sz w:val="12"/>
                <w:szCs w:val="12"/>
                <w:color w:val="auto"/>
              </w:rPr>
            </w:pPr>
          </w:p>
        </w:tc>
        <w:tc>
          <w:tcPr>
            <w:tcW w:w="9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4"/>
              </w:rPr>
              <w:t>Processed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food</w:t>
            </w:r>
          </w:p>
        </w:tc>
        <w:tc>
          <w:tcPr>
            <w:tcW w:w="1120" w:type="dxa"/>
            <w:vAlign w:val="bottom"/>
            <w:gridSpan w:val="3"/>
            <w:vMerge w:val="continue"/>
          </w:tcPr>
          <w:p>
            <w:pPr>
              <w:spacing w:after="0"/>
              <w:rPr>
                <w:sz w:val="12"/>
                <w:szCs w:val="12"/>
                <w:color w:val="auto"/>
              </w:rPr>
            </w:pPr>
          </w:p>
        </w:tc>
        <w:tc>
          <w:tcPr>
            <w:tcW w:w="11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food</w:t>
            </w:r>
          </w:p>
        </w:tc>
        <w:tc>
          <w:tcPr>
            <w:tcW w:w="1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avocados</w:t>
            </w:r>
          </w:p>
        </w:tc>
        <w:tc>
          <w:tcPr>
            <w:tcW w:w="8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products</w:t>
            </w:r>
          </w:p>
        </w:tc>
        <w:tc>
          <w:tcPr>
            <w:tcW w:w="11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products</w:t>
            </w:r>
          </w:p>
        </w:tc>
        <w:tc>
          <w:tcPr>
            <w:tcW w:w="1140" w:type="dxa"/>
            <w:vAlign w:val="bottom"/>
            <w:gridSpan w:val="2"/>
            <w:vMerge w:val="continue"/>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avocados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products</w:t>
            </w:r>
          </w:p>
        </w:tc>
        <w:tc>
          <w:tcPr>
            <w:tcW w:w="180" w:type="dxa"/>
            <w:vAlign w:val="bottom"/>
          </w:tcPr>
          <w:p>
            <w:pPr>
              <w:spacing w:after="0"/>
              <w:rPr>
                <w:sz w:val="14"/>
                <w:szCs w:val="14"/>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products</w:t>
            </w: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Third-party sales:</w:t>
            </w:r>
          </w:p>
        </w:tc>
        <w:tc>
          <w:tcPr>
            <w:tcW w:w="1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California avocados</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$ 150,159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$ 150,159</w:t>
            </w:r>
          </w:p>
        </w:tc>
        <w:tc>
          <w:tcPr>
            <w:tcW w:w="4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$ 140,795</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$ 140,795</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Imported avocados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54,589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54,589</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56,306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56,306</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Papayas</w:t>
            </w:r>
          </w:p>
        </w:tc>
        <w:tc>
          <w:tcPr>
            <w:tcW w:w="1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6,846</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6,846</w:t>
            </w:r>
          </w:p>
        </w:tc>
        <w:tc>
          <w:tcPr>
            <w:tcW w:w="4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2,920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Specialities and tropicals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14,233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14,233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Processed — food service</w:t>
            </w:r>
          </w:p>
        </w:tc>
        <w:tc>
          <w:tcPr>
            <w:tcW w:w="1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27,352</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27,352</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28,545</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28,545</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Processed — retail and club</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4,285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5,165</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5,165</w:t>
            </w:r>
          </w:p>
        </w:tc>
        <w:tc>
          <w:tcPr>
            <w:tcW w:w="0" w:type="dxa"/>
            <w:vAlign w:val="bottom"/>
          </w:tcPr>
          <w:p>
            <w:pPr>
              <w:spacing w:after="0"/>
              <w:rPr>
                <w:sz w:val="1"/>
                <w:szCs w:val="1"/>
                <w:color w:val="auto"/>
              </w:rPr>
            </w:pPr>
          </w:p>
        </w:tc>
      </w:tr>
      <w:tr>
        <w:trPr>
          <w:trHeight w:val="209"/>
        </w:trPr>
        <w:tc>
          <w:tcPr>
            <w:tcW w:w="2320" w:type="dxa"/>
            <w:vAlign w:val="bottom"/>
          </w:tcPr>
          <w:p>
            <w:pPr>
              <w:spacing w:after="0"/>
              <w:rPr>
                <w:sz w:val="20"/>
                <w:szCs w:val="20"/>
                <w:color w:val="auto"/>
              </w:rPr>
            </w:pPr>
            <w:r>
              <w:rPr>
                <w:rFonts w:ascii="Arial" w:cs="Arial" w:eastAsia="Arial" w:hAnsi="Arial"/>
                <w:sz w:val="18"/>
                <w:szCs w:val="18"/>
                <w:color w:val="auto"/>
              </w:rPr>
              <w:t>Total fruit and product sales</w:t>
            </w: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20"/>
              <w:spacing w:after="0"/>
              <w:rPr>
                <w:sz w:val="20"/>
                <w:szCs w:val="20"/>
                <w:color w:val="auto"/>
              </w:rPr>
            </w:pPr>
            <w:r>
              <w:rPr>
                <w:rFonts w:ascii="Arial" w:cs="Arial" w:eastAsia="Arial" w:hAnsi="Arial"/>
                <w:sz w:val="18"/>
                <w:szCs w:val="18"/>
                <w:color w:val="auto"/>
              </w:rPr>
              <w:t>to third-parties</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150,159</w:t>
            </w:r>
          </w:p>
        </w:tc>
        <w:tc>
          <w:tcPr>
            <w:tcW w:w="8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75,668</w:t>
            </w: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31,637</w:t>
            </w:r>
          </w:p>
        </w:tc>
        <w:tc>
          <w:tcPr>
            <w:tcW w:w="700" w:type="dxa"/>
            <w:vAlign w:val="bottom"/>
          </w:tcPr>
          <w:p>
            <w:pPr>
              <w:jc w:val="right"/>
              <w:spacing w:after="0"/>
              <w:rPr>
                <w:sz w:val="20"/>
                <w:szCs w:val="20"/>
                <w:color w:val="auto"/>
              </w:rPr>
            </w:pPr>
            <w:r>
              <w:rPr>
                <w:rFonts w:ascii="Arial" w:cs="Arial" w:eastAsia="Arial" w:hAnsi="Arial"/>
                <w:sz w:val="18"/>
                <w:szCs w:val="18"/>
                <w:color w:val="auto"/>
              </w:rPr>
              <w:t>257,464</w:t>
            </w:r>
          </w:p>
        </w:tc>
        <w:tc>
          <w:tcPr>
            <w:tcW w:w="4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140,795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59,256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33,710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233,761</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Freight and other charges</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11,946</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10,968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534</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23,448</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19,366</w:t>
            </w:r>
          </w:p>
        </w:tc>
        <w:tc>
          <w:tcPr>
            <w:tcW w:w="0" w:type="dxa"/>
            <w:vAlign w:val="bottom"/>
          </w:tcPr>
          <w:p>
            <w:pPr>
              <w:spacing w:after="0"/>
              <w:rPr>
                <w:sz w:val="1"/>
                <w:szCs w:val="1"/>
                <w:color w:val="auto"/>
              </w:rPr>
            </w:pPr>
          </w:p>
        </w:tc>
      </w:tr>
      <w:tr>
        <w:trPr>
          <w:trHeight w:val="209"/>
        </w:trPr>
        <w:tc>
          <w:tcPr>
            <w:tcW w:w="2320" w:type="dxa"/>
            <w:vAlign w:val="bottom"/>
          </w:tcPr>
          <w:p>
            <w:pPr>
              <w:spacing w:after="0"/>
              <w:rPr>
                <w:sz w:val="20"/>
                <w:szCs w:val="20"/>
                <w:color w:val="auto"/>
              </w:rPr>
            </w:pPr>
            <w:r>
              <w:rPr>
                <w:rFonts w:ascii="Arial" w:cs="Arial" w:eastAsia="Arial" w:hAnsi="Arial"/>
                <w:sz w:val="18"/>
                <w:szCs w:val="18"/>
                <w:color w:val="auto"/>
              </w:rPr>
              <w:t>Total gross sales to third-</w:t>
            </w: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20"/>
              <w:spacing w:after="0"/>
              <w:rPr>
                <w:sz w:val="20"/>
                <w:szCs w:val="20"/>
                <w:color w:val="auto"/>
              </w:rPr>
            </w:pPr>
            <w:r>
              <w:rPr>
                <w:rFonts w:ascii="Arial" w:cs="Arial" w:eastAsia="Arial" w:hAnsi="Arial"/>
                <w:sz w:val="18"/>
                <w:szCs w:val="18"/>
                <w:color w:val="auto"/>
              </w:rPr>
              <w:t>parties</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162,105</w:t>
            </w:r>
          </w:p>
        </w:tc>
        <w:tc>
          <w:tcPr>
            <w:tcW w:w="8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86,636</w:t>
            </w: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32,171</w:t>
            </w:r>
          </w:p>
        </w:tc>
        <w:tc>
          <w:tcPr>
            <w:tcW w:w="700" w:type="dxa"/>
            <w:vAlign w:val="bottom"/>
          </w:tcPr>
          <w:p>
            <w:pPr>
              <w:jc w:val="right"/>
              <w:spacing w:after="0"/>
              <w:rPr>
                <w:sz w:val="20"/>
                <w:szCs w:val="20"/>
                <w:color w:val="auto"/>
              </w:rPr>
            </w:pPr>
            <w:r>
              <w:rPr>
                <w:rFonts w:ascii="Arial" w:cs="Arial" w:eastAsia="Arial" w:hAnsi="Arial"/>
                <w:sz w:val="18"/>
                <w:szCs w:val="18"/>
                <w:color w:val="auto"/>
              </w:rPr>
              <w:t>280,912</w:t>
            </w:r>
          </w:p>
        </w:tc>
        <w:tc>
          <w:tcPr>
            <w:tcW w:w="4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149,792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69,335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34,000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253,127</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Less sales incentives</w:t>
            </w: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(6,515)</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(6,694)</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(5,958)</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(6,366)</w:t>
            </w:r>
          </w:p>
        </w:tc>
        <w:tc>
          <w:tcPr>
            <w:tcW w:w="0" w:type="dxa"/>
            <w:vAlign w:val="bottom"/>
          </w:tcPr>
          <w:p>
            <w:pPr>
              <w:spacing w:after="0"/>
              <w:rPr>
                <w:sz w:val="1"/>
                <w:szCs w:val="1"/>
                <w:color w:val="auto"/>
              </w:rPr>
            </w:pPr>
          </w:p>
        </w:tc>
      </w:tr>
      <w:tr>
        <w:trPr>
          <w:trHeight w:val="223"/>
        </w:trPr>
        <w:tc>
          <w:tcPr>
            <w:tcW w:w="2320" w:type="dxa"/>
            <w:vAlign w:val="bottom"/>
          </w:tcPr>
          <w:p>
            <w:pPr>
              <w:spacing w:after="0"/>
              <w:rPr>
                <w:sz w:val="20"/>
                <w:szCs w:val="20"/>
                <w:color w:val="auto"/>
              </w:rPr>
            </w:pPr>
            <w:r>
              <w:rPr>
                <w:rFonts w:ascii="Arial" w:cs="Arial" w:eastAsia="Arial" w:hAnsi="Arial"/>
                <w:sz w:val="18"/>
                <w:szCs w:val="18"/>
                <w:color w:val="auto"/>
                <w:w w:val="96"/>
              </w:rPr>
              <w:t>Total net sales to third-parties</w:t>
            </w:r>
          </w:p>
        </w:tc>
        <w:tc>
          <w:tcPr>
            <w:tcW w:w="1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161,974</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86,588</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25,656</w:t>
            </w:r>
          </w:p>
        </w:tc>
        <w:tc>
          <w:tcPr>
            <w:tcW w:w="4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274,218</w:t>
            </w:r>
          </w:p>
        </w:tc>
        <w:tc>
          <w:tcPr>
            <w:tcW w:w="4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149,635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69,084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28,042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Intercompany sales</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1,512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7,835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7,093</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16,440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4,318</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10,581</w:t>
            </w:r>
          </w:p>
        </w:tc>
        <w:tc>
          <w:tcPr>
            <w:tcW w:w="0" w:type="dxa"/>
            <w:vAlign w:val="bottom"/>
          </w:tcPr>
          <w:p>
            <w:pPr>
              <w:spacing w:after="0"/>
              <w:rPr>
                <w:sz w:val="1"/>
                <w:szCs w:val="1"/>
                <w:color w:val="auto"/>
              </w:rPr>
            </w:pPr>
          </w:p>
        </w:tc>
      </w:tr>
      <w:tr>
        <w:trPr>
          <w:trHeight w:val="223"/>
        </w:trPr>
        <w:tc>
          <w:tcPr>
            <w:tcW w:w="2320" w:type="dxa"/>
            <w:vAlign w:val="bottom"/>
          </w:tcPr>
          <w:p>
            <w:pPr>
              <w:spacing w:after="0"/>
              <w:rPr>
                <w:sz w:val="20"/>
                <w:szCs w:val="20"/>
                <w:color w:val="auto"/>
              </w:rPr>
            </w:pPr>
            <w:r>
              <w:rPr>
                <w:rFonts w:ascii="Arial" w:cs="Arial" w:eastAsia="Arial" w:hAnsi="Arial"/>
                <w:sz w:val="18"/>
                <w:szCs w:val="18"/>
                <w:color w:val="auto"/>
              </w:rPr>
              <w:t>Net sales</w:t>
            </w: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$ 163,486</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94,423</w:t>
            </w: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$ 32,749</w:t>
            </w:r>
          </w:p>
        </w:tc>
        <w:tc>
          <w:tcPr>
            <w:tcW w:w="4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290,658</w:t>
            </w:r>
          </w:p>
        </w:tc>
        <w:tc>
          <w:tcPr>
            <w:tcW w:w="4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$ 149,635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75,347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$ 32,360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Intercompany sales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eliminations</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(16,440)</w:t>
            </w: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(10,581)</w:t>
            </w:r>
          </w:p>
        </w:tc>
        <w:tc>
          <w:tcPr>
            <w:tcW w:w="0" w:type="dxa"/>
            <w:vAlign w:val="bottom"/>
          </w:tcPr>
          <w:p>
            <w:pPr>
              <w:spacing w:after="0"/>
              <w:rPr>
                <w:sz w:val="1"/>
                <w:szCs w:val="1"/>
                <w:color w:val="auto"/>
              </w:rPr>
            </w:pPr>
          </w:p>
        </w:tc>
      </w:tr>
      <w:tr>
        <w:trPr>
          <w:trHeight w:val="223"/>
        </w:trPr>
        <w:tc>
          <w:tcPr>
            <w:tcW w:w="2320" w:type="dxa"/>
            <w:vAlign w:val="bottom"/>
          </w:tcPr>
          <w:p>
            <w:pPr>
              <w:spacing w:after="0"/>
              <w:rPr>
                <w:sz w:val="20"/>
                <w:szCs w:val="20"/>
                <w:color w:val="auto"/>
              </w:rPr>
            </w:pPr>
            <w:r>
              <w:rPr>
                <w:rFonts w:ascii="Arial" w:cs="Arial" w:eastAsia="Arial" w:hAnsi="Arial"/>
                <w:sz w:val="18"/>
                <w:szCs w:val="18"/>
                <w:color w:val="auto"/>
              </w:rPr>
              <w:t>Consolidated net sales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$ 274,218</w:t>
            </w: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$ 246,761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225"/>
        <w:spacing w:after="0" w:line="277" w:lineRule="auto"/>
        <w:rPr>
          <w:sz w:val="20"/>
          <w:szCs w:val="20"/>
          <w:color w:val="auto"/>
        </w:rPr>
      </w:pPr>
      <w:r>
        <w:rPr>
          <w:rFonts w:ascii="Arial" w:cs="Arial" w:eastAsia="Arial" w:hAnsi="Arial"/>
          <w:sz w:val="18"/>
          <w:szCs w:val="18"/>
          <w:color w:val="auto"/>
        </w:rPr>
        <w:t>Net sales to third parties by segment exclude value-added services billed by our Uruapan packinghouse, Uruapan processing plant and Mexicali processing plant to the parent company. All intercompany sales are eliminated in our consolidated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Avocados</w:t>
      </w:r>
    </w:p>
    <w:p>
      <w:pPr>
        <w:spacing w:after="0" w:line="117"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Net sales delivered by the business decreased by approximately $49.9 million, or 30.8%, from fiscal 2004 to 2005. The decrease in sales primarily reflects a 31.3% decrease in pounds of avocados sold, partially offset by an increase in our average selling prices when compared to the same prior period. This decrease in pounds sold is consistent with the expected decrease in the overall harvest of the California avocado crop for the 2004/2005 season. Our market share of California avocados remained consistent at 34.4% for the year ended October 31, 2005, compared to 34.7% for the same period in the prior year. Based on estimates generated from the California Avocado Commission, we expect the California avocado crop for the 2005/2006 season to be substantially larger than the 2004/2005 crop.</w:t>
      </w:r>
    </w:p>
    <w:p>
      <w:pPr>
        <w:spacing w:after="0" w:line="85"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For fiscal year 2005, average selling prices, on a per carton basis, for California avocados were 6.7% higher when compared to the same prior year period. This pricing structure primarily reflects the impact of a smaller California avocado harvest, partially offset by an increase in foreign-sourced fruit in the U.S. marketplace. For fiscal year 2006, we believe that the anticipated increase of avocados in the U.S. marketplace, primarily related to an expected larger California avocado crop discussed above, will put increasing pressure on sales prices.</w:t>
      </w:r>
    </w:p>
    <w:p>
      <w:pPr>
        <w:spacing w:after="0" w:line="79"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Net sales delivered by the business increased by approximately $12.3 million, or 8.2%, from fiscal 2003 to 2004. This increase in sales reflects a 24.2% increase in pounds of avocados sold, partially offset by a decrease in our average selling prices when compared to the same prior year period. This increase in pounds sold was consistent with the increase in the overall harvest of the California</w:t>
      </w:r>
    </w:p>
    <w:p>
      <w:pPr>
        <w:sectPr>
          <w:pgSz w:w="11900" w:h="16838" w:orient="portrait"/>
          <w:cols w:equalWidth="0" w:num="1">
            <w:col w:w="11420"/>
          </w:cols>
          <w:pgMar w:left="240" w:top="419" w:right="239" w:bottom="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19" w:right="239" w:bottom="0" w:gutter="0" w:footer="0" w:header="0"/>
          <w:type w:val="continuous"/>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avocado crop for the 2003/2004 season. Our market share of California avocados remained consistent at 34.7% for fiscal year 2004, compared to 34.2% for the same period in the prior year.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fiscal year 2004, average selling prices, on a per carton basis, for California avocados were 18.0% lower when compared to the same prior year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pricing structure primarily reflects the impact of a larger California avocado harvest.</w:t>
      </w:r>
    </w:p>
    <w:p>
      <w:pPr>
        <w:spacing w:after="0" w:line="10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October 2002, the USDA announced the creation of a Hass Avocado Board to promote the sale of Hass variety avocados in the U.S. marketplace. This board provides a basis for a unified funding of promotional activities based on an assessment on all avocados sold in the U.S. marketplace, including imported and California grown fruit. The California Avocado Commission, which receives its funding from California avocado growers, has historically shouldered the promotional and advertising costs supporting avocado sales. We believe that the incremental funding of promotional and advertising programs in the U.S. will, in the long term, positively impact average selling prices and will favorably impact our California avocado and international avocado businesses. During fiscal 2005, 2004 and 2003, we remitted approximately $2.4 million, $3.3 million and $2.4 million to the Hass Avocado Board representing our share of such marketing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and Perishable Food Products</w:t>
      </w:r>
    </w:p>
    <w:p>
      <w:pPr>
        <w:spacing w:after="0" w:line="117"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For fiscal year 2005, when compared to the same period in the prior year, sales to third-party customers increased by approximately $31.6 million, or 36.5%, from $86.6 million to $118.2 million. The increased sales to third-parties by our international and perishable food products business were primarily driven by the additional sales related to Mexican and Chilean grown avocados in the U.S., Japanese, and/or European marketplace. These increases, however, were partially offset by decreased sales of Dominican Republic grown avocados. While we believe that sales of Mexican grown avocados will continue to show a growing trend, we do not expect a trend as strong as we experienced in fiscal 2005, which was primarily related to the aforementioned USDA rule allowing Hass avocado imports from Mexico into 50 states year round (subject to certain restrictions—see comment above). We intend to leverage our position as the largest packer of Mexican grown avocados for export markets to improve the overall performance of this business.</w:t>
      </w:r>
    </w:p>
    <w:p>
      <w:pPr>
        <w:spacing w:after="0" w:line="59" w:lineRule="exact"/>
        <w:rPr>
          <w:sz w:val="20"/>
          <w:szCs w:val="20"/>
          <w:color w:val="auto"/>
        </w:rPr>
      </w:pPr>
    </w:p>
    <w:p>
      <w:pPr>
        <w:ind w:right="260" w:firstLine="225"/>
        <w:spacing w:after="0" w:line="276" w:lineRule="auto"/>
        <w:rPr>
          <w:sz w:val="20"/>
          <w:szCs w:val="20"/>
          <w:color w:val="auto"/>
        </w:rPr>
      </w:pPr>
      <w:r>
        <w:rPr>
          <w:rFonts w:ascii="Arial" w:cs="Arial" w:eastAsia="Arial" w:hAnsi="Arial"/>
          <w:sz w:val="17"/>
          <w:szCs w:val="17"/>
          <w:color w:val="auto"/>
        </w:rPr>
        <w:t>Sales of Mexican and Chilean sourced fruit increased $24.7 million and $6.1 million for fiscal year 2005, when compared to the same prior year period, primarily as a result of a 62.8% and 65.7% increase in pounds of Mexican and Chilean fruit handled. Such increases, however, were partially offset by decreases in Dominican Republic fruit sales. For fiscal year 2005, sales of Dominican Republic sourced fruit decreased $4.3 million when compared to the same prior period. This was primarily the result of a 52.4% decrease in the volume of Dominican Republic fruit handled, when compared to the same prior year period. Pricing during fiscal year 2005 was stable when compared to fiscal 2004.</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For fiscal year 2004, when compared to the same period in the prior year, sales to third-party customers increased by approximately $17.5 million, or</w:t>
      </w:r>
    </w:p>
    <w:p>
      <w:pPr>
        <w:spacing w:after="0" w:line="3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25.3%, from $69.1 million to $86.6 million. The increased sales to third-parties by our international and perishable food products business were primarily driven by the additional sales related to the acquisition of Maui in November 2003, as well as increased sales of Mexican and Dominican Republic grown avocados in the U.S., Japanese, and/or European marketplace. These increases, however, were partially offset by decreased sales of Chilean grown avocados.</w:t>
      </w:r>
    </w:p>
    <w:p>
      <w:pPr>
        <w:spacing w:after="0" w:line="47" w:lineRule="exact"/>
        <w:rPr>
          <w:sz w:val="20"/>
          <w:szCs w:val="20"/>
          <w:color w:val="auto"/>
        </w:rPr>
      </w:pPr>
    </w:p>
    <w:p>
      <w:pPr>
        <w:ind w:right="160" w:firstLine="225"/>
        <w:spacing w:after="0" w:line="293" w:lineRule="auto"/>
        <w:rPr>
          <w:sz w:val="20"/>
          <w:szCs w:val="20"/>
          <w:color w:val="auto"/>
        </w:rPr>
      </w:pPr>
      <w:r>
        <w:rPr>
          <w:rFonts w:ascii="Arial" w:cs="Arial" w:eastAsia="Arial" w:hAnsi="Arial"/>
          <w:sz w:val="16"/>
          <w:szCs w:val="16"/>
          <w:color w:val="auto"/>
        </w:rPr>
        <w:t>For fiscal year 2004, the additional sales related to the acquisition of Maui totaled approximately $19.8 million (approximately $1.5 million of such sales were related to California avocados). Also, sales of Mexican and Dominican Republic sourced fruit increased $4.1 million and $6.9 million for fiscal year 2004, when compared to the same prior year period, primarily as a result of a 9.8% and 100% increase in pounds of Mexican and Dominican Republic fruit handled. Such increases, however, were partially offset by decreases in Chilean fruit sales. For fiscal year 2004, sales of Chilean sourced fruit decreased $12.3 million when compared to the same prior period. This was primarily the result of a 42.1% decrease in the volume of Chilean fruit handled, when compared to the same prior year period. Pricing during fiscal year 2004 was fairly stable as well, when compared to fiscal 2003.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Processed Products</w:t>
      </w:r>
    </w:p>
    <w:p>
      <w:pPr>
        <w:spacing w:after="0" w:line="117" w:lineRule="exact"/>
        <w:rPr>
          <w:sz w:val="20"/>
          <w:szCs w:val="20"/>
          <w:color w:val="auto"/>
        </w:rPr>
      </w:pPr>
    </w:p>
    <w:p>
      <w:pPr>
        <w:ind w:right="180" w:firstLine="225"/>
        <w:spacing w:after="0" w:line="273" w:lineRule="auto"/>
        <w:rPr>
          <w:sz w:val="20"/>
          <w:szCs w:val="20"/>
          <w:color w:val="auto"/>
        </w:rPr>
      </w:pPr>
      <w:r>
        <w:rPr>
          <w:rFonts w:ascii="Arial" w:cs="Arial" w:eastAsia="Arial" w:hAnsi="Arial"/>
          <w:sz w:val="17"/>
          <w:szCs w:val="17"/>
          <w:color w:val="auto"/>
        </w:rPr>
        <w:t>Net sales to third-party customers increased by approximately $2.9 million, or 11.2%, from $25.7 million for fiscal year 2004 to $28.5 million for fiscal year 2005. The increase in net sales to third-party customers is primarily attributable to an increase of 2.3 million pounds of product sold, or 17.4%, net of a decrease in sales incentives and promotions paid, totaling $0.07 per pound of product sold, or 14.3%. Such increase, however, was partially offset by a decrease in the sales price per product pound sold of $0.09, or 4.7%. During fiscal year 2005, the increase in pounds sold primarily relates to an increase in the sale of our high-pressure guacamole product, which increased 56.2% when compared to the same prior year period. The decrease in our average selling price and sales incentives and promotional activities paid primarily relates to a change in our product mix.</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Net sales to third-party customers decreased by approximately $2.3 million, or 8.5%, from $28.0 million for fiscal year 2003 to $25.7 million for fiscal year 2004. The decrease in net sales to third-party customers is primarily attributable to a decrease in 1.4 million pounds of product sold, or 9.5%, and an increase in sales incentives and promotional activities paid of $0.6 million, or 8.5%, partially offset by an increase in the sales price per product pound sold of $0.09, or 3.9%. During fiscal year 2004, the decrease in pounds sold primarily relates to a lack of inventory to meet customer demand. Such lack of inventory was primarily related to reduced production capabilities during construction of our new processed facility. As a result, and, in order to maintain good customer relationships, we increased our sales incentives and promotional activities paid.</w:t>
      </w:r>
    </w:p>
    <w:p>
      <w:pPr>
        <w:spacing w:after="0" w:line="70"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During fiscal year 2005, we operated one high-pressure line designed to manufacture processed avocado products that are not frozen (guacamole) in Uruapan. This machine ran at about 60% capacity (with one shift) through October 2005. We anticipate that we will operate such high-pressure machine at a higher capacity during fiscal year 2006. We presently own another, much smaller, high-pressure machine, located in Uruapan, that is currently not in use. We are considering various alternatives with such machine, including trading such machine in for credit towards another high-pressure machine with similar capacity as our high-pressure machine that is currently in use in Uruapan. Utilizing avocado pulp and chunks, these high-pressure machines allow us to deliver fresh guacamole to retail and food service customers. Sales of our high-pressure product totaled approximately $8.7 million and $5.5 million for fiscal years 2005 and 2004.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our gross margins and gross profit percentages by business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700" w:type="dxa"/>
            <w:vAlign w:val="bottom"/>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720" w:type="dxa"/>
            <w:vAlign w:val="bottom"/>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4"/>
                <w:szCs w:val="14"/>
                <w:color w:val="auto"/>
              </w:rPr>
            </w:pPr>
          </w:p>
        </w:tc>
      </w:tr>
      <w:tr>
        <w:trPr>
          <w:trHeight w:val="142"/>
        </w:trPr>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gridSpan w:val="4"/>
          </w:tcPr>
          <w:p>
            <w:pPr>
              <w:jc w:val="center"/>
              <w:ind w:right="2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Gross Margins: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California avocados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w w:val="94"/>
              </w:rPr>
              <w:t>10,502</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(38.6)%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4"/>
              </w:rPr>
              <w:t>17,102</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15.0%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14,873</w:t>
            </w: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avocados and perishable food products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6,569</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4,958</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5,457</w:t>
            </w: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Processed products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4,663</w:t>
            </w:r>
          </w:p>
        </w:tc>
        <w:tc>
          <w:tcPr>
            <w:tcW w:w="7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39.4%</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3,344</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(33.3)%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5,017</w:t>
            </w:r>
          </w:p>
        </w:tc>
      </w:tr>
      <w:tr>
        <w:trPr>
          <w:trHeight w:val="27"/>
        </w:trPr>
        <w:tc>
          <w:tcPr>
            <w:tcW w:w="4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gross margins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21,734</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25,404</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25,347</w:t>
            </w:r>
          </w:p>
        </w:tc>
      </w:tr>
      <w:tr>
        <w:trPr>
          <w:trHeight w:val="20"/>
        </w:trPr>
        <w:tc>
          <w:tcPr>
            <w:tcW w:w="4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Gross profit percentages:</w:t>
            </w:r>
          </w:p>
        </w:tc>
        <w:tc>
          <w:tcPr>
            <w:tcW w:w="23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California avocados</w:t>
            </w:r>
          </w:p>
        </w:tc>
        <w:tc>
          <w:tcPr>
            <w:tcW w:w="2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9.4%</w:t>
            </w:r>
          </w:p>
        </w:tc>
        <w:tc>
          <w:tcPr>
            <w:tcW w:w="284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10.6%</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International avocados and perishable food products</w:t>
            </w:r>
          </w:p>
        </w:tc>
        <w:tc>
          <w:tcPr>
            <w:tcW w:w="2300" w:type="dxa"/>
            <w:vAlign w:val="bottom"/>
          </w:tcPr>
          <w:p>
            <w:pPr>
              <w:jc w:val="right"/>
              <w:ind w:right="1090"/>
              <w:spacing w:after="0"/>
              <w:rPr>
                <w:sz w:val="20"/>
                <w:szCs w:val="20"/>
                <w:color w:val="auto"/>
              </w:rPr>
            </w:pPr>
            <w:r>
              <w:rPr>
                <w:rFonts w:ascii="Arial" w:cs="Arial" w:eastAsia="Arial" w:hAnsi="Arial"/>
                <w:sz w:val="18"/>
                <w:szCs w:val="18"/>
                <w:color w:val="auto"/>
              </w:rPr>
              <w:t>5.6%</w:t>
            </w:r>
          </w:p>
        </w:tc>
        <w:tc>
          <w:tcPr>
            <w:tcW w:w="2840" w:type="dxa"/>
            <w:vAlign w:val="bottom"/>
          </w:tcPr>
          <w:p>
            <w:pPr>
              <w:jc w:val="right"/>
              <w:ind w:right="1090"/>
              <w:spacing w:after="0"/>
              <w:rPr>
                <w:sz w:val="20"/>
                <w:szCs w:val="20"/>
                <w:color w:val="auto"/>
              </w:rPr>
            </w:pPr>
            <w:r>
              <w:rPr>
                <w:rFonts w:ascii="Arial" w:cs="Arial" w:eastAsia="Arial" w:hAnsi="Arial"/>
                <w:sz w:val="18"/>
                <w:szCs w:val="18"/>
                <w:color w:val="auto"/>
              </w:rPr>
              <w:t>5.7%</w:t>
            </w:r>
          </w:p>
        </w:tc>
        <w:tc>
          <w:tcPr>
            <w:tcW w:w="16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Processed products</w:t>
            </w:r>
          </w:p>
        </w:tc>
        <w:tc>
          <w:tcPr>
            <w:tcW w:w="2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16.3%</w:t>
            </w:r>
          </w:p>
        </w:tc>
        <w:tc>
          <w:tcPr>
            <w:tcW w:w="284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13.0%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30"/>
        </w:trPr>
        <w:tc>
          <w:tcPr>
            <w:tcW w:w="462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2300" w:type="dxa"/>
            <w:vAlign w:val="bottom"/>
          </w:tcPr>
          <w:p>
            <w:pPr>
              <w:jc w:val="right"/>
              <w:ind w:right="1090"/>
              <w:spacing w:after="0"/>
              <w:rPr>
                <w:sz w:val="20"/>
                <w:szCs w:val="20"/>
                <w:color w:val="auto"/>
              </w:rPr>
            </w:pPr>
            <w:r>
              <w:rPr>
                <w:rFonts w:ascii="Arial" w:cs="Arial" w:eastAsia="Arial" w:hAnsi="Arial"/>
                <w:sz w:val="18"/>
                <w:szCs w:val="18"/>
                <w:color w:val="auto"/>
              </w:rPr>
              <w:t>8.4%</w:t>
            </w:r>
          </w:p>
        </w:tc>
        <w:tc>
          <w:tcPr>
            <w:tcW w:w="2840" w:type="dxa"/>
            <w:vAlign w:val="bottom"/>
          </w:tcPr>
          <w:p>
            <w:pPr>
              <w:jc w:val="right"/>
              <w:ind w:right="1090"/>
              <w:spacing w:after="0"/>
              <w:rPr>
                <w:sz w:val="20"/>
                <w:szCs w:val="20"/>
                <w:color w:val="auto"/>
              </w:rPr>
            </w:pPr>
            <w:r>
              <w:rPr>
                <w:rFonts w:ascii="Arial" w:cs="Arial" w:eastAsia="Arial" w:hAnsi="Arial"/>
                <w:sz w:val="18"/>
                <w:szCs w:val="18"/>
                <w:color w:val="auto"/>
              </w:rPr>
              <w:t>9.3%</w:t>
            </w:r>
          </w:p>
        </w:tc>
        <w:tc>
          <w:tcPr>
            <w:tcW w:w="1660" w:type="dxa"/>
            <w:vAlign w:val="bottom"/>
          </w:tcPr>
          <w:p>
            <w:pPr>
              <w:jc w:val="right"/>
              <w:spacing w:after="0"/>
              <w:rPr>
                <w:sz w:val="20"/>
                <w:szCs w:val="20"/>
                <w:color w:val="auto"/>
              </w:rPr>
            </w:pPr>
            <w:r>
              <w:rPr>
                <w:rFonts w:ascii="Arial" w:cs="Arial" w:eastAsia="Arial" w:hAnsi="Arial"/>
                <w:sz w:val="18"/>
                <w:szCs w:val="18"/>
                <w:color w:val="auto"/>
              </w:rPr>
              <w:t>10.3%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17" w:lineRule="exact"/>
        <w:rPr>
          <w:sz w:val="20"/>
          <w:szCs w:val="20"/>
          <w:color w:val="auto"/>
        </w:rPr>
      </w:pPr>
    </w:p>
    <w:p>
      <w:pPr>
        <w:ind w:right="300" w:firstLine="225"/>
        <w:spacing w:after="0" w:line="291" w:lineRule="auto"/>
        <w:rPr>
          <w:sz w:val="20"/>
          <w:szCs w:val="20"/>
          <w:color w:val="auto"/>
        </w:rPr>
      </w:pPr>
      <w:r>
        <w:rPr>
          <w:rFonts w:ascii="Arial" w:cs="Arial" w:eastAsia="Arial" w:hAnsi="Arial"/>
          <w:sz w:val="16"/>
          <w:szCs w:val="16"/>
          <w:color w:val="auto"/>
        </w:rPr>
        <w:t>Our cost of goods sold consists predominantly of fruit costs, packing materials, freight and handling, labor and overhead (including depreciation) associated with preparing food products, and other direct expenses pertaining to products sold. Consolidated gross margin, as a percent of sales, decreased</w:t>
      </w:r>
    </w:p>
    <w:p>
      <w:pPr>
        <w:ind w:right="120"/>
        <w:spacing w:after="0" w:line="271" w:lineRule="auto"/>
        <w:rPr>
          <w:sz w:val="20"/>
          <w:szCs w:val="20"/>
          <w:color w:val="auto"/>
        </w:rPr>
      </w:pPr>
      <w:r>
        <w:rPr>
          <w:rFonts w:ascii="Arial" w:cs="Arial" w:eastAsia="Arial" w:hAnsi="Arial"/>
          <w:sz w:val="17"/>
          <w:szCs w:val="17"/>
          <w:color w:val="auto"/>
        </w:rPr>
        <w:t>0.9% for fiscal year 2005 when compared to fiscal year 2004. This decrease was principally attributable to decreased profitability in our California avocado segment, partially offset by increased profitability in our international avocados and perishable food products and our processed product operating segments. Consolidated gross margin, as a percent of sales, decreased 1.0% for fiscal year 2004 when compared to fiscal year 2003. This decrease was principally attributable to decreased profitability in our international avocados and perishable food products operating segment and our processed product segment, partially offset by increased profitability in our California avocado segment.</w:t>
      </w:r>
    </w:p>
    <w:p>
      <w:pPr>
        <w:spacing w:after="0" w:line="71"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Gross margins and gross profit percentages for our California avocado business are largely dependent on production yields achieved at our packinghouses, current market prices of avocados, and the volume of avocados packed. The decrease in our gross margin percentage during fiscal year 2005 was primarily related to a significant decrease in pounds of fruit sold. During fiscal year 2005, when compared to fiscal year 2004, we experienced a 31.3% decrease in pounds of avocados sold. This had the effect of increasing our per pound costs, which, as a result, negatively impacted gross margins. Such higher per pound cost was partially offset, however, by an increase in our packing and marketing fee (which is charged to cover our costs and a profit).</w:t>
      </w:r>
    </w:p>
    <w:p>
      <w:pPr>
        <w:spacing w:after="0" w:line="50" w:lineRule="exact"/>
        <w:rPr>
          <w:sz w:val="20"/>
          <w:szCs w:val="20"/>
          <w:color w:val="auto"/>
        </w:rPr>
      </w:pPr>
    </w:p>
    <w:p>
      <w:pPr>
        <w:jc w:val="both"/>
        <w:ind w:right="20" w:firstLine="222"/>
        <w:spacing w:after="0" w:line="264" w:lineRule="auto"/>
        <w:rPr>
          <w:sz w:val="20"/>
          <w:szCs w:val="20"/>
          <w:color w:val="auto"/>
        </w:rPr>
      </w:pPr>
      <w:r>
        <w:rPr>
          <w:rFonts w:ascii="Arial" w:cs="Arial" w:eastAsia="Arial" w:hAnsi="Arial"/>
          <w:sz w:val="18"/>
          <w:szCs w:val="18"/>
          <w:color w:val="auto"/>
        </w:rPr>
        <w:t>The increase in our gross margin percentage during fiscal year 2004 was primarily related to a significant increase in pounds of fruit handled. During fiscal year 2004, when compared to fiscal year 2003, fruit handled by our California packinghouses increased approximately 31.4%. This had the effect of reducing our per pound costs, which, as a result, positively impacted gross margins.</w:t>
      </w:r>
    </w:p>
    <w:p>
      <w:pPr>
        <w:spacing w:after="0" w:line="73"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During fiscal 2005, freight and handling costs decreased by approximately $1.9 million, from $5.0 million in fiscal 2004 to $3.1 million during fiscal 2005, primarily related to volume fluctuations. During fiscal 2004, freight and handling costs increased by approximately $1.5 million, from $3.5 million in fiscal 2003 to $5.0 million during fiscal 2004. We continue to review our packinghouse processes for potential improvements in packing efficiencies and more favorable production yields.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222"/>
        <w:spacing w:after="0" w:line="286" w:lineRule="auto"/>
        <w:rPr>
          <w:sz w:val="20"/>
          <w:szCs w:val="20"/>
          <w:color w:val="auto"/>
        </w:rPr>
      </w:pPr>
      <w:r>
        <w:rPr>
          <w:rFonts w:ascii="Arial" w:cs="Arial" w:eastAsia="Arial" w:hAnsi="Arial"/>
          <w:sz w:val="16"/>
          <w:szCs w:val="16"/>
          <w:color w:val="auto"/>
        </w:rPr>
        <w:t>The gross margin and gross profit percentage for our international avocado and perishable food products business are dependent on the volume of fruit we handle and the competitiveness of the returns that we provide to third-party domestic packers. For example, the gross margins we earn on avocados procured from Chile and the Dominican Republic, as well as papayas grown in Hawaii, are generally based on a commission agreed to with each packer that is subject to incentive provisions. These provisions provide for us to deliver returns to these packers that are competitive with those delivered by other handlers.</w:t>
      </w:r>
    </w:p>
    <w:p>
      <w:pPr>
        <w:spacing w:after="0" w:line="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Accordingly, the gross margin results for this business are a function of the volume handled and the competitiveness of the sales prices that we realize as compared to others. Although we generally do not take legal title to such avocados and perishable products, we do assume responsibilities (principally assuming credit risk, inventory loss and delivery risk, and limited pricing risk) that are consistent with acting as a principal in the transaction. Accordingly, our results of operations include sales and cost of sales from the sale of avocados and perishable products procured under consignment arrangements. For fiscal year 2005, we generated gross margins of $1.4 million from the sale of fresh produce products that were packed by third parties, whereas gross margins for fiscal year 2004 were $1.5 million. For fiscal year 2004, we generated gross margins of $1.5 million from the sale of fresh produce products that were packed by third parties, whereas gross margins for fiscal year 2003 were $2.3 million.</w:t>
      </w:r>
    </w:p>
    <w:p>
      <w:pPr>
        <w:spacing w:after="0" w:line="73"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Our business with Mexican growers differs in that we operate a packinghouse in Mexico and purchase avocados directly from the field. Consequently, the gross margin and gross profit percentages generated by our Mexican operations are significantly impacted by the volume of avocados handled by our packinghouse and the cost of the fruit. During fiscal year 2005, our gross margins generated from the sale of Mexican avocados increased from approximately $1.5 million in fiscal year 2004 to $3.8 million in fiscal year 2005. We did not experience a significant fluctuation in our gross margin percentage for fiscal 2005 as compared to fiscal 2004 related to our Mexican operations. During fiscal year 2004, our gross margins, and related gross margin percentages, generated from the sale of Mexican avocados deteriorated from approximately $2.2 million in fiscal year 2003 to $1.5 million in fiscal year 2004, principally as a result of an increase in fruit costs. This increase in fruit costs had the effect of increasing our per pound costs, which, as a result, adversely affected gross margins. Further, we experienced an increase in sales of non-exported fruit, which typically generate lower margins then exported fruit. These decreases, however, were partially offset by increases in fruit volume during fiscal year 2004, which had the effect of reducing our per pound costs.</w:t>
      </w:r>
    </w:p>
    <w:p>
      <w:pPr>
        <w:spacing w:after="0" w:line="59"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color w:val="auto"/>
        </w:rPr>
        <w:t>Gross margins and gross profit percentages for our processed products business are largely dependent on the pricing of our final product and the cost of avocados used in preparing guacamole. During fiscal year 2005, the processed products gross profit percentages increased primarily as a result of efficiencies related to the relocation of production from Santa Paula, California and Mexicali, Mexico to our newly acquired facility in Uruapan, Mexico. Such efficiencies include the elimination of duplicative overhead, as well as lower production costs. Additionally, our processed product segment experienced lower fruit costs. Such improvements, however, were partially offset by an increase in the sale of products that generate a lower gross margin then those sold in the prior year. During fiscal year 2004, the processed products gross profit percentages decreased primarily as a result of inefficiencies experienced in the start-up process of our newly constructed facility in Uruapan, Mexico and the winding down of the operations at our Mexicali, Mexico facility. Such inefficiencies primarily relate to subcontracting costs and duplicative overhead costs. Additionally, our processed product segment experienced higher fruit costs, as well as an increase in the sale of products that generate a lower gross margin then those sold in the prior year. We anticipate that the gross profit percentage for our processed product segment will continue to experience fluctuations primarily due to the uncertainty of fruit costs that will be used in the production process.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2005</w:t>
            </w:r>
          </w:p>
        </w:tc>
        <w:tc>
          <w:tcPr>
            <w:tcW w:w="700" w:type="dxa"/>
            <w:vAlign w:val="bottom"/>
          </w:tcPr>
          <w:p>
            <w:pPr>
              <w:spacing w:after="0"/>
              <w:rPr>
                <w:sz w:val="14"/>
                <w:szCs w:val="14"/>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2004</w:t>
            </w:r>
          </w:p>
        </w:tc>
        <w:tc>
          <w:tcPr>
            <w:tcW w:w="720" w:type="dxa"/>
            <w:vAlign w:val="bottom"/>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4"/>
                <w:szCs w:val="14"/>
                <w:color w:val="auto"/>
              </w:rPr>
            </w:pPr>
          </w:p>
        </w:tc>
      </w:tr>
      <w:tr>
        <w:trPr>
          <w:trHeight w:val="128"/>
        </w:trPr>
        <w:tc>
          <w:tcPr>
            <w:tcW w:w="37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60" w:type="dxa"/>
            <w:vAlign w:val="bottom"/>
            <w:gridSpan w:val="3"/>
          </w:tcPr>
          <w:p>
            <w:pPr>
              <w:jc w:val="right"/>
              <w:ind w:right="380"/>
              <w:spacing w:after="0" w:line="128" w:lineRule="exact"/>
              <w:rPr>
                <w:sz w:val="20"/>
                <w:szCs w:val="20"/>
                <w:color w:val="auto"/>
              </w:rPr>
            </w:pPr>
            <w:r>
              <w:rPr>
                <w:rFonts w:ascii="Arial" w:cs="Arial" w:eastAsia="Arial" w:hAnsi="Arial"/>
                <w:sz w:val="14"/>
                <w:szCs w:val="14"/>
                <w:b w:val="1"/>
                <w:bCs w:val="1"/>
                <w:color w:val="auto"/>
                <w:w w:val="98"/>
              </w:rPr>
              <w:t>(Dollars in thousands)</w:t>
            </w: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640" w:type="dxa"/>
            <w:vAlign w:val="bottom"/>
            <w:gridSpan w:val="3"/>
          </w:tcPr>
          <w:p>
            <w:pPr>
              <w:jc w:val="right"/>
              <w:ind w:right="700"/>
              <w:spacing w:after="0"/>
              <w:rPr>
                <w:sz w:val="20"/>
                <w:szCs w:val="20"/>
                <w:color w:val="auto"/>
              </w:rPr>
            </w:pPr>
            <w:r>
              <w:rPr>
                <w:rFonts w:ascii="Arial" w:cs="Arial" w:eastAsia="Arial" w:hAnsi="Arial"/>
                <w:sz w:val="18"/>
                <w:szCs w:val="18"/>
                <w:color w:val="auto"/>
              </w:rPr>
              <w:t>$ 18,588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1860" w:type="dxa"/>
            <w:vAlign w:val="bottom"/>
            <w:gridSpan w:val="3"/>
          </w:tcPr>
          <w:p>
            <w:pPr>
              <w:jc w:val="right"/>
              <w:ind w:right="720"/>
              <w:spacing w:after="0"/>
              <w:rPr>
                <w:sz w:val="20"/>
                <w:szCs w:val="20"/>
                <w:color w:val="auto"/>
              </w:rPr>
            </w:pPr>
            <w:r>
              <w:rPr>
                <w:rFonts w:ascii="Arial" w:cs="Arial" w:eastAsia="Arial" w:hAnsi="Arial"/>
                <w:sz w:val="18"/>
                <w:szCs w:val="18"/>
                <w:color w:val="auto"/>
              </w:rPr>
              <w:t>$ 15,920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8.7%</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$ 14,651</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2640" w:type="dxa"/>
            <w:vAlign w:val="bottom"/>
            <w:gridSpan w:val="3"/>
          </w:tcPr>
          <w:p>
            <w:pPr>
              <w:jc w:val="right"/>
              <w:ind w:right="560"/>
              <w:spacing w:after="0"/>
              <w:rPr>
                <w:sz w:val="20"/>
                <w:szCs w:val="20"/>
                <w:color w:val="auto"/>
              </w:rPr>
            </w:pPr>
            <w:r>
              <w:rPr>
                <w:rFonts w:ascii="Arial" w:cs="Arial" w:eastAsia="Arial" w:hAnsi="Arial"/>
                <w:sz w:val="18"/>
                <w:szCs w:val="18"/>
                <w:color w:val="auto"/>
              </w:rPr>
              <w:t>7.2%</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3"/>
          </w:tcPr>
          <w:p>
            <w:pPr>
              <w:jc w:val="right"/>
              <w:ind w:right="580"/>
              <w:spacing w:after="0"/>
              <w:rPr>
                <w:sz w:val="20"/>
                <w:szCs w:val="20"/>
                <w:color w:val="auto"/>
              </w:rPr>
            </w:pPr>
            <w:r>
              <w:rPr>
                <w:rFonts w:ascii="Arial" w:cs="Arial" w:eastAsia="Arial" w:hAnsi="Arial"/>
                <w:sz w:val="18"/>
                <w:szCs w:val="18"/>
                <w:color w:val="auto"/>
              </w:rPr>
              <w:t>5.8%</w:t>
            </w: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Selling, general and administrative expenses include costs of marketing and advertising, sales expenses, and other general and administrative costs. For fiscal year 2005, selling, general and administrative expenses increased by $2.7 million, or 16.8%, compared to the same period for fiscal 2004. This increase was primarily related to higher corporate costs, including, but not limited to, costs related to implementing provisions required under section 404 of the Sarbanes-Oxley Act (totaling approximately $2.2 million), an increase in bad debt expense (totaling approximately $0.5 million), and corporate moving expenses (totaling approximately $0.4 million). Such higher corporate costs were partially offset by a decrease in employee compensation costs (totaling approximately $0.7 million).</w:t>
      </w:r>
    </w:p>
    <w:p>
      <w:pPr>
        <w:spacing w:after="0" w:line="85"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For fiscal year 2004, selling, general and administrative expenses increased by $1.3 million, or 8.7%, compared to fiscal year 2003. The increased general and administrative costs related principally to selling, general and administrative expenses incurred by Maui. Maui’s selling, general and administrative expenses totaled approximately $0.7 million for fiscal year 2004. Additionally, we also experienced higher costs of corporate functions, such as accounting, information systems, and human resources (totaling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approximately $0.8 million). These increased costs were partially offset by reduced employee compensation expenses of approximately $0.5 million, which was primarily related to a reduction in bonuses during fiscal year 2004 as compared to fiscal year 2003.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2005</w:t>
            </w:r>
          </w:p>
        </w:tc>
        <w:tc>
          <w:tcPr>
            <w:tcW w:w="720" w:type="dxa"/>
            <w:vAlign w:val="bottom"/>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720" w:type="dxa"/>
            <w:vAlign w:val="bottom"/>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4"/>
                <w:szCs w:val="14"/>
                <w:color w:val="auto"/>
              </w:rPr>
            </w:pPr>
          </w:p>
        </w:tc>
      </w:tr>
      <w:tr>
        <w:trPr>
          <w:trHeight w:val="128"/>
        </w:trPr>
        <w:tc>
          <w:tcPr>
            <w:tcW w:w="33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40" w:type="dxa"/>
            <w:vAlign w:val="bottom"/>
            <w:gridSpan w:val="4"/>
          </w:tcPr>
          <w:p>
            <w:pPr>
              <w:jc w:val="right"/>
              <w:ind w:right="340"/>
              <w:spacing w:after="0" w:line="128" w:lineRule="exact"/>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Other income, net</w:t>
            </w:r>
          </w:p>
        </w:tc>
        <w:tc>
          <w:tcPr>
            <w:tcW w:w="3060" w:type="dxa"/>
            <w:vAlign w:val="bottom"/>
            <w:gridSpan w:val="3"/>
          </w:tcPr>
          <w:p>
            <w:pPr>
              <w:jc w:val="right"/>
              <w:ind w:right="720"/>
              <w:spacing w:after="0"/>
              <w:rPr>
                <w:sz w:val="20"/>
                <w:szCs w:val="20"/>
                <w:color w:val="auto"/>
              </w:rPr>
            </w:pPr>
            <w:r>
              <w:rPr>
                <w:rFonts w:ascii="Arial" w:cs="Arial" w:eastAsia="Arial" w:hAnsi="Arial"/>
                <w:sz w:val="18"/>
                <w:szCs w:val="18"/>
                <w:color w:val="auto"/>
              </w:rPr>
              <w:t>$  2,357</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393.1%</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478</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(46.2)%</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889</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3060" w:type="dxa"/>
            <w:vAlign w:val="bottom"/>
            <w:gridSpan w:val="3"/>
          </w:tcPr>
          <w:p>
            <w:pPr>
              <w:jc w:val="right"/>
              <w:ind w:right="580"/>
              <w:spacing w:after="0"/>
              <w:rPr>
                <w:sz w:val="20"/>
                <w:szCs w:val="20"/>
                <w:color w:val="auto"/>
              </w:rPr>
            </w:pPr>
            <w:r>
              <w:rPr>
                <w:rFonts w:ascii="Arial" w:cs="Arial" w:eastAsia="Arial" w:hAnsi="Arial"/>
                <w:sz w:val="18"/>
                <w:szCs w:val="18"/>
                <w:color w:val="auto"/>
              </w:rPr>
              <w:t>0.9%</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0.2%</w:t>
            </w: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17"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Other income, net includes interest income and expense generated primarily in connection with our financing activities, as well as certain other transactions that are outside of the course of normal operations. During fiscal year 2005, other income, net includes the gain on the sale of our corporate facility totaling approximately $1.7 million. During fiscal years 2005, 2004 and 2003, other income, net includes interest accrued on notes receivable from directors and officers of approximately $0.2 million, $0.2 million and $0.3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2005</w:t>
            </w:r>
          </w:p>
        </w:tc>
        <w:tc>
          <w:tcPr>
            <w:tcW w:w="720" w:type="dxa"/>
            <w:vAlign w:val="bottom"/>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2004</w:t>
            </w:r>
          </w:p>
        </w:tc>
        <w:tc>
          <w:tcPr>
            <w:tcW w:w="720" w:type="dxa"/>
            <w:vAlign w:val="bottom"/>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4"/>
                <w:szCs w:val="14"/>
                <w:color w:val="auto"/>
              </w:rPr>
            </w:pPr>
          </w:p>
        </w:tc>
      </w:tr>
      <w:tr>
        <w:trPr>
          <w:trHeight w:val="128"/>
        </w:trPr>
        <w:tc>
          <w:tcPr>
            <w:tcW w:w="4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40" w:type="dxa"/>
            <w:vAlign w:val="bottom"/>
            <w:gridSpan w:val="3"/>
          </w:tcPr>
          <w:p>
            <w:pPr>
              <w:jc w:val="center"/>
              <w:ind w:right="280"/>
              <w:spacing w:after="0" w:line="128" w:lineRule="exact"/>
              <w:rPr>
                <w:sz w:val="20"/>
                <w:szCs w:val="20"/>
                <w:color w:val="auto"/>
              </w:rPr>
            </w:pPr>
            <w:r>
              <w:rPr>
                <w:rFonts w:ascii="Arial" w:cs="Arial" w:eastAsia="Arial" w:hAnsi="Arial"/>
                <w:sz w:val="14"/>
                <w:szCs w:val="14"/>
                <w:b w:val="1"/>
                <w:bCs w:val="1"/>
                <w:color w:val="auto"/>
                <w:w w:val="91"/>
              </w:rPr>
              <w:t>(Dollars in thousands)</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20" w:type="dxa"/>
            <w:vAlign w:val="bottom"/>
            <w:gridSpan w:val="3"/>
          </w:tcPr>
          <w:p>
            <w:pPr>
              <w:jc w:val="right"/>
              <w:ind w:right="720"/>
              <w:spacing w:after="0"/>
              <w:rPr>
                <w:sz w:val="20"/>
                <w:szCs w:val="20"/>
                <w:color w:val="auto"/>
              </w:rPr>
            </w:pPr>
            <w:r>
              <w:rPr>
                <w:rFonts w:ascii="Arial" w:cs="Arial" w:eastAsia="Arial" w:hAnsi="Arial"/>
                <w:sz w:val="18"/>
                <w:szCs w:val="18"/>
                <w:color w:val="auto"/>
              </w:rPr>
              <w:t>$  2,181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(38.9)%</w:t>
            </w:r>
          </w:p>
        </w:tc>
        <w:tc>
          <w:tcPr>
            <w:tcW w:w="1840" w:type="dxa"/>
            <w:vAlign w:val="bottom"/>
            <w:gridSpan w:val="3"/>
          </w:tcPr>
          <w:p>
            <w:pPr>
              <w:jc w:val="right"/>
              <w:ind w:right="720"/>
              <w:spacing w:after="0"/>
              <w:rPr>
                <w:sz w:val="20"/>
                <w:szCs w:val="20"/>
                <w:color w:val="auto"/>
              </w:rPr>
            </w:pPr>
            <w:r>
              <w:rPr>
                <w:rFonts w:ascii="Arial" w:cs="Arial" w:eastAsia="Arial" w:hAnsi="Arial"/>
                <w:sz w:val="18"/>
                <w:szCs w:val="18"/>
                <w:color w:val="auto"/>
              </w:rPr>
              <w:t>$  3,567</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(17.4)%</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  4,319</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Percentage of income before provision for income taxes</w:t>
            </w:r>
          </w:p>
        </w:tc>
        <w:tc>
          <w:tcPr>
            <w:tcW w:w="1820" w:type="dxa"/>
            <w:vAlign w:val="bottom"/>
            <w:gridSpan w:val="3"/>
          </w:tcPr>
          <w:p>
            <w:pPr>
              <w:jc w:val="right"/>
              <w:ind w:right="560"/>
              <w:spacing w:after="0"/>
              <w:rPr>
                <w:sz w:val="20"/>
                <w:szCs w:val="20"/>
                <w:color w:val="auto"/>
              </w:rPr>
            </w:pPr>
            <w:r>
              <w:rPr>
                <w:rFonts w:ascii="Arial" w:cs="Arial" w:eastAsia="Arial" w:hAnsi="Arial"/>
                <w:sz w:val="18"/>
                <w:szCs w:val="18"/>
                <w:color w:val="auto"/>
              </w:rPr>
              <w:t>39.6%</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36.5%</w:t>
            </w: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37.6%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17" w:lineRule="exact"/>
        <w:rPr>
          <w:sz w:val="20"/>
          <w:szCs w:val="20"/>
          <w:color w:val="auto"/>
        </w:rPr>
      </w:pPr>
    </w:p>
    <w:p>
      <w:pPr>
        <w:ind w:right="100" w:firstLine="222"/>
        <w:spacing w:after="0" w:line="279" w:lineRule="auto"/>
        <w:rPr>
          <w:sz w:val="20"/>
          <w:szCs w:val="20"/>
          <w:color w:val="auto"/>
        </w:rPr>
      </w:pPr>
      <w:r>
        <w:rPr>
          <w:rFonts w:ascii="Arial" w:cs="Arial" w:eastAsia="Arial" w:hAnsi="Arial"/>
          <w:sz w:val="17"/>
          <w:szCs w:val="17"/>
          <w:color w:val="auto"/>
        </w:rPr>
        <w:t>The effective income tax rate for fiscal year 2005 and 2004 is higher than the federal statutory rate principally due to state taxes. Our effective income tax rate increased from 36.5% in fiscal year 2004 to 39.6% in fiscal year 2005 primarily as a result of an unfavorable increase in our foreign tax rates during fiscal year 2005 when compared to fiscal year 2004. Our effective income tax rate decreased from 37.6% in fiscal year 2003 to 36.5% in fiscal year 2004 primarily as a result of a favorable reduction in our foreign tax rates during fiscal year 2004 when compared to fiscal year 2003.</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21"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following table presents our operating results for each of the eight fiscal quarters in the period ended October 31, 2005. The information for each of these quarters is derived from our unaudited interim financial statements and should be read in conjunction with our audited consolidated financial statements included in this Annual Report. In our opinion, all necessary adjustments, which consist only of normal and recurring accruals, have been included to fairly present our unaudited quarterly results.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w w:val="97"/>
              </w:rPr>
              <w:t>Oct. 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July 31,</w:t>
            </w:r>
          </w:p>
        </w:tc>
        <w:tc>
          <w:tcPr>
            <w:tcW w:w="100" w:type="dxa"/>
            <w:vAlign w:val="bottom"/>
          </w:tcPr>
          <w:p>
            <w:pPr>
              <w:spacing w:after="0"/>
              <w:rPr>
                <w:sz w:val="10"/>
                <w:szCs w:val="10"/>
                <w:color w:val="auto"/>
              </w:rPr>
            </w:pPr>
          </w:p>
        </w:tc>
        <w:tc>
          <w:tcPr>
            <w:tcW w:w="6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Apr. 30,</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w w:val="96"/>
              </w:rPr>
              <w:t>Jan. 31,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7"/>
              </w:rPr>
              <w:t>Oct. 31,</w:t>
            </w:r>
          </w:p>
        </w:tc>
        <w:tc>
          <w:tcPr>
            <w:tcW w:w="80" w:type="dxa"/>
            <w:vAlign w:val="bottom"/>
          </w:tcPr>
          <w:p>
            <w:pPr>
              <w:spacing w:after="0"/>
              <w:rPr>
                <w:sz w:val="10"/>
                <w:szCs w:val="10"/>
                <w:color w:val="auto"/>
              </w:rPr>
            </w:pPr>
          </w:p>
        </w:tc>
        <w:tc>
          <w:tcPr>
            <w:tcW w:w="10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July 31,</w:t>
            </w:r>
          </w:p>
        </w:tc>
        <w:tc>
          <w:tcPr>
            <w:tcW w:w="80" w:type="dxa"/>
            <w:vAlign w:val="bottom"/>
          </w:tcPr>
          <w:p>
            <w:pPr>
              <w:spacing w:after="0"/>
              <w:rPr>
                <w:sz w:val="10"/>
                <w:szCs w:val="10"/>
                <w:color w:val="auto"/>
              </w:rPr>
            </w:pPr>
          </w:p>
        </w:tc>
        <w:tc>
          <w:tcPr>
            <w:tcW w:w="8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Apr. 30,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w w:val="96"/>
              </w:rPr>
              <w:t>Jan.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80" w:type="dxa"/>
            <w:vAlign w:val="bottom"/>
            <w:gridSpan w:val="8"/>
          </w:tcPr>
          <w:p>
            <w:pPr>
              <w:jc w:val="right"/>
              <w:ind w:right="160"/>
              <w:spacing w:after="0" w:line="142" w:lineRule="exact"/>
              <w:rPr>
                <w:sz w:val="20"/>
                <w:szCs w:val="20"/>
                <w:color w:val="auto"/>
              </w:rPr>
            </w:pPr>
            <w:r>
              <w:rPr>
                <w:rFonts w:ascii="Arial" w:cs="Arial" w:eastAsia="Arial" w:hAnsi="Arial"/>
                <w:sz w:val="14"/>
                <w:szCs w:val="14"/>
                <w:b w:val="1"/>
                <w:bCs w:val="1"/>
                <w:color w:val="auto"/>
                <w:w w:val="89"/>
              </w:rPr>
              <w:t>(in thousands, except per share amounts)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Statement of Operations Data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62,246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88,699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60,206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47,671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65,436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83,318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76,421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58,013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79,505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53,851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45,719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59,425</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74,833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45,931</w:t>
            </w:r>
          </w:p>
        </w:tc>
        <w:tc>
          <w:tcPr>
            <w:tcW w:w="0" w:type="dxa"/>
            <w:vAlign w:val="bottom"/>
          </w:tcPr>
          <w:p>
            <w:pPr>
              <w:spacing w:after="0"/>
              <w:rPr>
                <w:sz w:val="1"/>
                <w:szCs w:val="1"/>
                <w:color w:val="auto"/>
              </w:rPr>
            </w:pPr>
          </w:p>
        </w:tc>
      </w:tr>
      <w:tr>
        <w:trPr>
          <w:trHeight w:val="223"/>
        </w:trPr>
        <w:tc>
          <w:tcPr>
            <w:tcW w:w="24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9,194</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6,011</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8,485</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4,943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4,825</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4,307</w:t>
            </w: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4,513</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4,416</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3,777</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Restructuring charge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4,369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1,410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4,708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1,909</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provision</w:t>
            </w: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 for income taxes</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4,522</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3,957</w:t>
            </w: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(2,479)</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1,577</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4,799</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spacing w:after="0" w:line="201" w:lineRule="exact"/>
              <w:rPr>
                <w:sz w:val="20"/>
                <w:szCs w:val="20"/>
                <w:color w:val="auto"/>
              </w:rPr>
            </w:pPr>
            <w:r>
              <w:rPr>
                <w:rFonts w:ascii="Arial" w:cs="Arial" w:eastAsia="Arial" w:hAnsi="Arial"/>
                <w:sz w:val="18"/>
                <w:szCs w:val="18"/>
                <w:color w:val="auto"/>
              </w:rPr>
              <w:t>Provision (benefit) for income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taxes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1,490</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(932)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1,739</w:t>
            </w:r>
          </w:p>
        </w:tc>
        <w:tc>
          <w:tcPr>
            <w:tcW w:w="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1,556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Diluted</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0.18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0.08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0.23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0.17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Number of shares used in per</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 computation:</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14,371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14,171</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13,507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13,507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13,507</w:t>
            </w:r>
          </w:p>
        </w:tc>
        <w:tc>
          <w:tcPr>
            <w:tcW w:w="8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13,507</w:t>
            </w: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13,507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14,237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13,580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13,591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13,594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Operating activities for fiscal 2005, 2004 and 2003 provided cash flows of $5.6 million, $4.5 million, and $15.2 million. Fiscal year 2005 operating cash flows reflect our net income of $3.3 million, net noncash charges (depreciation and amortization, gains, losses, and stock compensation expense) of $1.8 million and a net increase in the non-cash components of our working capital of approximately $0.5 million.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Fiscal year 2005 increases in operating cash flows, caused by working capital changes, include a increase in trade accounts payable and accrued expenses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$3.2 million, an decrease in accounts receivable of $1.4 million, an decrease in inventory of $1.3 million, and an increase in advance to suppliers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 million, partially offset by a net decrease in payable to growers of $4.0 million, a net decrease in deferred income taxes of $1.9 million, and an increase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prepaid expenses and other assets of $0.8 million.</w:t>
      </w:r>
    </w:p>
    <w:p>
      <w:pPr>
        <w:spacing w:after="0" w:line="103"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Decreases in our accounts receivable balance as of October 31, 2005, when compared to October 31, 2004, primarily reflect a significantly lower volume of California avocado sales recorded in the month of October 2005, as compared to October 2004, partially offset by additional international avocados and perishable food product sales for the same period. Similarly, the amounts payable to our growers also reflects the decrease in the volume of California avocados marketed in the month of October 2005, as compared to October 2004. These volume level fluctuations are consistent with the harvests experienced in previous years. Additionally, decreases in our inventory balance as of October 31, 2005, when compared to October 31, 2004, primarily reflect a significant decrease in the manufacture of finished, non-high-pressure processed products. Such decrease was primarily related to higher fruit-prices near our fiscal year end, as well as a shift in manufacturing to our high-pressure products. Due to the high turnover rate of our high-pressure products, we do not accumulate such inventory on a basis consistent with that of other products.</w:t>
      </w:r>
    </w:p>
    <w:p>
      <w:pPr>
        <w:spacing w:after="0" w:line="71"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Decreases in advances to suppliers as of October 31, 2005, when compared to October 31, 2004, primarily relates to an earlier start of the Chilean avocado harvest, which resulted in quicker collections on our advances. Increases in our trade accounts payable and accrued expenses as of October 31, 2005, when compared to October 31, 2004, primarily reflect additional accrual of expenses related to implementing certain provisions of the Sarbanes-Oxley Act, as well as accruals related to purchased fruit. The increase in prepaid expenses and other assets as of October 31, 2005, when compared to October 31, 2004, was primarily a result of additional miscellaneous receivables as of our fiscal year end.</w:t>
      </w:r>
    </w:p>
    <w:p>
      <w:pPr>
        <w:spacing w:after="0" w:line="64" w:lineRule="exact"/>
        <w:rPr>
          <w:sz w:val="20"/>
          <w:szCs w:val="20"/>
          <w:color w:val="auto"/>
        </w:rPr>
      </w:pPr>
    </w:p>
    <w:p>
      <w:pPr>
        <w:jc w:val="both"/>
        <w:ind w:right="80" w:firstLine="225"/>
        <w:spacing w:after="0" w:line="259" w:lineRule="auto"/>
        <w:rPr>
          <w:sz w:val="20"/>
          <w:szCs w:val="20"/>
          <w:color w:val="auto"/>
        </w:rPr>
      </w:pPr>
      <w:r>
        <w:rPr>
          <w:rFonts w:ascii="Arial" w:cs="Arial" w:eastAsia="Arial" w:hAnsi="Arial"/>
          <w:sz w:val="18"/>
          <w:szCs w:val="18"/>
          <w:color w:val="auto"/>
        </w:rPr>
        <w:t>Cash used in investing activities was $11.9 million, $8.5 million, and $4.5 million for fiscal years 2005, 2004, and 2003. Fiscal year 2005 cash flows used in investing activities include the acquisition of Limoneira common stock, net of our common stock issued, totaling $13.5 million and capital expenditures of $1.9 million, principally related to the construction of coolers for our ProRipeVIP™ avocado ripening program, partially offset by the proceeds related to the sale of our corporate facility located in Santa Ana, California totaling $3.4 million.</w:t>
      </w:r>
    </w:p>
    <w:p>
      <w:pPr>
        <w:sectPr>
          <w:pgSz w:w="11900" w:h="16838" w:orient="portrait"/>
          <w:cols w:equalWidth="0" w:num="1">
            <w:col w:w="11420"/>
          </w:cols>
          <w:pgMar w:left="240" w:top="419"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Cash provided by financing activities was $6.9 million for fiscal year 2005, while cash used in financing activities was $0.7 million, and $6.3 million for fiscal years 2004 and 2003. Cash provided during fiscal year 2005 primarily includes proceeds from the issuance of long-term debt to finance our purchase of Limoneira common stock, totaling $13.0 million. Such proceeds were partially offset, however, by the payment of a dividend totaling $4.1 million, as well as a $2.0 million payment to retire 200,000 shares of our common stock.</w:t>
      </w:r>
    </w:p>
    <w:p>
      <w:pPr>
        <w:spacing w:after="0" w:line="79" w:lineRule="exact"/>
        <w:rPr>
          <w:sz w:val="20"/>
          <w:szCs w:val="20"/>
          <w:color w:val="auto"/>
        </w:rPr>
      </w:pPr>
    </w:p>
    <w:p>
      <w:pPr>
        <w:ind w:right="220" w:firstLine="225"/>
        <w:spacing w:after="0" w:line="302" w:lineRule="auto"/>
        <w:rPr>
          <w:sz w:val="20"/>
          <w:szCs w:val="20"/>
          <w:color w:val="auto"/>
        </w:rPr>
      </w:pPr>
      <w:r>
        <w:rPr>
          <w:rFonts w:ascii="Arial" w:cs="Arial" w:eastAsia="Arial" w:hAnsi="Arial"/>
          <w:sz w:val="16"/>
          <w:szCs w:val="16"/>
          <w:color w:val="auto"/>
        </w:rPr>
        <w:t>Our principal sources of liquidity are our existing cash reserves, cash generated from operations and amounts available for borrowing under our existing credit facilities. Cash and cash equivalents as of October 31, 2005 and 2004 totaled $1.1 million and $0.6 million. Our working capital at October 31, 2005 was $17.6 million compared to $20.4 million at October 31, 2004. The overall working capital decrease primarily reflects additional debt related to our Limoneira common stock purchase and additional accrued expenses, partially offset by a decrease in payable to growers and trade accounts payable.</w:t>
      </w:r>
    </w:p>
    <w:p>
      <w:pPr>
        <w:spacing w:after="0" w:line="46"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believe that cash flows from operations and available credit facilities will be sufficient to satisfy our future capital expenditures, grower recruitment efforts, working capital and other financing requirements. We will continue to evaluate grower recruitment opportunities and exclusivity arrangements with food service companies to fuel growth in each of our business segments. During calendar year 2005, we renewed our two short-term, non-collateralized, revolving credit facilities. These credit facilities expire in February 2007 and April 2008 and are with separate banks. Under the terms of these agreements, we are advanced funds for working capital purposes. Total credit available under the combined short-term borrowing agreements was $24 million, with a weighted-average interest rate of 4.8% and 2.9% at October 31, 2005 and 2004. Under these credit facilities, we had $1.4 million and $2.0 million outstanding as of October 31, 2005 and 2004. The credit facilities contain various financial covenants with which we were in compliance at October 31, 2005. The most significant financial covenants relate to working capital, tangible net worth (as defined), and Earnings Before Interest, Taxes, Depreciation and Amortization (EBITDA) (as defined) requirements.</w:t>
      </w:r>
    </w:p>
    <w:p>
      <w:pPr>
        <w:spacing w:after="0" w:line="74"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following table summarizes contractual obligations pursuant to which we are required to make cash payments. The information is presented as of our fiscal year ended October 31, 2005: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8"/>
              </w:rPr>
              <w:t>Payments due by period</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Total</w:t>
            </w:r>
          </w:p>
        </w:tc>
        <w:tc>
          <w:tcPr>
            <w:tcW w:w="1440" w:type="dxa"/>
            <w:vAlign w:val="bottom"/>
            <w:gridSpan w:val="4"/>
          </w:tcPr>
          <w:p>
            <w:pPr>
              <w:ind w:left="320"/>
              <w:spacing w:after="0" w:line="142" w:lineRule="exact"/>
              <w:rPr>
                <w:sz w:val="20"/>
                <w:szCs w:val="20"/>
                <w:color w:val="auto"/>
              </w:rPr>
            </w:pPr>
            <w:r>
              <w:rPr>
                <w:rFonts w:ascii="Arial" w:cs="Arial" w:eastAsia="Arial" w:hAnsi="Arial"/>
                <w:sz w:val="14"/>
                <w:szCs w:val="14"/>
                <w:b w:val="1"/>
                <w:bCs w:val="1"/>
                <w:color w:val="auto"/>
              </w:rPr>
              <w:t>Less than 1 year</w:t>
            </w:r>
          </w:p>
        </w:tc>
        <w:tc>
          <w:tcPr>
            <w:tcW w:w="500" w:type="dxa"/>
            <w:vAlign w:val="bottom"/>
          </w:tcPr>
          <w:p>
            <w:pPr>
              <w:spacing w:after="0"/>
              <w:rPr>
                <w:sz w:val="12"/>
                <w:szCs w:val="12"/>
                <w:color w:val="auto"/>
              </w:rPr>
            </w:pPr>
          </w:p>
        </w:tc>
        <w:tc>
          <w:tcPr>
            <w:tcW w:w="1280" w:type="dxa"/>
            <w:vAlign w:val="bottom"/>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w w:val="95"/>
              </w:rPr>
              <w:t>1-3 years</w:t>
            </w:r>
          </w:p>
        </w:tc>
        <w:tc>
          <w:tcPr>
            <w:tcW w:w="100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w w:val="98"/>
              </w:rPr>
              <w:t>4-5 years</w:t>
            </w:r>
          </w:p>
        </w:tc>
        <w:tc>
          <w:tcPr>
            <w:tcW w:w="1420" w:type="dxa"/>
            <w:vAlign w:val="bottom"/>
            <w:gridSpan w:val="3"/>
          </w:tcPr>
          <w:p>
            <w:pPr>
              <w:ind w:left="300"/>
              <w:spacing w:after="0" w:line="142" w:lineRule="exact"/>
              <w:rPr>
                <w:sz w:val="20"/>
                <w:szCs w:val="20"/>
                <w:color w:val="auto"/>
              </w:rPr>
            </w:pPr>
            <w:r>
              <w:rPr>
                <w:rFonts w:ascii="Arial" w:cs="Arial" w:eastAsia="Arial" w:hAnsi="Arial"/>
                <w:sz w:val="14"/>
                <w:szCs w:val="14"/>
                <w:b w:val="1"/>
                <w:bCs w:val="1"/>
                <w:color w:val="auto"/>
                <w:w w:val="92"/>
              </w:rPr>
              <w:t>More than 5 years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 (including interest)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13,782</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1,388</w:t>
            </w: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2,748</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1,424</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1,424</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Defined benefit plan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510</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Operating lease commitments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3,706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1,550</w:t>
            </w:r>
          </w:p>
        </w:tc>
        <w:tc>
          <w:tcPr>
            <w:tcW w:w="1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414</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19,422</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3,935</w:t>
            </w: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3,272</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22"/>
        <w:spacing w:after="0" w:line="312" w:lineRule="auto"/>
        <w:rPr>
          <w:sz w:val="20"/>
          <w:szCs w:val="20"/>
          <w:color w:val="auto"/>
        </w:rPr>
      </w:pPr>
      <w:r>
        <w:rPr>
          <w:rFonts w:ascii="Arial" w:cs="Arial" w:eastAsia="Arial" w:hAnsi="Arial"/>
          <w:sz w:val="16"/>
          <w:szCs w:val="16"/>
          <w:color w:val="auto"/>
        </w:rPr>
        <w:t>The California avocado industry is subject to a state marketing order whereby handlers are required to collect assessments from the growers and remit such assessments to the California Avocado Commission (CAC). The assessments are primarily for advertising and promotions. The amount of the assessment is based on the dollars paid to the growers for their fruit, and, as a result, is not determinable until the value of the payments to the growers has been calculated.</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did not have any significant commitments for capital expenditures as of October 31,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2 of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Our financial instruments include cash and cash equivalents, accounts receivable, notes receivable from shareholders, payable to growers, accounts payable, current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October 31, 2005.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280" w:type="dxa"/>
            <w:vAlign w:val="bottom"/>
            <w:vMerge w:val="restart"/>
          </w:tcPr>
          <w:p>
            <w:pPr>
              <w:ind w:left="360"/>
              <w:spacing w:after="0"/>
              <w:rPr>
                <w:sz w:val="20"/>
                <w:szCs w:val="20"/>
                <w:color w:val="auto"/>
              </w:rPr>
            </w:pPr>
            <w:r>
              <w:rPr>
                <w:rFonts w:ascii="Arial" w:cs="Arial" w:eastAsia="Arial" w:hAnsi="Arial"/>
                <w:sz w:val="14"/>
                <w:szCs w:val="14"/>
                <w:color w:val="auto"/>
              </w:rPr>
              <w:t>(All amounts in thousands)</w:t>
            </w: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4"/>
                <w:szCs w:val="14"/>
                <w:color w:val="auto"/>
                <w:w w:val="97"/>
              </w:rPr>
              <w:t>Expected maturity date October 31,</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2006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2007</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2008</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2"/>
              <w:spacing w:after="0" w:line="142" w:lineRule="exact"/>
              <w:rPr>
                <w:sz w:val="20"/>
                <w:szCs w:val="20"/>
                <w:color w:val="auto"/>
              </w:rPr>
            </w:pPr>
            <w:r>
              <w:rPr>
                <w:rFonts w:ascii="Arial" w:cs="Arial" w:eastAsia="Arial" w:hAnsi="Arial"/>
                <w:sz w:val="14"/>
                <w:szCs w:val="14"/>
                <w:color w:val="auto"/>
              </w:rPr>
              <w:t>2009</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2"/>
              <w:spacing w:after="0" w:line="142" w:lineRule="exact"/>
              <w:rPr>
                <w:sz w:val="20"/>
                <w:szCs w:val="20"/>
                <w:color w:val="auto"/>
              </w:rPr>
            </w:pPr>
            <w:r>
              <w:rPr>
                <w:rFonts w:ascii="Arial" w:cs="Arial" w:eastAsia="Arial" w:hAnsi="Arial"/>
                <w:sz w:val="14"/>
                <w:szCs w:val="14"/>
                <w:color w:val="auto"/>
              </w:rPr>
              <w:t>2010</w:t>
            </w:r>
          </w:p>
        </w:tc>
        <w:tc>
          <w:tcPr>
            <w:tcW w:w="460" w:type="dxa"/>
            <w:vAlign w:val="bottom"/>
          </w:tcPr>
          <w:p>
            <w:pPr>
              <w:spacing w:after="0"/>
              <w:rPr>
                <w:sz w:val="12"/>
                <w:szCs w:val="12"/>
                <w:color w:val="auto"/>
              </w:rPr>
            </w:pPr>
          </w:p>
        </w:tc>
        <w:tc>
          <w:tcPr>
            <w:tcW w:w="1120" w:type="dxa"/>
            <w:vAlign w:val="bottom"/>
            <w:gridSpan w:val="3"/>
          </w:tcPr>
          <w:p>
            <w:pPr>
              <w:ind w:left="40"/>
              <w:spacing w:after="0" w:line="142" w:lineRule="exact"/>
              <w:rPr>
                <w:sz w:val="20"/>
                <w:szCs w:val="20"/>
                <w:color w:val="auto"/>
              </w:rPr>
            </w:pPr>
            <w:r>
              <w:rPr>
                <w:rFonts w:ascii="Arial" w:cs="Arial" w:eastAsia="Arial" w:hAnsi="Arial"/>
                <w:sz w:val="14"/>
                <w:szCs w:val="14"/>
                <w:color w:val="auto"/>
              </w:rPr>
              <w:t>Thereafter</w:t>
            </w:r>
          </w:p>
        </w:tc>
        <w:tc>
          <w:tcPr>
            <w:tcW w:w="140" w:type="dxa"/>
            <w:vAlign w:val="bottom"/>
          </w:tcPr>
          <w:p>
            <w:pPr>
              <w:spacing w:after="0"/>
              <w:rPr>
                <w:sz w:val="12"/>
                <w:szCs w:val="12"/>
                <w:color w:val="auto"/>
              </w:rPr>
            </w:pPr>
          </w:p>
        </w:tc>
        <w:tc>
          <w:tcPr>
            <w:tcW w:w="760" w:type="dxa"/>
            <w:vAlign w:val="bottom"/>
            <w:gridSpan w:val="2"/>
          </w:tcPr>
          <w:p>
            <w:pPr>
              <w:ind w:left="40"/>
              <w:spacing w:after="0" w:line="142" w:lineRule="exact"/>
              <w:rPr>
                <w:sz w:val="20"/>
                <w:szCs w:val="20"/>
                <w:color w:val="auto"/>
              </w:rPr>
            </w:pPr>
            <w:r>
              <w:rPr>
                <w:rFonts w:ascii="Arial" w:cs="Arial" w:eastAsia="Arial" w:hAnsi="Arial"/>
                <w:sz w:val="14"/>
                <w:szCs w:val="14"/>
                <w:color w:val="auto"/>
              </w:rPr>
              <w:t>Total</w:t>
            </w:r>
          </w:p>
        </w:tc>
        <w:tc>
          <w:tcPr>
            <w:tcW w:w="22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7"/>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w w:val="92"/>
              </w:rPr>
              <w:t>Cash and cash equivalents (1)</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1,133</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1,133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19,253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19,253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19,253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Notes receivable from</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shareholders (2)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2,461</w:t>
            </w:r>
          </w:p>
        </w:tc>
        <w:tc>
          <w:tcPr>
            <w:tcW w:w="16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2,636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Payable to growers (1)</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1,753</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1,753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w w:val="91"/>
              </w:rPr>
              <w:t>Current borrowings pursuant to</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credit facilities (1)</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1,424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1,424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Fixed-rate long-term</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(3)</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1,313</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1,309</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1,308</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1,302</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1,300</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6,500</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13,032</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13,032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58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believe the carrying amounts of cash and cash equivalents, accounts receivable, payable to growers, accounts payable, and current borrowings pursuant to credit facilities approximate their fair value due to the short maturity of these financial instruments.</w:t>
      </w:r>
    </w:p>
    <w:p>
      <w:pPr>
        <w:spacing w:after="0" w:line="62" w:lineRule="exact"/>
        <w:rPr>
          <w:rFonts w:ascii="Arial" w:cs="Arial" w:eastAsia="Arial" w:hAnsi="Arial"/>
          <w:sz w:val="18"/>
          <w:szCs w:val="18"/>
          <w:color w:val="auto"/>
        </w:rPr>
      </w:pPr>
    </w:p>
    <w:p>
      <w:pPr>
        <w:ind w:left="340" w:right="12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Notes receivable from shareholders bear interest at 7.0%. We believe that a portfolio of loans with a similar risk profile would currently yield a return of 9.25%. We project the impact of an increase or decrease in interest rates of 100 basis points would result in a change of fair value of approximately $46,000.</w:t>
      </w:r>
    </w:p>
    <w:p>
      <w:pPr>
        <w:spacing w:after="0" w:line="73" w:lineRule="exact"/>
        <w:rPr>
          <w:rFonts w:ascii="Arial" w:cs="Arial" w:eastAsia="Arial" w:hAnsi="Arial"/>
          <w:sz w:val="18"/>
          <w:szCs w:val="18"/>
          <w:color w:val="auto"/>
        </w:rPr>
      </w:pPr>
    </w:p>
    <w:p>
      <w:pPr>
        <w:ind w:left="340" w:right="10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Fixed-rate long-term obligations bear interest rates ranging from 3.3% to 8.2% with a weighted-average interest rate of 6.5%. We believe that loans with a similar risk profile would currently yield a return of 6.5%. We project the impact of an increase or decrease in interest rates of 100 basis points would result in a change of fair value of approximately $534,000.</w:t>
      </w:r>
    </w:p>
    <w:p>
      <w:pPr>
        <w:spacing w:after="0" w:line="73"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We were not a party to any derivative instruments during the fiscal year. It is currently our intent not to use derivative instruments for speculative or trading purposes. Additionally, we do not use any hedging or forward contracts to offset market volatility.</w:t>
      </w:r>
    </w:p>
    <w:p>
      <w:pPr>
        <w:spacing w:after="0" w:line="62"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Our Mexican-based operations transact business in Mexican pesos. Funds are transferred by our corporate office to Mexico on a weekly basis to satisfy domestic cash needs. Consequently, the spot rate for the Mexican peso has a moderate impact on our operating results. However, we do not believe that this impact is sufficient to warrant the use of derivative instruments to hedge the fluctuation in the Mexican peso. Total foreign currency gains and losses for each of the three years in the period ended October 31, 2005 do not exceed $0.1 million.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October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r>
      <w:tr>
        <w:trPr>
          <w:trHeight w:val="216"/>
        </w:trPr>
        <w:tc>
          <w:tcPr>
            <w:tcW w:w="9260" w:type="dxa"/>
            <w:vAlign w:val="bottom"/>
          </w:tcPr>
          <w:p>
            <w:pPr>
              <w:ind w:left="220"/>
              <w:spacing w:after="0"/>
              <w:rPr>
                <w:sz w:val="20"/>
                <w:szCs w:val="20"/>
                <w:color w:val="auto"/>
              </w:rPr>
            </w:pPr>
            <w:r>
              <w:rPr>
                <w:rFonts w:ascii="Arial" w:cs="Arial" w:eastAsia="Arial" w:hAnsi="Arial"/>
                <w:sz w:val="18"/>
                <w:szCs w:val="18"/>
                <w:color w:val="auto"/>
              </w:rPr>
              <w:t>Accounts receivable, net of allowances of $2,688 (2005) and $1,087 (2004)</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19,253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21,131</w:t>
            </w:r>
          </w:p>
        </w:tc>
      </w:tr>
      <w:tr>
        <w:trPr>
          <w:trHeight w:val="216"/>
        </w:trPr>
        <w:tc>
          <w:tcPr>
            <w:tcW w:w="9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11,375</w:t>
            </w:r>
          </w:p>
        </w:tc>
      </w:tr>
      <w:tr>
        <w:trPr>
          <w:trHeight w:val="216"/>
        </w:trPr>
        <w:tc>
          <w:tcPr>
            <w:tcW w:w="926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5,879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4,807</w:t>
            </w:r>
          </w:p>
        </w:tc>
      </w:tr>
      <w:tr>
        <w:trPr>
          <w:trHeight w:val="216"/>
        </w:trPr>
        <w:tc>
          <w:tcPr>
            <w:tcW w:w="9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to suppliers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2,413</w:t>
            </w:r>
          </w:p>
        </w:tc>
      </w:tr>
      <w:tr>
        <w:trPr>
          <w:trHeight w:val="216"/>
        </w:trPr>
        <w:tc>
          <w:tcPr>
            <w:tcW w:w="9260" w:type="dxa"/>
            <w:vAlign w:val="bottom"/>
          </w:tcPr>
          <w:p>
            <w:pPr>
              <w:ind w:left="220"/>
              <w:spacing w:after="0"/>
              <w:rPr>
                <w:sz w:val="20"/>
                <w:szCs w:val="20"/>
                <w:color w:val="auto"/>
              </w:rPr>
            </w:pPr>
            <w:r>
              <w:rPr>
                <w:rFonts w:ascii="Arial" w:cs="Arial" w:eastAsia="Arial" w:hAnsi="Arial"/>
                <w:sz w:val="18"/>
                <w:szCs w:val="18"/>
                <w:color w:val="auto"/>
              </w:rPr>
              <w:t>Income taxes receivable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893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803</w:t>
            </w:r>
          </w:p>
        </w:tc>
      </w:tr>
      <w:tr>
        <w:trPr>
          <w:trHeight w:val="216"/>
        </w:trPr>
        <w:tc>
          <w:tcPr>
            <w:tcW w:w="9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w:t>
            </w:r>
          </w:p>
        </w:tc>
      </w:tr>
      <w:tr>
        <w:trPr>
          <w:trHeight w:val="223"/>
        </w:trPr>
        <w:tc>
          <w:tcPr>
            <w:tcW w:w="926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41,046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42,940</w:t>
            </w:r>
          </w:p>
        </w:tc>
        <w:tc>
          <w:tcPr>
            <w:tcW w:w="100" w:type="dxa"/>
            <w:vAlign w:val="bottom"/>
          </w:tcPr>
          <w:p>
            <w:pPr>
              <w:spacing w:after="0"/>
              <w:rPr>
                <w:sz w:val="19"/>
                <w:szCs w:val="19"/>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16,897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17,427</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Building held for sale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1,658</w:t>
            </w: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Limoneira</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45,634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3,591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3,591</w:t>
            </w: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w:t>
            </w:r>
          </w:p>
        </w:tc>
      </w:tr>
      <w:tr>
        <w:trPr>
          <w:trHeight w:val="223"/>
        </w:trPr>
        <w:tc>
          <w:tcPr>
            <w:tcW w:w="9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108,482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67,398</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Payable to growers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5,789</w:t>
            </w:r>
          </w:p>
        </w:tc>
      </w:tr>
      <w:tr>
        <w:trPr>
          <w:trHeight w:val="216"/>
        </w:trPr>
        <w:tc>
          <w:tcPr>
            <w:tcW w:w="926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1,892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2,490</w:t>
            </w:r>
          </w:p>
        </w:tc>
      </w:tr>
      <w:tr>
        <w:trPr>
          <w:trHeight w:val="216"/>
        </w:trPr>
        <w:tc>
          <w:tcPr>
            <w:tcW w:w="9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12,482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8,234</w:t>
            </w:r>
          </w:p>
        </w:tc>
      </w:tr>
      <w:tr>
        <w:trPr>
          <w:trHeight w:val="216"/>
        </w:trPr>
        <w:tc>
          <w:tcPr>
            <w:tcW w:w="9260" w:type="dxa"/>
            <w:vAlign w:val="bottom"/>
          </w:tcPr>
          <w:p>
            <w:pPr>
              <w:ind w:left="220"/>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1,424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r>
      <w:tr>
        <w:trPr>
          <w:trHeight w:val="216"/>
        </w:trPr>
        <w:tc>
          <w:tcPr>
            <w:tcW w:w="9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4,564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4,052</w:t>
            </w:r>
          </w:p>
        </w:tc>
      </w:tr>
      <w:tr>
        <w:trPr>
          <w:trHeight w:val="216"/>
        </w:trPr>
        <w:tc>
          <w:tcPr>
            <w:tcW w:w="9260" w:type="dxa"/>
            <w:vAlign w:val="bottom"/>
          </w:tcPr>
          <w:p>
            <w:pPr>
              <w:ind w:left="220"/>
              <w:spacing w:after="0"/>
              <w:rPr>
                <w:sz w:val="20"/>
                <w:szCs w:val="20"/>
                <w:color w:val="auto"/>
              </w:rPr>
            </w:pPr>
            <w:r>
              <w:rPr>
                <w:rFonts w:ascii="Arial" w:cs="Arial" w:eastAsia="Arial" w:hAnsi="Arial"/>
                <w:sz w:val="18"/>
                <w:szCs w:val="18"/>
                <w:color w:val="auto"/>
              </w:rPr>
              <w:t>Current portion of long-term obligations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1,313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7"/>
        </w:trPr>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23,428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22,587</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obligations, less current portion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926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8,589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r>
      <w:tr>
        <w:trPr>
          <w:trHeight w:val="27"/>
        </w:trPr>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long-term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20,308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Commitments and contingencies (Note 8) Shareholders’ equity:</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92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Common stock ($0.001 par value, 100,000 shares authorized; 14,362 and 13,507 shares outstanding at October 31,</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2005 and 2004)</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92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37,240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28,822</w:t>
            </w:r>
          </w:p>
        </w:tc>
      </w:tr>
      <w:tr>
        <w:trPr>
          <w:trHeight w:val="216"/>
        </w:trPr>
        <w:tc>
          <w:tcPr>
            <w:tcW w:w="9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receivable from shareholders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(2,636)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(2,883)</w:t>
            </w:r>
          </w:p>
        </w:tc>
      </w:tr>
      <w:tr>
        <w:trPr>
          <w:trHeight w:val="216"/>
        </w:trPr>
        <w:tc>
          <w:tcPr>
            <w:tcW w:w="926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13,386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16,742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17,984</w:t>
            </w:r>
          </w:p>
        </w:tc>
      </w:tr>
      <w:tr>
        <w:trPr>
          <w:trHeight w:val="230"/>
        </w:trPr>
        <w:tc>
          <w:tcPr>
            <w:tcW w:w="9260" w:type="dxa"/>
            <w:vAlign w:val="bottom"/>
          </w:tcPr>
          <w:p>
            <w:pPr>
              <w:ind w:left="4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64,746</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43,937</w:t>
            </w:r>
          </w:p>
        </w:tc>
        <w:tc>
          <w:tcPr>
            <w:tcW w:w="100" w:type="dxa"/>
            <w:vAlign w:val="bottom"/>
          </w:tcPr>
          <w:p>
            <w:pPr>
              <w:spacing w:after="0"/>
              <w:rPr>
                <w:sz w:val="20"/>
                <w:szCs w:val="20"/>
                <w:color w:val="auto"/>
              </w:rPr>
            </w:pPr>
          </w:p>
        </w:tc>
      </w:tr>
      <w:tr>
        <w:trPr>
          <w:trHeight w:val="216"/>
        </w:trPr>
        <w:tc>
          <w:tcPr>
            <w:tcW w:w="9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108,482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67,398</w:t>
            </w:r>
          </w:p>
        </w:tc>
      </w:tr>
      <w:tr>
        <w:trPr>
          <w:trHeight w:val="20"/>
        </w:trPr>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Year Ended October 31,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258,822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274,218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246,761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237,088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248,814</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221,414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21,734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25,404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18,588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15,920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9,299</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5,503</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9,777</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6,210</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0.24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0.46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Number of shares used in per share computation: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13,985</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13,582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w:t>
      </w:r>
    </w:p>
    <w:p>
      <w:pPr>
        <w:spacing w:after="0" w:line="202"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Year ended</w:t>
      </w:r>
    </w:p>
    <w:p>
      <w:pPr>
        <w:ind w:left="9240"/>
        <w:spacing w:after="0" w:line="236" w:lineRule="auto"/>
        <w:rPr>
          <w:sz w:val="20"/>
          <w:szCs w:val="20"/>
          <w:color w:val="auto"/>
        </w:rPr>
      </w:pPr>
      <w:r>
        <w:rPr>
          <w:rFonts w:ascii="Arial" w:cs="Arial" w:eastAsia="Arial" w:hAnsi="Arial"/>
          <w:sz w:val="14"/>
          <w:szCs w:val="14"/>
          <w:b w:val="1"/>
          <w:bCs w:val="1"/>
          <w:color w:val="auto"/>
        </w:rPr>
        <w:t>October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2004</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6,210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7,160</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Other comprehensive income, before tax:</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holding gains arising during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22,184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Income tax expense related to items of other comprehensive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(8,798)</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13,386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16,708</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Notes</w:t>
            </w:r>
          </w:p>
        </w:tc>
        <w:tc>
          <w:tcPr>
            <w:tcW w:w="240" w:type="dxa"/>
            <w:vAlign w:val="bottom"/>
          </w:tcPr>
          <w:p>
            <w:pPr>
              <w:spacing w:after="0"/>
              <w:rPr>
                <w:sz w:val="14"/>
                <w:szCs w:val="14"/>
                <w:color w:val="auto"/>
              </w:rPr>
            </w:pPr>
          </w:p>
        </w:tc>
        <w:tc>
          <w:tcPr>
            <w:tcW w:w="14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560" w:type="dxa"/>
            <w:vAlign w:val="bottom"/>
            <w:gridSpan w:val="4"/>
            <w:vMerge w:val="restart"/>
          </w:tcPr>
          <w:p>
            <w:pPr>
              <w:jc w:val="right"/>
              <w:ind w:right="66"/>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Receivable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98"/>
              </w:rPr>
              <w:t>Paid-in</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7"/>
              </w:rPr>
              <w:t>From</w:t>
            </w:r>
          </w:p>
        </w:tc>
        <w:tc>
          <w:tcPr>
            <w:tcW w:w="1720" w:type="dxa"/>
            <w:vAlign w:val="bottom"/>
            <w:gridSpan w:val="4"/>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tcPr>
          <w:p>
            <w:pPr>
              <w:jc w:val="right"/>
              <w:ind w:right="360"/>
              <w:spacing w:after="0" w:line="158" w:lineRule="exact"/>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gridSpan w:val="2"/>
          </w:tcPr>
          <w:p>
            <w:pPr>
              <w:spacing w:after="0"/>
              <w:rPr>
                <w:sz w:val="12"/>
                <w:szCs w:val="12"/>
                <w:color w:val="auto"/>
              </w:rPr>
            </w:pPr>
          </w:p>
        </w:tc>
        <w:tc>
          <w:tcPr>
            <w:tcW w:w="66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8"/>
              </w:rPr>
              <w:t>Capital</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Shareholders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71"/>
              <w:spacing w:after="0" w:line="142" w:lineRule="exact"/>
              <w:rPr>
                <w:sz w:val="20"/>
                <w:szCs w:val="20"/>
                <w:color w:val="auto"/>
              </w:rPr>
            </w:pPr>
            <w:r>
              <w:rPr>
                <w:rFonts w:ascii="Arial" w:cs="Arial" w:eastAsia="Arial" w:hAnsi="Arial"/>
                <w:sz w:val="14"/>
                <w:szCs w:val="14"/>
                <w:b w:val="1"/>
                <w:bCs w:val="1"/>
                <w:color w:val="auto"/>
                <w:w w:val="93"/>
              </w:rPr>
              <w:t>Income</w:t>
            </w:r>
          </w:p>
        </w:tc>
        <w:tc>
          <w:tcPr>
            <w:tcW w:w="54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Earnings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October 31, 2002</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12,835</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13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24,221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(5,720)</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12,042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30,556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rPr>
              <w:t>Exercise of stock options and</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income tax benefit of $72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547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Collections on shareholder notes</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rPr>
              <w:t>Additional costs related to Rights</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Offering</w:t>
            </w: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Dividend declared to shareholders</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Net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7,160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7,160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October 31, 2003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13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15,970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37,147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Purchase acquisition</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577</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4,049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rPr>
              <w:t>Collections on shareholder notes</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receivable</w:t>
            </w: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680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Dividend declared to shareholders</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(4,196)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Net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6,210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October 31, 2004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14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28,822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17,984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43,937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rPr>
              <w:t>Exercise of stock options and</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income tax benefit of $59</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Issuance of stock to Limoneira</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9,999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gain on Limoneira</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13,386</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Retirement of common stock</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(1,999)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Collections on shareholder notes</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Dividend declared to shareholders</w:t>
            </w: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(4,564)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3,322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23"/>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Balance, October 31, 2005</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14,362</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79"/>
              </w:rPr>
              <w:t>14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37,240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13,386</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16,742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64,746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8"/>
              </w:rPr>
              <w:t>Year Ended October 31,</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3,322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6,210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2,862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2,648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losses on accounts receivable</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00"/>
              <w:spacing w:after="0"/>
              <w:rPr>
                <w:sz w:val="20"/>
                <w:szCs w:val="20"/>
                <w:color w:val="auto"/>
              </w:rPr>
            </w:pPr>
            <w:r>
              <w:rPr>
                <w:rFonts w:ascii="Arial" w:cs="Arial" w:eastAsia="Arial" w:hAnsi="Arial"/>
                <w:sz w:val="18"/>
                <w:szCs w:val="18"/>
                <w:color w:val="auto"/>
              </w:rPr>
              <w:t>Stock compensation expense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(Gain)/loss on disposal of property, plant, and equipment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00"/>
              <w:spacing w:after="0"/>
              <w:rPr>
                <w:sz w:val="20"/>
                <w:szCs w:val="20"/>
                <w:color w:val="auto"/>
              </w:rPr>
            </w:pPr>
            <w:r>
              <w:rPr>
                <w:rFonts w:ascii="Arial" w:cs="Arial" w:eastAsia="Arial" w:hAnsi="Arial"/>
                <w:sz w:val="18"/>
                <w:szCs w:val="18"/>
                <w:color w:val="auto"/>
              </w:rPr>
              <w:t>Gain on sale of investments held to maturity</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Effect on cash of changes in operating assets and liabilities: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1,403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(4,596)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Inventories, net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600"/>
              <w:spacing w:after="0"/>
              <w:rPr>
                <w:sz w:val="20"/>
                <w:szCs w:val="20"/>
                <w:color w:val="auto"/>
              </w:rPr>
            </w:pPr>
            <w:r>
              <w:rPr>
                <w:rFonts w:ascii="Arial" w:cs="Arial" w:eastAsia="Arial" w:hAnsi="Arial"/>
                <w:sz w:val="18"/>
                <w:szCs w:val="18"/>
                <w:color w:val="auto"/>
              </w:rPr>
              <w:t>Prepaid expenses and other assets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2,798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Advances to suppliers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600"/>
              <w:spacing w:after="0"/>
              <w:rPr>
                <w:sz w:val="20"/>
                <w:szCs w:val="20"/>
                <w:color w:val="auto"/>
              </w:rPr>
            </w:pPr>
            <w:r>
              <w:rPr>
                <w:rFonts w:ascii="Arial" w:cs="Arial" w:eastAsia="Arial" w:hAnsi="Arial"/>
                <w:sz w:val="18"/>
                <w:szCs w:val="18"/>
                <w:color w:val="auto"/>
              </w:rPr>
              <w:t>Income taxes receivable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income taxes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600"/>
              <w:spacing w:after="0"/>
              <w:rPr>
                <w:sz w:val="20"/>
                <w:szCs w:val="20"/>
                <w:color w:val="auto"/>
              </w:rPr>
            </w:pPr>
            <w:r>
              <w:rPr>
                <w:rFonts w:ascii="Arial" w:cs="Arial" w:eastAsia="Arial" w:hAnsi="Arial"/>
                <w:sz w:val="18"/>
                <w:szCs w:val="18"/>
                <w:color w:val="auto"/>
              </w:rPr>
              <w:t>Payable to growers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(4,036)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2,343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Trade accounts payable and accrued expenses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600"/>
              <w:spacing w:after="0"/>
              <w:rPr>
                <w:sz w:val="20"/>
                <w:szCs w:val="20"/>
                <w:color w:val="auto"/>
              </w:rPr>
            </w:pPr>
            <w:r>
              <w:rPr>
                <w:rFonts w:ascii="Arial" w:cs="Arial" w:eastAsia="Arial" w:hAnsi="Arial"/>
                <w:sz w:val="18"/>
                <w:szCs w:val="18"/>
                <w:color w:val="auto"/>
              </w:rPr>
              <w:t>Income tax payable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 held to maturity</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 costs of acquisition of Maui Fresh International, Inc.</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property, plant, and equipment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settlement of the acquisition of Limoneira stock, net of our common stock issued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(13,450)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building</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Proceeds from sale of short-term investments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Purchases of short-term investments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(11,941)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(8,474)</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(4,475)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Dividend paid to shareholders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(4,052)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(3,376)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(repayments of) short-term borrowings, net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Proceeds from issuance of long-term debt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13,000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Payments on long-term obligations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Retirement of common stock</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option exercises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Proceeds from collection of shareholder notes receivable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247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680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Additional rights offering costs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ind w:left="800"/>
              <w:spacing w:after="0"/>
              <w:rPr>
                <w:sz w:val="20"/>
                <w:szCs w:val="20"/>
                <w:color w:val="auto"/>
              </w:rPr>
            </w:pPr>
            <w:r>
              <w:rPr>
                <w:rFonts w:ascii="Arial" w:cs="Arial" w:eastAsia="Arial" w:hAnsi="Arial"/>
                <w:sz w:val="18"/>
                <w:szCs w:val="18"/>
                <w:color w:val="auto"/>
              </w:rPr>
              <w:t>Net cash provided by (used in) financing activities</w:t>
            </w:r>
          </w:p>
        </w:tc>
        <w:tc>
          <w:tcPr>
            <w:tcW w:w="8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6,870</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(6,293)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5,375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 -</w:t>
            </w: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paid during the year for:</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600"/>
              <w:spacing w:after="0"/>
              <w:rPr>
                <w:sz w:val="20"/>
                <w:szCs w:val="20"/>
                <w:color w:val="auto"/>
              </w:rPr>
            </w:pPr>
            <w:r>
              <w:rPr>
                <w:rFonts w:ascii="Arial" w:cs="Arial" w:eastAsia="Arial" w:hAnsi="Arial"/>
                <w:sz w:val="18"/>
                <w:szCs w:val="18"/>
                <w:color w:val="auto"/>
              </w:rPr>
              <w:t>Interest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399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66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Tax receivable increase related to stock option exercise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Declared dividends payable</w:t>
            </w: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Issuance of our common stock in Limoneira transaction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Construction in progress included in trade accounts payable and accrued expenses</w:t>
            </w: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Unrealized holding gains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22,184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In November 2003, the Company acquired all of the outstanding common shares of Maui Fresh International, Inc. for 576,924 shares of the Company’s common stock, valued at $4.05 million, plus acquisition costs of $65,000. See Note 1 for further explanation. The following table summarizes the estimated fair values of the non-cash assets acquired and liabilities assumed at the date of acquisition.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23"/>
        </w:trPr>
        <w:tc>
          <w:tcPr>
            <w:tcW w:w="10060" w:type="dxa"/>
            <w:vAlign w:val="bottom"/>
            <w:gridSpan w:val="2"/>
          </w:tcPr>
          <w:p>
            <w:pPr>
              <w:spacing w:after="0"/>
              <w:rPr>
                <w:sz w:val="20"/>
                <w:szCs w:val="20"/>
                <w:color w:val="auto"/>
              </w:rPr>
            </w:pPr>
            <w:r>
              <w:rPr>
                <w:rFonts w:ascii="Arial" w:cs="Arial" w:eastAsia="Arial" w:hAnsi="Arial"/>
                <w:sz w:val="18"/>
                <w:szCs w:val="18"/>
                <w:color w:val="auto"/>
              </w:rPr>
              <w:t>Total non-cash assets acquired</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Deferred tax liabilities assumed</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Net non-cash assets acquired</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19" w:right="239" w:bottom="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8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Calavo Growers, Inc. (Calavo, the Company, we, us or our) procures and markets avocados and other perishable commodities and prepares and distributes processed avocado products. Our expertise in marketing and distributing avocados, processed avocados, and other perishable foods allows us to deliver a wide array of fresh and processed food products to food distributors, produce wholesalers, supermarkets, and restaurants on a worldwide basis. Through our three operating facilities in southern California and two facilities in Mexico, we sort, pack and/or ripen avocados procured in California and Mexico and prepare processed avocado products. Additionally, we procure avocados internationally, principally from Mexico, Chile, and the Dominican Republic, and distribute other perishable foods, such as Hawaiian grown papayas. We report these operations in three different business segments: (1) California avocados, (2) international avocados and perishable food products and (3) processed products.</w:t>
      </w:r>
    </w:p>
    <w:p>
      <w:pPr>
        <w:spacing w:after="0" w:line="70"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In order to diversify our product lines and increase synergies within the marketplace, we acquired all the outstanding common shares of Maui Fresh International, Inc. (Maui) for 576,924 shares of our common stock valued at $4.05 million in November 2003, plus acquisition costs of $65,000. Maui is a specialty produce company servicing a wide array of retail, food service, and terminal market wholesale customers with over 20 different specialty commodities. The value of our common stock issued in conjunction with the acquisition was based on the average quoted market price of our common stock for three days before and after the announcement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21"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accompanying consolidated financial statements were prepared in accordance with accounting principles generally accepted in the United States of America.</w:t>
      </w:r>
    </w:p>
    <w:p>
      <w:pPr>
        <w:spacing w:after="0" w:line="62" w:lineRule="exact"/>
        <w:rPr>
          <w:sz w:val="20"/>
          <w:szCs w:val="20"/>
          <w:color w:val="auto"/>
        </w:rPr>
      </w:pPr>
    </w:p>
    <w:p>
      <w:pPr>
        <w:ind w:right="300" w:firstLine="225"/>
        <w:spacing w:after="0" w:line="342" w:lineRule="auto"/>
        <w:rPr>
          <w:sz w:val="20"/>
          <w:szCs w:val="20"/>
          <w:color w:val="auto"/>
        </w:rPr>
      </w:pPr>
      <w:r>
        <w:rPr>
          <w:rFonts w:ascii="Arial" w:cs="Arial" w:eastAsia="Arial" w:hAnsi="Arial"/>
          <w:sz w:val="16"/>
          <w:szCs w:val="16"/>
          <w:color w:val="auto"/>
        </w:rPr>
        <w:t>Our consolidated financial statements include the accounts of Calavo Growers, Inc. and our wholly owned subsidiaries, Calavo Foods, Inc.; Calavo de Mexico S.A. de C.V.; Calavo Foods de Mexico S.A. de C.V.; and Maui. All intercompany accounts and transactions have been eliminated.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We consider all highly liquid financial instruments purchased with an original maturity date of three months or less to be cash equivalents. The carrying amounts of cash and cash equivalents approximate their fair values.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Inventories are stated at the lower of cost or market. Cost is computed on a weighted-average basis, which approximates the first-in, first-out method; market is based upon estimated replacement costs. Costs included in inventory primarily include the following: fruit, picking and hauling, overhead, labor, materials and freight.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Property, plant, and equipment are stated at cost and depreciated over their estimated useful lives using the straight-line method. Leasehold improvements are stated at cost and amortized over the lesser of their estimated useful lives or the term of the lease, using the straight-line method. Effective May 1, 2005, based on a review performed by us, we changed our estimate of useful lives of certain property, plant and equipment. The principal estimated useful lives were: buildings and improvements — 7 to 30 years; leasehold improvements — the lesser of the term of the lease or 7 years; equipment — 7 years; information systems hardware and software — 3 to 5 years. The revised estimated useful lives are: buildings and improvements — 7 to 50 years; leasehold improvements — the lesser of the term of the lease or 7 years; equipment — 7 to 25 years; information systems hardware and software — 3 to 15 years. The change in estimated useful lives increased our operating income by approximately $0.4 million during the six months ended October 31, 2005 when compared to the old useful lives. Significant renewals and betterments are capitalized and replaced units are written off. Maintenance and repairs are charged to expense.</w:t>
      </w:r>
    </w:p>
    <w:p>
      <w:pPr>
        <w:spacing w:after="0" w:line="74" w:lineRule="exact"/>
        <w:rPr>
          <w:sz w:val="20"/>
          <w:szCs w:val="20"/>
          <w:color w:val="auto"/>
        </w:rPr>
      </w:pPr>
    </w:p>
    <w:p>
      <w:pPr>
        <w:jc w:val="both"/>
        <w:ind w:right="360" w:firstLine="222"/>
        <w:spacing w:after="0" w:line="264" w:lineRule="auto"/>
        <w:rPr>
          <w:sz w:val="20"/>
          <w:szCs w:val="20"/>
          <w:color w:val="auto"/>
        </w:rPr>
      </w:pPr>
      <w:r>
        <w:rPr>
          <w:rFonts w:ascii="Arial" w:cs="Arial" w:eastAsia="Arial" w:hAnsi="Arial"/>
          <w:sz w:val="18"/>
          <w:szCs w:val="18"/>
          <w:color w:val="auto"/>
        </w:rPr>
        <w:t xml:space="preserve">We capitalize software development costs for internal use in accordance with Statement of Position 98-1, </w:t>
      </w:r>
      <w:r>
        <w:rPr>
          <w:rFonts w:ascii="Arial" w:cs="Arial" w:eastAsia="Arial" w:hAnsi="Arial"/>
          <w:sz w:val="18"/>
          <w:szCs w:val="18"/>
          <w:i w:val="1"/>
          <w:iCs w:val="1"/>
          <w:color w:val="auto"/>
        </w:rPr>
        <w:t>Accounting for Costs of Computer Software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Developed or Obtained for Internal Use </w:t>
      </w:r>
      <w:r>
        <w:rPr>
          <w:rFonts w:ascii="Arial" w:cs="Arial" w:eastAsia="Arial" w:hAnsi="Arial"/>
          <w:sz w:val="18"/>
          <w:szCs w:val="18"/>
          <w:color w:val="auto"/>
        </w:rPr>
        <w:t>(SOP 98-1). Capitalization of software development costs begins in the application development stage and ends</w:t>
      </w:r>
      <w:r>
        <w:rPr>
          <w:rFonts w:ascii="Arial" w:cs="Arial" w:eastAsia="Arial" w:hAnsi="Arial"/>
          <w:sz w:val="18"/>
          <w:szCs w:val="18"/>
          <w:i w:val="1"/>
          <w:iCs w:val="1"/>
          <w:color w:val="auto"/>
        </w:rPr>
        <w:t xml:space="preserve"> </w:t>
      </w:r>
      <w:r>
        <w:rPr>
          <w:rFonts w:ascii="Arial" w:cs="Arial" w:eastAsia="Arial" w:hAnsi="Arial"/>
          <w:sz w:val="18"/>
          <w:szCs w:val="18"/>
          <w:color w:val="auto"/>
        </w:rPr>
        <w:t>when the asset is placed into service. We amortize such costs using the straight-line basis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over estimated useful lives. Pursuant to SOP 98-1, we capitalized approximately $30,000 and $254,000 of software development and acquisition costs in 2005 and 2004 relating to systems supporting our business infrastructure.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117"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 xml:space="preserve">The purchase method of accounting for business combinations requires us to make use of estimates and judgments to allocate the purchase price paid for acquisitions to the fair value of the net tangible and identifiable intangible assets. Goodwill is tested for impairment annually, or when a possible impairment is indicated, using the fair value based test prescribed by Statement of Financial Accounting Standards (SFAS) No. 142, </w:t>
      </w:r>
      <w:r>
        <w:rPr>
          <w:rFonts w:ascii="Arial" w:cs="Arial" w:eastAsia="Arial" w:hAnsi="Arial"/>
          <w:sz w:val="17"/>
          <w:szCs w:val="17"/>
          <w:i w:val="1"/>
          <w:iCs w:val="1"/>
          <w:color w:val="auto"/>
        </w:rPr>
        <w:t>Goodwill and Other Intangible</w:t>
      </w:r>
      <w:r>
        <w:rPr>
          <w:rFonts w:ascii="Arial" w:cs="Arial" w:eastAsia="Arial" w:hAnsi="Arial"/>
          <w:sz w:val="17"/>
          <w:szCs w:val="17"/>
          <w:color w:val="auto"/>
        </w:rPr>
        <w:t xml:space="preserve"> </w:t>
      </w:r>
      <w:r>
        <w:rPr>
          <w:rFonts w:ascii="Arial" w:cs="Arial" w:eastAsia="Arial" w:hAnsi="Arial"/>
          <w:sz w:val="17"/>
          <w:szCs w:val="17"/>
          <w:i w:val="1"/>
          <w:iCs w:val="1"/>
          <w:color w:val="auto"/>
        </w:rPr>
        <w:t>Assets</w:t>
      </w:r>
      <w:r>
        <w:rPr>
          <w:rFonts w:ascii="Arial" w:cs="Arial" w:eastAsia="Arial" w:hAnsi="Arial"/>
          <w:sz w:val="17"/>
          <w:szCs w:val="17"/>
          <w:color w:val="auto"/>
        </w:rPr>
        <w:t>. The impairment test requires us to compare the fair value of business reporting units to carrying value, including goodwill. We primarily use an</w:t>
      </w:r>
      <w:r>
        <w:rPr>
          <w:rFonts w:ascii="Arial" w:cs="Arial" w:eastAsia="Arial" w:hAnsi="Arial"/>
          <w:sz w:val="17"/>
          <w:szCs w:val="17"/>
          <w:i w:val="1"/>
          <w:iCs w:val="1"/>
          <w:color w:val="auto"/>
        </w:rPr>
        <w:t xml:space="preserve"> </w:t>
      </w:r>
      <w:r>
        <w:rPr>
          <w:rFonts w:ascii="Arial" w:cs="Arial" w:eastAsia="Arial" w:hAnsi="Arial"/>
          <w:sz w:val="17"/>
          <w:szCs w:val="17"/>
          <w:color w:val="auto"/>
        </w:rPr>
        <w:t>“income approach” (which considers the present value of future cash flows) in combination with a “market approach” (which considers what other purchasers in the marketplace have paid for similar businesses) to determine fair value. Future cash flows typically include operating cash flows for the business for five years and an estimated terminal value. Management judgment is required in the estimation of future operating results and to determine the appropriate terminal values. Future operating results and terminal values could differ from the estimates and could require a provision for impairment in a future period. We performed our annual assessment of goodwill and determined that no impairment existed as of October 31, 2005.</w:t>
      </w:r>
    </w:p>
    <w:p>
      <w:pPr>
        <w:spacing w:after="0" w:line="7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Included in other assets in the accompanying consolidated financial statements are the following intangible assets: customer-related intangibles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$590,000 (accumulated amortization of $207,000 at October 31, 2005), brand name intangibles of $275,000 and other identified intangibles totaling $2,000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(accumulated amortization of $2,000 at October 31, 2005). The customer-related intangibles and other identified intangibles are being amortized over five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two years. The intangible asset related to the brand name currently has an indefinite remaining useful life and, as a result, is not currently subject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amortization. We anticipate recording amortization expense of approximately $119,000 per annum from fiscal 2006 through fiscal 2008, with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of approximately $26,000 recorded in fiscal 2009.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Long-lived assets, including fixed assets and intangible assets (other than goodwill), are continually monitored and are reviewed for impairment whenever events or changes in circumstances indicate that the carrying amount of any such asset may not be recoverable. The determination of recoverability is based on an estimate of undiscounted cash flows expected to result from the use of an asset and its eventual disposition. The estimate of undiscounted cash flows is based upon, among other things, certain assumptions about future operating performance, growth rates and other factors. Estimates of undiscounted cash flows may differ from actual cash flows due to, among other things, technological changes, economic conditions, changes to the business model or changes in operating performance. If the sum of the undiscounted cash flows (excluding interest) is less then the carrying value, an impairment loss will be recognized, measured as the amount by which the carrying value exceeds the fair value of the asset. We have evaluated our long-lived assets and determined that no impairment existed as of October 31, 2005.</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Long-lived assets held for sale are reported at the lower of carrying amount or fair value less cost to sell.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Advances to Suppliers</w:t>
      </w:r>
    </w:p>
    <w:p>
      <w:pPr>
        <w:spacing w:after="0" w:line="117" w:lineRule="exact"/>
        <w:rPr>
          <w:sz w:val="20"/>
          <w:szCs w:val="20"/>
          <w:color w:val="auto"/>
        </w:rPr>
      </w:pPr>
    </w:p>
    <w:p>
      <w:pPr>
        <w:ind w:right="160" w:firstLine="222"/>
        <w:spacing w:after="0" w:line="308" w:lineRule="auto"/>
        <w:rPr>
          <w:sz w:val="20"/>
          <w:szCs w:val="20"/>
          <w:color w:val="auto"/>
        </w:rPr>
      </w:pPr>
      <w:r>
        <w:rPr>
          <w:rFonts w:ascii="Arial" w:cs="Arial" w:eastAsia="Arial" w:hAnsi="Arial"/>
          <w:sz w:val="17"/>
          <w:szCs w:val="17"/>
          <w:color w:val="auto"/>
        </w:rPr>
        <w:t>We advance funds to third-party growers primarily in Chile and Mexico for various farming needs. We continuously evaluate the ability of these growers to repay advances in order to evaluate the possible need to record an allowance. No such allowance was required at October 31, 2005.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40" w:firstLine="225"/>
        <w:spacing w:after="0" w:line="286" w:lineRule="auto"/>
        <w:rPr>
          <w:sz w:val="20"/>
          <w:szCs w:val="20"/>
          <w:color w:val="auto"/>
        </w:rPr>
      </w:pPr>
      <w:r>
        <w:rPr>
          <w:rFonts w:ascii="Arial" w:cs="Arial" w:eastAsia="Arial" w:hAnsi="Arial"/>
          <w:sz w:val="17"/>
          <w:szCs w:val="17"/>
          <w:color w:val="auto"/>
        </w:rPr>
        <w:t>Sales of products and related costs of products sold are recognized when persuasive evidence of an arrangement exists, shipment has been made, title passes, the price is fixed or determinable and collectibility is reasonably assured. Service revenue, including freight, ripening, storage, bagging and palletization charges, is recorded when services are performed and sales of the related products are delivered.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Promotional Allowances</w:t>
      </w:r>
    </w:p>
    <w:p>
      <w:pPr>
        <w:spacing w:after="0" w:line="117" w:lineRule="exact"/>
        <w:rPr>
          <w:sz w:val="20"/>
          <w:szCs w:val="20"/>
          <w:color w:val="auto"/>
        </w:rPr>
      </w:pPr>
    </w:p>
    <w:p>
      <w:pPr>
        <w:ind w:right="60" w:firstLine="222"/>
        <w:spacing w:after="0" w:line="302" w:lineRule="auto"/>
        <w:rPr>
          <w:sz w:val="20"/>
          <w:szCs w:val="20"/>
          <w:color w:val="auto"/>
        </w:rPr>
      </w:pPr>
      <w:r>
        <w:rPr>
          <w:rFonts w:ascii="Arial" w:cs="Arial" w:eastAsia="Arial" w:hAnsi="Arial"/>
          <w:sz w:val="16"/>
          <w:szCs w:val="16"/>
          <w:color w:val="auto"/>
        </w:rPr>
        <w:t>We provide for promotional allowances at the time of sale, based on our historical experience. Our estimates are generally based on evaluating the average length of time between the product shipment date and the date on which we pay the customer the promotional allowance. The product of this lag factor and our historical promotional allowance payment rate is the basis for the promotional allowance included in accrued expenses on our balance sheet. Actual amounts may differ from these estimates and such differences are recognized as an adjustment to net sales in the period they are identified.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Accounts Receivable</w:t>
      </w:r>
    </w:p>
    <w:p>
      <w:pPr>
        <w:spacing w:after="0" w:line="117"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We provide an allowance for estimated uncollectible accounts receivable balances based on historical experience and the aging of the related accounts receivable.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Consignment Arrangements</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enter into consignment arrangements with avocado growers and packers located outside of the United States and growers of certain perishable products in the United States. Although we generally do not take legal title to avocados and perishable products, we do assume responsibilities (principally assuming credit risk, inventory loss and delivery risk, and limited pricing risk) that are consistent with acting as a principal in the transaction. Accordingly, the accompanying financial statements include sales and cost of sales from the sale of avocados and perishable products procured under consignment arrangements. Amounts recorded for each of the fiscal years ended October 31, 2005, 2004 and 2003 in the financial statements pursuant to consignment arrangements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32,003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26,878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33,675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Sales</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30,298</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25,985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31,900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Advertising costs are expensed when incurred. Such costs in fiscal 2005, 2004, and 2003 were approximately $264,000, $213,000, and $223,000.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amounts reported in the consolidated financial statements and accompanying notes. Among the significant estimates affecting the financial statements are those related to valuation allowances for accounts receivable, goodwill, grower advances, inventories, long-lived assets, valuation of and estimated useful lives of identifiable intangible assets, promotional allowances and income taxes. On an ongoing basis, management reviews its estimates based upon currently available information. Actual results could differ materially from those estimates.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 xml:space="preserve">We account for income taxes under the provisions of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This statement requires the recognition of deferred tax liabilities and assets for the future consequences of events that have been recognized in our consolidated financial statements or tax returns. Measurement of the deferred items is based on enacted tax laws. In the event the future consequences of differences between financial reporting bases and tax bases of our assets and liabilities result in a deferred tax asset, SFAS No. 109 requires an evaluation of the probability of being able to realize the future benefits indicated by such asset. A valuation allowance related to a deferred tax asset is recorded when it is more likely than not that some portion or all of the deferred tax asset will not be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Income per Share</w:t>
      </w:r>
    </w:p>
    <w:p>
      <w:pPr>
        <w:spacing w:after="0" w:line="117"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Basic earnings per share is calculated using the weighted-average number of common shares outstanding during the period without consideration of the dilutive effect of stock options. The basic weighted-average number of common shares outstanding was 13,892,000, 13,497,000, and 12,911,000 for fiscal years 2005, 2004, and 2003. Diluted earnings per common share is calculated using the weighted-average number of common shares outstanding during the period after consideration of the dilutive effect of stock options, which were 93,000, 85,000 and 33,000 for fiscal years 2005, 2004 and 2003. There were no anti-dilutive options for fiscal years 2005, 2004 and 2003.</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520" w:firstLine="215"/>
        <w:spacing w:after="0" w:line="264" w:lineRule="auto"/>
        <w:rPr>
          <w:sz w:val="20"/>
          <w:szCs w:val="20"/>
          <w:color w:val="auto"/>
        </w:rPr>
      </w:pPr>
      <w:r>
        <w:rPr>
          <w:rFonts w:ascii="Arial" w:cs="Arial" w:eastAsia="Arial" w:hAnsi="Arial"/>
          <w:sz w:val="18"/>
          <w:szCs w:val="18"/>
          <w:color w:val="auto"/>
        </w:rPr>
        <w:t xml:space="preserve">As permitted by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which was amended by SFAS No. 148, </w:t>
      </w:r>
      <w:r>
        <w:rPr>
          <w:rFonts w:ascii="Arial" w:cs="Arial" w:eastAsia="Arial" w:hAnsi="Arial"/>
          <w:sz w:val="18"/>
          <w:szCs w:val="18"/>
          <w:i w:val="1"/>
          <w:iCs w:val="1"/>
          <w:color w:val="auto"/>
        </w:rPr>
        <w:t>Accounting for Stock-Based</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 Transition and Disclosure</w:t>
      </w:r>
      <w:r>
        <w:rPr>
          <w:rFonts w:ascii="Arial" w:cs="Arial" w:eastAsia="Arial" w:hAnsi="Arial"/>
          <w:sz w:val="18"/>
          <w:szCs w:val="18"/>
          <w:color w:val="auto"/>
        </w:rPr>
        <w:t>, the Company accounts for stock-based compensation under Accounting Principles Board Opinion No. 25,</w:t>
      </w:r>
      <w:r>
        <w:rPr>
          <w:rFonts w:ascii="Arial" w:cs="Arial" w:eastAsia="Arial" w:hAnsi="Arial"/>
          <w:sz w:val="18"/>
          <w:szCs w:val="18"/>
          <w:i w:val="1"/>
          <w:iCs w:val="1"/>
          <w:color w:val="auto"/>
        </w:rPr>
        <w:t xml:space="preserve"> Accounting for Stock Issued to Employees </w:t>
      </w:r>
      <w:r>
        <w:rPr>
          <w:rFonts w:ascii="Arial" w:cs="Arial" w:eastAsia="Arial" w:hAnsi="Arial"/>
          <w:sz w:val="18"/>
          <w:szCs w:val="18"/>
          <w:color w:val="auto"/>
        </w:rPr>
        <w:t>(APB 25) and related interpretations.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Had stock-based compensation been determined based on the fair value at the grant date for awards consistent with the provisions of SFAS No. 123,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Company’s pro forma income and pro forma income per share would have been the amounts indicated below (in thousands, except per share amounts):</w:t>
      </w:r>
    </w:p>
    <w:p>
      <w:pPr>
        <w:spacing w:after="0" w:line="225"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Year ended</w:t>
      </w:r>
    </w:p>
    <w:p>
      <w:pPr>
        <w:ind w:left="9240"/>
        <w:spacing w:after="0" w:line="236" w:lineRule="auto"/>
        <w:rPr>
          <w:sz w:val="20"/>
          <w:szCs w:val="20"/>
          <w:color w:val="auto"/>
        </w:rPr>
      </w:pPr>
      <w:r>
        <w:rPr>
          <w:rFonts w:ascii="Arial" w:cs="Arial" w:eastAsia="Arial" w:hAnsi="Arial"/>
          <w:sz w:val="14"/>
          <w:szCs w:val="14"/>
          <w:b w:val="1"/>
          <w:bCs w:val="1"/>
          <w:color w:val="auto"/>
        </w:rPr>
        <w:t>October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2004</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As reported</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3,322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6,210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7,160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Add: Total stock-based compensation expense determined under APB 25 and related interpretations,</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of tax effects</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40" w:type="dxa"/>
            <w:vAlign w:val="bottom"/>
          </w:tcPr>
          <w:p>
            <w:pPr>
              <w:spacing w:after="0" w:line="201" w:lineRule="exact"/>
              <w:rPr>
                <w:sz w:val="20"/>
                <w:szCs w:val="20"/>
                <w:color w:val="auto"/>
              </w:rPr>
            </w:pPr>
            <w:r>
              <w:rPr>
                <w:rFonts w:ascii="Arial" w:cs="Arial" w:eastAsia="Arial" w:hAnsi="Arial"/>
                <w:sz w:val="18"/>
                <w:szCs w:val="18"/>
                <w:color w:val="auto"/>
                <w:w w:val="95"/>
              </w:rPr>
              <w:t>Deduct: Total stock-based compensation expense determined under fair value based method for all</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awards, net of tax effects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Pro forma</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6,210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7,160</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 as reported:</w:t>
            </w: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Diluted</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0.25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0.46</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pro forma:</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Basic</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0.25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0.46</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60" w:firstLine="225"/>
        <w:spacing w:after="0" w:line="264" w:lineRule="auto"/>
        <w:rPr>
          <w:sz w:val="20"/>
          <w:szCs w:val="20"/>
          <w:color w:val="auto"/>
        </w:rPr>
      </w:pPr>
      <w:r>
        <w:rPr>
          <w:rFonts w:ascii="Arial" w:cs="Arial" w:eastAsia="Arial" w:hAnsi="Arial"/>
          <w:sz w:val="18"/>
          <w:szCs w:val="18"/>
          <w:color w:val="auto"/>
        </w:rPr>
        <w:t>For purposes of pro forma disclosures under SFAS No. 123, the estimated fair value of the options is assumed to be amortized to compensation expense over the options’ vesting period. The fair value of the options granted in fiscal year 2005 and 2004 has been estimated at the date of grant using the Black-Scholes and binomial option pricing model with the following assumptions: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Expected volatility</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27.6%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26.9%</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Expected life (years)</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3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w:t>
            </w:r>
          </w:p>
        </w:tc>
      </w:tr>
    </w:tbl>
    <w:p>
      <w:pPr>
        <w:spacing w:after="0" w:line="94" w:lineRule="exact"/>
        <w:rPr>
          <w:sz w:val="20"/>
          <w:szCs w:val="20"/>
          <w:color w:val="auto"/>
        </w:rPr>
      </w:pPr>
    </w:p>
    <w:p>
      <w:pPr>
        <w:ind w:right="260" w:firstLine="222"/>
        <w:spacing w:after="0" w:line="257" w:lineRule="auto"/>
        <w:rPr>
          <w:sz w:val="20"/>
          <w:szCs w:val="20"/>
          <w:color w:val="auto"/>
        </w:rPr>
      </w:pPr>
      <w:r>
        <w:rPr>
          <w:rFonts w:ascii="Arial" w:cs="Arial" w:eastAsia="Arial" w:hAnsi="Arial"/>
          <w:sz w:val="18"/>
          <w:szCs w:val="18"/>
          <w:color w:val="auto"/>
        </w:rPr>
        <w:t>The Black-Scholes and binomial option valuation models were developed for use in estimating the fair value of traded options that have no vesting restrictions and are fully transferable. In addition, option valuation models require the input of highly subjective assumptions, including the expected stock price volatility. Because options held by our directors and employees have characteristics significantly different from those of traded options, and because changes in the subjective input assumptions can materially affect the fair value estimate, in our opinion, the existing models do not necessarily provide a reliable single measure of the fair value of these options.</w:t>
      </w:r>
    </w:p>
    <w:p>
      <w:pPr>
        <w:spacing w:after="0" w:line="80" w:lineRule="exact"/>
        <w:rPr>
          <w:sz w:val="20"/>
          <w:szCs w:val="20"/>
          <w:color w:val="auto"/>
        </w:rPr>
      </w:pPr>
    </w:p>
    <w:p>
      <w:pPr>
        <w:ind w:right="200" w:firstLine="225"/>
        <w:spacing w:after="0" w:line="279" w:lineRule="auto"/>
        <w:rPr>
          <w:sz w:val="20"/>
          <w:szCs w:val="20"/>
          <w:color w:val="auto"/>
        </w:rPr>
      </w:pPr>
      <w:r>
        <w:rPr>
          <w:rFonts w:ascii="Arial" w:cs="Arial" w:eastAsia="Arial" w:hAnsi="Arial"/>
          <w:sz w:val="17"/>
          <w:szCs w:val="17"/>
          <w:color w:val="auto"/>
        </w:rPr>
        <w:t xml:space="preserve">In December 2004, the Financial Standards Accounting Board issued SFAS No. 123(R), </w:t>
      </w:r>
      <w:r>
        <w:rPr>
          <w:rFonts w:ascii="Arial" w:cs="Arial" w:eastAsia="Arial" w:hAnsi="Arial"/>
          <w:sz w:val="17"/>
          <w:szCs w:val="17"/>
          <w:i w:val="1"/>
          <w:iCs w:val="1"/>
          <w:color w:val="auto"/>
        </w:rPr>
        <w:t>Share-Based Payment</w:t>
      </w:r>
      <w:r>
        <w:rPr>
          <w:rFonts w:ascii="Arial" w:cs="Arial" w:eastAsia="Arial" w:hAnsi="Arial"/>
          <w:sz w:val="17"/>
          <w:szCs w:val="17"/>
          <w:color w:val="auto"/>
        </w:rPr>
        <w:t>. This pronouncement amends SFAS No. 123 and supercedes APB 25. SFAS 123(R) requires that companies account for awards of equity instruments issued to employees under the fair value method of accounting and recognize such amounts in the statement of operations. The implementation of this statement will be effective beginning with the Company’s first quarter of fiscal 2006 and will be adopted using the modified prospective method.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 xml:space="preserve">We account for marketable securities in accordance with provisions of SFAS No. 115,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xml:space="preserve"> (SFAS 115). SFAS 115 addresses the accounting and reporting for investments in fixed maturity securities and for equity securities with readily determinable fair values. Our marketable securities consist of our investment in Limoneira stock (see Note 12). These securities are carried at fair value as determined from quoted market prices. The estimated fair value, cost, and gross unrealized gain related to such investment was $45.6 million, $23.45 million and $22.2 million as of October 31,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Remeasurement</w:t>
      </w:r>
    </w:p>
    <w:p>
      <w:pPr>
        <w:spacing w:after="0" w:line="117"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Our foreign operations are subject to exchange rate fluctuations and foreign currency transaction costs. The functional currency of our foreign subsidiaries is the United States dollar. As a result, monetary assets and liabilities are translated into U.S. dollars at exchange rates as of the balance sheet date and non-monetary assets, liabilities and equity are translated at historical rates. Sales and expenses are translated using a weighted-average exchange rate for the period. Gains and losses resulting from those remeasurements are included in income. Gains and losses resulting from foreign currency transactions are also recognized currently in income. Total foreign currency gains and losses for each of the three years ended October 31, 2005 do not exceed $0.1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 w:firstLine="222"/>
        <w:spacing w:after="0" w:line="342" w:lineRule="auto"/>
        <w:rPr>
          <w:sz w:val="20"/>
          <w:szCs w:val="20"/>
          <w:color w:val="auto"/>
        </w:rPr>
      </w:pPr>
      <w:r>
        <w:rPr>
          <w:rFonts w:ascii="Arial" w:cs="Arial" w:eastAsia="Arial" w:hAnsi="Arial"/>
          <w:sz w:val="16"/>
          <w:szCs w:val="16"/>
          <w:color w:val="auto"/>
        </w:rPr>
        <w:t>We believe that the carrying amounts of cash and cash equivalents, accounts receivable, notes receivable from shareholders, accounts payable, and fixed-rate long-term obligations approximates fair value based on either their short-term nature or on terms currently available to the Company in financial markets.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right="80" w:firstLine="222"/>
        <w:spacing w:after="0" w:line="308" w:lineRule="auto"/>
        <w:rPr>
          <w:sz w:val="20"/>
          <w:szCs w:val="20"/>
          <w:color w:val="auto"/>
        </w:rPr>
      </w:pPr>
      <w:r>
        <w:rPr>
          <w:rFonts w:ascii="Arial" w:cs="Arial" w:eastAsia="Arial" w:hAnsi="Arial"/>
          <w:sz w:val="17"/>
          <w:szCs w:val="17"/>
          <w:color w:val="auto"/>
        </w:rPr>
        <w:t>We do not presently engage in derivative or hedging activities. In addition, we have reviewed agreements and contracts and have determined that we have no derivative instruments, nor do any of our agreements and contracts contain embedded derivative instruments, as of October 31, 2005.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 xml:space="preserve">In November 2004, the Financial Accounting Standards Board (FASB) issued SFAS No. 151, </w:t>
      </w:r>
      <w:r>
        <w:rPr>
          <w:rFonts w:ascii="Arial" w:cs="Arial" w:eastAsia="Arial" w:hAnsi="Arial"/>
          <w:sz w:val="18"/>
          <w:szCs w:val="18"/>
          <w:i w:val="1"/>
          <w:iCs w:val="1"/>
          <w:color w:val="auto"/>
        </w:rPr>
        <w:t>Inventory Costs, an amendment of ARB No. 43, Chapter 4</w:t>
      </w:r>
      <w:r>
        <w:rPr>
          <w:rFonts w:ascii="Arial" w:cs="Arial" w:eastAsia="Arial" w:hAnsi="Arial"/>
          <w:sz w:val="18"/>
          <w:szCs w:val="18"/>
          <w:color w:val="auto"/>
        </w:rPr>
        <w:t xml:space="preserve"> (SFAS 151), to clarify that abnormal amounts of idle facility expense, freight, handling costs and wasted material (spoilage) should be recognized as current period charges, and that fixed production overheads should be allocated to inventory based on normal capacity of production facilities. This statement is effective for the Company’s fiscal year beginning November 1, 2005. We do not expect the adoption of this new pronouncement to be significant to our results of operations.</w:t>
      </w:r>
    </w:p>
    <w:p>
      <w:pPr>
        <w:spacing w:after="0" w:line="80"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 xml:space="preserve">In December 2004, the FASB issued 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 SFAS 123(R) amends FASB Statement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and supersedes APB Opinion No. 25,</w:t>
      </w:r>
      <w:r>
        <w:rPr>
          <w:rFonts w:ascii="Arial" w:cs="Arial" w:eastAsia="Arial" w:hAnsi="Arial"/>
          <w:sz w:val="18"/>
          <w:szCs w:val="18"/>
          <w:i w:val="1"/>
          <w:iCs w:val="1"/>
          <w:color w:val="auto"/>
        </w:rPr>
        <w:t xml:space="preserve"> Accounting for Stock Issued to Employees</w:t>
      </w:r>
      <w:r>
        <w:rPr>
          <w:rFonts w:ascii="Arial" w:cs="Arial" w:eastAsia="Arial" w:hAnsi="Arial"/>
          <w:sz w:val="18"/>
          <w:szCs w:val="18"/>
          <w:color w:val="auto"/>
        </w:rPr>
        <w:t>. SFAS 123(R) requires that</w:t>
      </w:r>
      <w:r>
        <w:rPr>
          <w:rFonts w:ascii="Arial" w:cs="Arial" w:eastAsia="Arial" w:hAnsi="Arial"/>
          <w:sz w:val="18"/>
          <w:szCs w:val="18"/>
          <w:i w:val="1"/>
          <w:iCs w:val="1"/>
          <w:color w:val="auto"/>
        </w:rPr>
        <w:t xml:space="preserve"> </w:t>
      </w:r>
      <w:r>
        <w:rPr>
          <w:rFonts w:ascii="Arial" w:cs="Arial" w:eastAsia="Arial" w:hAnsi="Arial"/>
          <w:sz w:val="18"/>
          <w:szCs w:val="18"/>
          <w:color w:val="auto"/>
        </w:rPr>
        <w:t>public companies account for awards of equity instruments issued to employees under the fair value method of accounting and recognize such amounts in the statement of operations. The implementation of this statement will be effective beginning with our first quarter of fiscal 2006. We expect the impact of this new pronouncement could be significant to our results of operations.</w:t>
      </w:r>
    </w:p>
    <w:p>
      <w:pPr>
        <w:spacing w:after="0" w:line="80"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 xml:space="preserve">In May 2005, the FASB issued SFAS 154, </w:t>
      </w:r>
      <w:r>
        <w:rPr>
          <w:rFonts w:ascii="Arial" w:cs="Arial" w:eastAsia="Arial" w:hAnsi="Arial"/>
          <w:sz w:val="16"/>
          <w:szCs w:val="16"/>
          <w:i w:val="1"/>
          <w:iCs w:val="1"/>
          <w:color w:val="auto"/>
        </w:rPr>
        <w:t>Accounting changes and Error Corrections</w:t>
      </w:r>
      <w:r>
        <w:rPr>
          <w:rFonts w:ascii="Arial" w:cs="Arial" w:eastAsia="Arial" w:hAnsi="Arial"/>
          <w:sz w:val="16"/>
          <w:szCs w:val="16"/>
          <w:color w:val="auto"/>
        </w:rPr>
        <w:t xml:space="preserve">, which replaces APB Opinion No. 20, </w:t>
      </w:r>
      <w:r>
        <w:rPr>
          <w:rFonts w:ascii="Arial" w:cs="Arial" w:eastAsia="Arial" w:hAnsi="Arial"/>
          <w:sz w:val="16"/>
          <w:szCs w:val="16"/>
          <w:i w:val="1"/>
          <w:iCs w:val="1"/>
          <w:color w:val="auto"/>
        </w:rPr>
        <w:t>Accounting Changes</w:t>
      </w:r>
      <w:r>
        <w:rPr>
          <w:rFonts w:ascii="Arial" w:cs="Arial" w:eastAsia="Arial" w:hAnsi="Arial"/>
          <w:sz w:val="16"/>
          <w:szCs w:val="16"/>
          <w:color w:val="auto"/>
        </w:rPr>
        <w:t xml:space="preserve">, and SFAS No. 3, </w:t>
      </w:r>
      <w:r>
        <w:rPr>
          <w:rFonts w:ascii="Arial" w:cs="Arial" w:eastAsia="Arial" w:hAnsi="Arial"/>
          <w:sz w:val="16"/>
          <w:szCs w:val="16"/>
          <w:i w:val="1"/>
          <w:iCs w:val="1"/>
          <w:color w:val="auto"/>
        </w:rPr>
        <w:t>Reporting Accounting Changes in Interim Financial Statements</w:t>
      </w:r>
      <w:r>
        <w:rPr>
          <w:rFonts w:ascii="Arial" w:cs="Arial" w:eastAsia="Arial" w:hAnsi="Arial"/>
          <w:sz w:val="16"/>
          <w:szCs w:val="16"/>
          <w:color w:val="auto"/>
        </w:rPr>
        <w:t>. SFAS No. 154 applies to all voluntary changes in accounting principles and requires retrospective application (a term defined by the statement) to prior periods’ financial statements, unless it is impracticable to determine the effect of a change. It also applies to changes required by an accounting pronouncement that does not include specific transition provisions. SFAS No. 154 is effective for accounting changes and corrections of errors made in fiscal years beginning after December 15, 2005. We will adopt SFAS No. 154 as of the beginning of fiscal 2007 and do not expect that the adoption of SFAS No. 154 will have a material impact on our financial condition of results of operations.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jc w:val="both"/>
        <w:ind w:right="280" w:firstLine="225"/>
        <w:spacing w:after="0" w:line="312" w:lineRule="auto"/>
        <w:rPr>
          <w:sz w:val="20"/>
          <w:szCs w:val="20"/>
          <w:color w:val="auto"/>
        </w:rPr>
      </w:pPr>
      <w:r>
        <w:rPr>
          <w:rFonts w:ascii="Arial" w:cs="Arial" w:eastAsia="Arial" w:hAnsi="Arial"/>
          <w:sz w:val="16"/>
          <w:szCs w:val="16"/>
          <w:color w:val="auto"/>
        </w:rPr>
        <w:t>Comprehensive income is defined as all changes in a company’s net assets, except changes resulting from transactions with shareholders. For the fiscal year ended October 31, 2005, other comprehensive income includes the unrealized gain on our Limoneira investment totaling $13.4 million, net of income taxes. There was no significant difference between comprehensive income and net income for the fiscal years ended October 31, 2004 and 2003.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items in the prior period financial statements have been reclassified to conform to the current period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Inventories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October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Fresh fruit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3,424</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Packing supplies and ingredients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2,015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2,081</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Finished processed foods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5,870</w:t>
            </w:r>
          </w:p>
        </w:tc>
      </w:tr>
      <w:tr>
        <w:trPr>
          <w:trHeight w:val="223"/>
        </w:trPr>
        <w:tc>
          <w:tcPr>
            <w:tcW w:w="9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10,096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11,375</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Cost of goods sold for fiscal year 2005, 2004 and 2003, include inventory write-downs of $0.1 million, $0.3 million and $0.1 million. Write-downs in fiscal 2005 primarily related to a reduction in the cost of pulp used in certain processed avocado products. Write-downs in fiscal year 2004 primarily related to improper handling of product, which we believe related to a subcontractor’s error. Write-downs in fiscal 2003 primarily related to reduced customer demand and the discontinuance of various supplies for certain processed avocado products.</w:t>
      </w:r>
    </w:p>
    <w:p>
      <w:pPr>
        <w:spacing w:after="0" w:line="79"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We assess the recoverability of inventories through an ongoing review of inventory levels in relation to sales and forecasts, and product marketing plans. When the inventory on hand, at the time of the review, exceeds the foreseeable demand, the value of inventory that is not expected to be sold is written down. The amount of the write-down is the excess of historical cost over estimated realizable value (generally zero). Once established, these write-downs are considered permanent adjustments to the cost basis of the excess inventory.</w:t>
      </w:r>
    </w:p>
    <w:p>
      <w:pPr>
        <w:spacing w:after="0" w:line="79"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The assessment of the recoverability of inventories and the amounts of any write-downs are based on currently available information and assumptions about future demand and market conditions. Demand for processed avocado products may fluctuate significantly over time, and actual demand and market conditions may be more or less favorable than our projections. In the event that actual demand is lower than originally projected, additional inventory write-downs may be required.</w:t>
      </w:r>
    </w:p>
    <w:p>
      <w:pPr>
        <w:spacing w:after="0" w:line="79"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We may retain and make available for sale some or all of the inventories which have been written down. In the event that actual demand is higher than originally projected, we may be able to sell a portion of these inventories in the future. We generally scrap inventories which have been written down and are identified as obsolete.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Property, plant, and equipment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October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13,611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13,342</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Equipment</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28,889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28,387</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Information systems — Hardware and software</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3,927</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1,349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1,675</w:t>
            </w:r>
          </w:p>
        </w:tc>
      </w:tr>
      <w:tr>
        <w:trPr>
          <w:trHeight w:val="27"/>
        </w:trPr>
        <w:tc>
          <w:tcPr>
            <w:tcW w:w="63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49,010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48,507</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(32,113)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(31,080)</w:t>
            </w:r>
          </w:p>
        </w:tc>
      </w:tr>
      <w:tr>
        <w:trPr>
          <w:trHeight w:val="27"/>
        </w:trPr>
        <w:tc>
          <w:tcPr>
            <w:tcW w:w="63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8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16,897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17,427</w:t>
            </w:r>
          </w:p>
        </w:tc>
      </w:tr>
      <w:tr>
        <w:trPr>
          <w:trHeight w:val="20"/>
        </w:trPr>
        <w:tc>
          <w:tcPr>
            <w:tcW w:w="63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net book value of our old corporate headquarters building, located in Santa Ana, California, totaling approximately $1.7 million, is recorded as Building held for sale in the accompanying October 31, 2004 balance sheet. In March 2005, we completed the sale of such corporate headquarters building for $3.4 million. This transaction resulted in a pre-tax gain on sale of approximately $1.7 million. In conjunction with such sale, we relocated our corporate offices to Santa Paula, California in March 2005. Total expenses related to such relocation approximated $0.4 million. Depreciation expense was $2.7 million, $2.6 million and $2.0 million for fiscal years 2005, 2004, and 2003.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Assets</w:t>
      </w:r>
    </w:p>
    <w:p>
      <w:pPr>
        <w:spacing w:after="0" w:line="121"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During 1999, we established a Grower Development Program whereby funds could be advanced to growers in exchange for their commitment to deliver a minimum volume of avocados on an annual basis. As of October 31, 2005 and 2004, no additional amounts have been advanced pursuant to this program. Subsequent to October 31, 2005, however, we advanced $0.7 million to certain growers and expect to advance significant additional funds pursuant to this program in fiscal 2006. Advances are not repaid and are amortized to cost of goods sold over the term of the related agreements. The financial statements for fiscal years 2005, 2004, and 2003 include a charge of approximately $322,000, $322,000 and $308,000 representing the amortization of these advances.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Short-Term Borrowings</w:t>
      </w:r>
    </w:p>
    <w:p>
      <w:pPr>
        <w:spacing w:after="0" w:line="121"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During calendar year 2005, we renewed our two short-term, non-collateralized, revolving credit facilities. These credit facilities expire in February 2007 and April 2008 and are with separate banks. Under the terms of these agreements, we are advanced funds for working capital purposes. Total credit available under the combined short-term borrowing agreements was $24 million, with a weighted-average interest rate of 4.8% and 2.9% at October 31, 2005 and 2004. Under these credit facilities, we had $1.4 million and $2.0 million outstanding as of October 31, 2005 and 2004. The credit facilities contain various financial covenants with which we were in compliance at October 31, 2005. The most significant financial covenants relate to working capital, tangible net worth (as defined), and Earnings Before Interest, Taxes, Depreciation and Amortization (EBITDA) (as defined) requirements.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Employee Benefit Plans</w:t>
      </w:r>
    </w:p>
    <w:p>
      <w:pPr>
        <w:spacing w:after="0" w:line="121" w:lineRule="exact"/>
        <w:rPr>
          <w:sz w:val="20"/>
          <w:szCs w:val="20"/>
          <w:color w:val="auto"/>
        </w:rPr>
      </w:pPr>
    </w:p>
    <w:p>
      <w:pPr>
        <w:jc w:val="both"/>
        <w:ind w:right="80" w:firstLine="222"/>
        <w:spacing w:after="0" w:line="342" w:lineRule="auto"/>
        <w:rPr>
          <w:sz w:val="20"/>
          <w:szCs w:val="20"/>
          <w:color w:val="auto"/>
        </w:rPr>
      </w:pPr>
      <w:r>
        <w:rPr>
          <w:rFonts w:ascii="Arial" w:cs="Arial" w:eastAsia="Arial" w:hAnsi="Arial"/>
          <w:sz w:val="16"/>
          <w:szCs w:val="16"/>
          <w:color w:val="auto"/>
        </w:rPr>
        <w:t>We sponsor two defined contribution retirement plans for salaried and hourly employees. Expenses for these plans approximated $399,000, $409,000, and $411,000 for fiscal years 2005, 2004 and 2003, which are included in selling, general and administrative expenses in the accompanying financial statements.</w:t>
      </w:r>
    </w:p>
    <w:p>
      <w:pPr>
        <w:spacing w:after="0" w:line="16"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We also sponsor a non-qualified defined benefit plan for two retired executives. Pension expenses and actuarial losses approximated $65,000, $49,000, and $59,000 for the years ended October 31, 2005, 2004, and 2003, which are included in selling, general and administrative expenses in the accompanying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Components of the change in projected benefit obligation for fiscal year ends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Projected benefit obligation at beginning of year</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Actuarial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paid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Projected benefit obligation at end of year (unfunded)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reconciliation of the unfunded status of the plans at fiscal year ends included in accrued expenses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510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Unrecognized net (gain) loss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Recorded pension liabilities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510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vMerge w:val="restart"/>
          </w:tcPr>
          <w:p>
            <w:pPr>
              <w:ind w:left="220"/>
              <w:spacing w:after="0"/>
              <w:rPr>
                <w:sz w:val="20"/>
                <w:szCs w:val="20"/>
                <w:color w:val="auto"/>
              </w:rPr>
            </w:pPr>
            <w:r>
              <w:rPr>
                <w:rFonts w:ascii="Arial" w:cs="Arial" w:eastAsia="Arial" w:hAnsi="Arial"/>
                <w:sz w:val="18"/>
                <w:szCs w:val="18"/>
                <w:color w:val="auto"/>
              </w:rPr>
              <w:t>Significant assumptions used in the determination of pension expense consist of the following:</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180" w:type="dxa"/>
            <w:vAlign w:val="bottom"/>
            <w:gridSpan w:val="2"/>
            <w:vMerge w:val="restart"/>
          </w:tcPr>
          <w:p>
            <w:pPr>
              <w:spacing w:after="0"/>
              <w:rPr>
                <w:sz w:val="20"/>
                <w:szCs w:val="20"/>
                <w:color w:val="auto"/>
              </w:rPr>
            </w:pPr>
            <w:r>
              <w:rPr>
                <w:rFonts w:ascii="Arial" w:cs="Arial" w:eastAsia="Arial" w:hAnsi="Arial"/>
                <w:sz w:val="18"/>
                <w:szCs w:val="18"/>
                <w:color w:val="auto"/>
              </w:rPr>
              <w:t>Discount rate on projected benefit obligation</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9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6.00%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guarantees</w:t>
      </w:r>
    </w:p>
    <w:p>
      <w:pPr>
        <w:spacing w:after="0" w:line="117" w:lineRule="exact"/>
        <w:rPr>
          <w:sz w:val="20"/>
          <w:szCs w:val="20"/>
          <w:color w:val="auto"/>
        </w:rPr>
      </w:pPr>
    </w:p>
    <w:p>
      <w:pPr>
        <w:ind w:right="620" w:firstLine="222"/>
        <w:spacing w:after="0" w:line="277" w:lineRule="auto"/>
        <w:rPr>
          <w:sz w:val="20"/>
          <w:szCs w:val="20"/>
          <w:color w:val="auto"/>
        </w:rPr>
      </w:pPr>
      <w:r>
        <w:rPr>
          <w:rFonts w:ascii="Arial" w:cs="Arial" w:eastAsia="Arial" w:hAnsi="Arial"/>
          <w:sz w:val="18"/>
          <w:szCs w:val="18"/>
          <w:color w:val="auto"/>
        </w:rPr>
        <w:t>We lease facilities and certain equipment under non cancelable operating leases expiring at various dates through 2009. We are committed to make minimum cash payments under these agreements as of October 31, 2005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5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2007</w:t>
            </w:r>
          </w:p>
        </w:tc>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836</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2009</w:t>
            </w:r>
          </w:p>
        </w:tc>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Thereafter</w:t>
            </w:r>
          </w:p>
        </w:tc>
        <w:tc>
          <w:tcPr>
            <w:tcW w:w="4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r>
      <w:tr>
        <w:trPr>
          <w:trHeight w:val="216"/>
        </w:trPr>
        <w:tc>
          <w:tcPr>
            <w:tcW w:w="570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3,706</w:t>
            </w:r>
          </w:p>
        </w:tc>
      </w:tr>
      <w:tr>
        <w:trPr>
          <w:trHeight w:val="20"/>
        </w:trPr>
        <w:tc>
          <w:tcPr>
            <w:tcW w:w="57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Rental expenses amounted to approximately $1,158,000, $1,121,000, and $1,163,000 for the years ended October 31, 2005, 2004, and 2003.</w:t>
      </w:r>
    </w:p>
    <w:p>
      <w:pPr>
        <w:spacing w:after="0" w:line="129"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We indemnify our directors and have the power to indemnify each of our officers, employees and other agents, to the maximum extent permitted by applicable law. The maximum amount of potential future payments under such indemnifications is not determinable. No amounts have been accrued in the accompanying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We are currently under examination by the Mexican tax authorities (Hacienda) for the tax year ended December 31, 2000. During the first quarter of fiscal 2005, we received an assessment totaling approximately $2.0 million from Hacienda related to the amount of income at our Mexican subsidiary. Based primarily on discussions with legal counsel and the evaluation of our claim, we believe that Hacienda’s position has no merit and that the Company will prevail. Accordingly, no amounts have been provided in the financial statements as of October 31, 2005. We pledged our processed products building located in Uruapan, Michoacan, Mexico as collateral to the Hacienda in regards to this assessment.</w:t>
      </w:r>
    </w:p>
    <w:p>
      <w:pPr>
        <w:spacing w:after="0" w:line="64"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We are also involved in litigation arising in the ordinary course of our business that we do not believe will have a material adverse impact on our financial statements.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Related-Party Transactions</w:t>
      </w:r>
    </w:p>
    <w:p>
      <w:pPr>
        <w:spacing w:after="0" w:line="121" w:lineRule="exact"/>
        <w:rPr>
          <w:sz w:val="20"/>
          <w:szCs w:val="20"/>
          <w:color w:val="auto"/>
        </w:rPr>
      </w:pPr>
    </w:p>
    <w:p>
      <w:pPr>
        <w:jc w:val="both"/>
        <w:ind w:right="580" w:firstLine="222"/>
        <w:spacing w:after="0" w:line="312" w:lineRule="auto"/>
        <w:rPr>
          <w:sz w:val="20"/>
          <w:szCs w:val="20"/>
          <w:color w:val="auto"/>
        </w:rPr>
      </w:pPr>
      <w:r>
        <w:rPr>
          <w:rFonts w:ascii="Arial" w:cs="Arial" w:eastAsia="Arial" w:hAnsi="Arial"/>
          <w:sz w:val="16"/>
          <w:szCs w:val="16"/>
          <w:color w:val="auto"/>
        </w:rPr>
        <w:t>We sell papayas procured from an entity owned by the Chairman of our Board of Directors and CEO. Sales of papayas amounted to approximately $6,251,000, $6,846,000, and $2,920,000 for the years ended October 31, 2005, 2004, and 2003, resulting in gross margins of approximately $510,000, $864,000 and $281,000. Net amounts due to this entity approximated $79,000, $113,000, and $278,000 at October 31, 2005, 2004, and 2003.</w:t>
      </w:r>
    </w:p>
    <w:p>
      <w:pPr>
        <w:spacing w:after="0" w:line="39"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color w:val="auto"/>
        </w:rPr>
        <w:t>Certain members of our Board of Directors market avocados through Calavo pursuant to our customary marketing agreements. During the years ended October 31, 2005, 2004 and 2003, the aggregate amount of avocados procured from entities owned or controlled by members of our Board of Directors, was $5.2 million, $4.7 million and $4.5 million. Accounts payable to these Board members were $0.2 million and $0.3 million as of October 31, 2005 and 2004.</w:t>
      </w:r>
    </w:p>
    <w:p>
      <w:pPr>
        <w:spacing w:after="0" w:line="39"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 August 2005, we repurchased 200,000 shares of our common stock at an average price per share of $10.00 from the estate of a deceased former member of our Board of Directors. In December 2005, we repurchased another 120,000 shares of our common stock at an average price per share of $10.00 from the same estate.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12 for discussion related to our investment in Limoneira.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income tax provision consists of the following for the years ended October 31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Federal</w:t>
            </w:r>
          </w:p>
        </w:tc>
        <w:tc>
          <w:tcPr>
            <w:tcW w:w="3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3,046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3,018</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767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Foreign</w:t>
            </w: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3,887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Deferred</w:t>
            </w: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(1,925)</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w:t>
            </w:r>
          </w:p>
        </w:tc>
        <w:tc>
          <w:tcPr>
            <w:tcW w:w="3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3,567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15"/>
        <w:spacing w:after="0" w:line="312" w:lineRule="auto"/>
        <w:rPr>
          <w:sz w:val="20"/>
          <w:szCs w:val="20"/>
          <w:color w:val="auto"/>
        </w:rPr>
      </w:pPr>
      <w:r>
        <w:rPr>
          <w:rFonts w:ascii="Arial" w:cs="Arial" w:eastAsia="Arial" w:hAnsi="Arial"/>
          <w:sz w:val="16"/>
          <w:szCs w:val="16"/>
          <w:color w:val="auto"/>
        </w:rPr>
        <w:t>At October 31, 2005 and 2004, gross deferred tax assets totaled approximately $3.1 million and $2.0 million, while gross deferred tax liabilities totaled approximately $9.1 million and $1.1 million. Deferred income taxes reflect the net of temporary differences between the carrying amount of assets and liabilities for financial reporting and income tax purposes. Significant components of our deferred taxes as of October 31, 2005 and 2004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Allowances for accounts receivable</w:t>
            </w:r>
          </w:p>
        </w:tc>
        <w:tc>
          <w:tcPr>
            <w:tcW w:w="5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2,065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Inventories</w:t>
            </w:r>
          </w:p>
        </w:tc>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State taxes</w:t>
            </w:r>
          </w:p>
        </w:tc>
        <w:tc>
          <w:tcPr>
            <w:tcW w:w="5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Accrued liabilities</w:t>
            </w:r>
          </w:p>
        </w:tc>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181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income taxes</w:t>
            </w:r>
          </w:p>
        </w:tc>
        <w:tc>
          <w:tcPr>
            <w:tcW w:w="5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Property, plant, and equipment</w:t>
            </w:r>
          </w:p>
        </w:tc>
        <w:tc>
          <w:tcPr>
            <w:tcW w:w="5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Unrealized Gain, Limoneira investment</w:t>
            </w:r>
          </w:p>
        </w:tc>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(8,798)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Retirement benefits</w:t>
            </w:r>
          </w:p>
        </w:tc>
        <w:tc>
          <w:tcPr>
            <w:tcW w:w="5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w:t>
            </w:r>
          </w:p>
        </w:tc>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income taxes</w:t>
            </w:r>
          </w:p>
        </w:tc>
        <w:tc>
          <w:tcPr>
            <w:tcW w:w="5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(8,589)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040" w:type="dxa"/>
            <w:vAlign w:val="bottom"/>
            <w:vMerge w:val="restart"/>
          </w:tcPr>
          <w:p>
            <w:pPr>
              <w:jc w:val="right"/>
              <w:ind w:right="3390"/>
              <w:spacing w:after="0"/>
              <w:rPr>
                <w:sz w:val="20"/>
                <w:szCs w:val="20"/>
                <w:color w:val="auto"/>
              </w:rPr>
            </w:pPr>
            <w:r>
              <w:rPr>
                <w:rFonts w:ascii="Arial" w:cs="Arial" w:eastAsia="Arial" w:hAnsi="Arial"/>
                <w:sz w:val="18"/>
                <w:szCs w:val="18"/>
                <w:color w:val="auto"/>
              </w:rPr>
              <w:t>40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50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firstLine="215"/>
        <w:spacing w:after="0" w:line="277" w:lineRule="auto"/>
        <w:rPr>
          <w:sz w:val="20"/>
          <w:szCs w:val="20"/>
          <w:color w:val="auto"/>
        </w:rPr>
      </w:pPr>
      <w:r>
        <w:rPr>
          <w:rFonts w:ascii="Arial" w:cs="Arial" w:eastAsia="Arial" w:hAnsi="Arial"/>
          <w:sz w:val="18"/>
          <w:szCs w:val="18"/>
          <w:color w:val="auto"/>
        </w:rPr>
        <w:t>A reconciliation of the significant differences between the federal statutory income tax rate and the effective income tax rate on pretax income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2005</w:t>
            </w:r>
          </w:p>
        </w:tc>
        <w:tc>
          <w:tcPr>
            <w:tcW w:w="740" w:type="dxa"/>
            <w:vAlign w:val="bottom"/>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720" w:type="dxa"/>
            <w:vAlign w:val="bottom"/>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4"/>
                <w:szCs w:val="14"/>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tax rate</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State taxes, net of federal effects</w:t>
            </w:r>
          </w:p>
        </w:tc>
        <w:tc>
          <w:tcPr>
            <w:tcW w:w="1400" w:type="dxa"/>
            <w:vAlign w:val="bottom"/>
            <w:gridSpan w:val="2"/>
          </w:tcPr>
          <w:p>
            <w:pPr>
              <w:jc w:val="right"/>
              <w:ind w:right="740"/>
              <w:spacing w:after="0"/>
              <w:rPr>
                <w:sz w:val="20"/>
                <w:szCs w:val="20"/>
                <w:color w:val="auto"/>
              </w:rPr>
            </w:pPr>
            <w:r>
              <w:rPr>
                <w:rFonts w:ascii="Arial" w:cs="Arial" w:eastAsia="Arial" w:hAnsi="Arial"/>
                <w:sz w:val="18"/>
                <w:szCs w:val="18"/>
                <w:color w:val="auto"/>
              </w:rPr>
              <w:t>5</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taxes greater (less) than U.S.</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Benefit of lower federal tax brackets</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(1)</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0"/>
        </w:trPr>
        <w:tc>
          <w:tcPr>
            <w:tcW w:w="77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778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40%</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0"/>
        </w:trPr>
        <w:tc>
          <w:tcPr>
            <w:tcW w:w="7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We intend to reinvest our foreign earnings, which approximated $2.8 million at October 31, 2005, indefinitely. As a result, we have not provided any deferred income taxes on such unremitted earnings.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For fiscal years 2005, 2004 and 2003, income before income taxes related to domestic operations was approximately $4.8 million, $9.0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$11.1 million. For fiscal years 2005, 2004 and 2003, income before income taxes related to foreign operations was approximately $0.7 million, $0.8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$0.4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21"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We operate and track results in three reportable segments: California avocados, international avocados and perishable foods products, and processed products. These three business segments are presented based on our management structure and information used by our president to measure performance and allocate resources. The California avocados segment includes all operations that involve the distribution of avocados grown in California. The international avocados and perishable foods products segment includes both operations related to distribution of fresh avocados grown outside of California and distribution of other perishable food items. The processed products segment represents all operations related to the purchase, manufacturing, and distribution of processed avocado products. Those costs that can be specifically identified with a particular product line are charged directly to that product line. Costs that are not segment specific are generally allocated based on two-year average sales dollars. We do not allocate assets or specifically identify them to our operating segments.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International</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68"/>
              <w:spacing w:after="0" w:line="149" w:lineRule="exact"/>
              <w:rPr>
                <w:sz w:val="20"/>
                <w:szCs w:val="20"/>
                <w:color w:val="auto"/>
              </w:rPr>
            </w:pPr>
            <w:r>
              <w:rPr>
                <w:rFonts w:ascii="Arial" w:cs="Arial" w:eastAsia="Arial" w:hAnsi="Arial"/>
                <w:sz w:val="14"/>
                <w:szCs w:val="14"/>
                <w:b w:val="1"/>
                <w:bCs w:val="1"/>
                <w:color w:val="auto"/>
                <w:w w:val="86"/>
              </w:rPr>
              <w:t>avocados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88"/>
              <w:spacing w:after="0" w:line="149" w:lineRule="exact"/>
              <w:rPr>
                <w:sz w:val="20"/>
                <w:szCs w:val="20"/>
                <w:color w:val="auto"/>
              </w:rPr>
            </w:pPr>
            <w:r>
              <w:rPr>
                <w:rFonts w:ascii="Arial" w:cs="Arial" w:eastAsia="Arial" w:hAnsi="Arial"/>
                <w:sz w:val="14"/>
                <w:szCs w:val="14"/>
                <w:b w:val="1"/>
                <w:bCs w:val="1"/>
                <w:color w:val="auto"/>
                <w:w w:val="88"/>
              </w:rPr>
              <w:t>and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36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rPr>
              <w:t>California</w:t>
            </w:r>
          </w:p>
        </w:tc>
        <w:tc>
          <w:tcPr>
            <w:tcW w:w="1160" w:type="dxa"/>
            <w:vAlign w:val="bottom"/>
            <w:gridSpan w:val="3"/>
          </w:tcPr>
          <w:p>
            <w:pPr>
              <w:jc w:val="center"/>
              <w:ind w:right="248"/>
              <w:spacing w:after="0" w:line="149" w:lineRule="exact"/>
              <w:rPr>
                <w:sz w:val="20"/>
                <w:szCs w:val="20"/>
                <w:color w:val="auto"/>
              </w:rPr>
            </w:pPr>
            <w:r>
              <w:rPr>
                <w:rFonts w:ascii="Arial" w:cs="Arial" w:eastAsia="Arial" w:hAnsi="Arial"/>
                <w:sz w:val="14"/>
                <w:szCs w:val="14"/>
                <w:b w:val="1"/>
                <w:bCs w:val="1"/>
                <w:color w:val="auto"/>
                <w:w w:val="91"/>
              </w:rPr>
              <w:t>perishable</w:t>
            </w:r>
          </w:p>
        </w:tc>
        <w:tc>
          <w:tcPr>
            <w:tcW w:w="320" w:type="dxa"/>
            <w:vAlign w:val="bottom"/>
          </w:tcPr>
          <w:p>
            <w:pPr>
              <w:spacing w:after="0"/>
              <w:rPr>
                <w:sz w:val="12"/>
                <w:szCs w:val="12"/>
                <w:color w:val="auto"/>
              </w:rPr>
            </w:pPr>
          </w:p>
        </w:tc>
        <w:tc>
          <w:tcPr>
            <w:tcW w:w="1040" w:type="dxa"/>
            <w:vAlign w:val="bottom"/>
            <w:gridSpan w:val="3"/>
            <w:vMerge w:val="restart"/>
          </w:tcPr>
          <w:p>
            <w:pPr>
              <w:jc w:val="right"/>
              <w:ind w:right="324"/>
              <w:spacing w:after="0"/>
              <w:rPr>
                <w:sz w:val="20"/>
                <w:szCs w:val="20"/>
                <w:color w:val="auto"/>
              </w:rPr>
            </w:pPr>
            <w:r>
              <w:rPr>
                <w:rFonts w:ascii="Arial" w:cs="Arial" w:eastAsia="Arial" w:hAnsi="Arial"/>
                <w:sz w:val="14"/>
                <w:szCs w:val="14"/>
                <w:b w:val="1"/>
                <w:bCs w:val="1"/>
                <w:color w:val="auto"/>
                <w:w w:val="87"/>
              </w:rPr>
              <w:t>Processed</w:t>
            </w:r>
          </w:p>
        </w:tc>
        <w:tc>
          <w:tcPr>
            <w:tcW w:w="150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Inter-segment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88"/>
              <w:spacing w:after="0" w:line="149" w:lineRule="exact"/>
              <w:rPr>
                <w:sz w:val="20"/>
                <w:szCs w:val="20"/>
                <w:color w:val="auto"/>
              </w:rPr>
            </w:pPr>
            <w:r>
              <w:rPr>
                <w:rFonts w:ascii="Arial" w:cs="Arial" w:eastAsia="Arial" w:hAnsi="Arial"/>
                <w:sz w:val="14"/>
                <w:szCs w:val="14"/>
                <w:b w:val="1"/>
                <w:bCs w:val="1"/>
                <w:color w:val="auto"/>
                <w:w w:val="85"/>
              </w:rPr>
              <w:t>food</w:t>
            </w:r>
          </w:p>
        </w:tc>
        <w:tc>
          <w:tcPr>
            <w:tcW w:w="3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avocados</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products</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products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eliminations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(All</w:t>
            </w:r>
          </w:p>
        </w:tc>
        <w:tc>
          <w:tcPr>
            <w:tcW w:w="13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5"/>
              </w:rPr>
              <w:t>amounts are presented</w:t>
            </w:r>
          </w:p>
        </w:tc>
        <w:tc>
          <w:tcPr>
            <w:tcW w:w="94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October 31, 2005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116,308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68"/>
              <w:spacing w:after="0"/>
              <w:rPr>
                <w:sz w:val="20"/>
                <w:szCs w:val="20"/>
                <w:color w:val="auto"/>
              </w:rPr>
            </w:pPr>
            <w:r>
              <w:rPr>
                <w:rFonts w:ascii="Arial" w:cs="Arial" w:eastAsia="Arial" w:hAnsi="Arial"/>
                <w:sz w:val="18"/>
                <w:szCs w:val="18"/>
                <w:color w:val="auto"/>
              </w:rPr>
              <w:t>129,831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4"/>
              <w:spacing w:after="0"/>
              <w:rPr>
                <w:sz w:val="20"/>
                <w:szCs w:val="20"/>
                <w:color w:val="auto"/>
              </w:rPr>
            </w:pPr>
            <w:r>
              <w:rPr>
                <w:rFonts w:ascii="Arial" w:cs="Arial" w:eastAsia="Arial" w:hAnsi="Arial"/>
                <w:sz w:val="18"/>
                <w:szCs w:val="18"/>
                <w:color w:val="auto"/>
                <w:w w:val="94"/>
              </w:rPr>
              <w:t>34,699</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(22,016)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258,822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105,806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123,262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w w:val="94"/>
              </w:rPr>
              <w:t>30,036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(22,016)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237,088</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10,502</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5,889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5,058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18,588</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810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220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4,188</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591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2,528</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360" w:type="dxa"/>
            <w:vAlign w:val="bottom"/>
          </w:tcPr>
          <w:p>
            <w:pPr>
              <w:jc w:val="right"/>
              <w:ind w:right="224"/>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October 31, 2004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163,486</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68"/>
              <w:spacing w:after="0"/>
              <w:rPr>
                <w:sz w:val="20"/>
                <w:szCs w:val="20"/>
                <w:color w:val="auto"/>
              </w:rPr>
            </w:pPr>
            <w:r>
              <w:rPr>
                <w:rFonts w:ascii="Arial" w:cs="Arial" w:eastAsia="Arial" w:hAnsi="Arial"/>
                <w:sz w:val="18"/>
                <w:szCs w:val="18"/>
                <w:color w:val="auto"/>
              </w:rPr>
              <w:t>94,423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4"/>
              <w:spacing w:after="0"/>
              <w:rPr>
                <w:sz w:val="20"/>
                <w:szCs w:val="20"/>
                <w:color w:val="auto"/>
              </w:rPr>
            </w:pPr>
            <w:r>
              <w:rPr>
                <w:rFonts w:ascii="Arial" w:cs="Arial" w:eastAsia="Arial" w:hAnsi="Arial"/>
                <w:sz w:val="18"/>
                <w:szCs w:val="18"/>
                <w:color w:val="auto"/>
                <w:w w:val="94"/>
              </w:rPr>
              <w:t>32,749</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(16,440)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274,218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146,384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89,465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w w:val="94"/>
              </w:rPr>
              <w:t>29,405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(16,440)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248,814</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17,102</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3,850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4,880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Restructuring charge</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4"/>
              <w:spacing w:after="0"/>
              <w:rPr>
                <w:sz w:val="20"/>
                <w:szCs w:val="20"/>
                <w:color w:val="auto"/>
              </w:rPr>
            </w:pPr>
            <w:r>
              <w:rPr>
                <w:rFonts w:ascii="Arial" w:cs="Arial" w:eastAsia="Arial" w:hAnsi="Arial"/>
                <w:sz w:val="18"/>
                <w:szCs w:val="18"/>
                <w:color w:val="auto"/>
              </w:rPr>
              <w:t>185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rPr>
              <w:t>(1,721)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1040" w:type="dxa"/>
            <w:vAlign w:val="bottom"/>
            <w:gridSpan w:val="2"/>
          </w:tcPr>
          <w:p>
            <w:pPr>
              <w:jc w:val="right"/>
              <w:ind w:right="268"/>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4"/>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10,246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1,233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rPr>
              <w:t>(1,702)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3,738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4"/>
              <w:spacing w:after="0"/>
              <w:rPr>
                <w:sz w:val="20"/>
                <w:szCs w:val="20"/>
                <w:color w:val="auto"/>
              </w:rPr>
            </w:pPr>
            <w:r>
              <w:rPr>
                <w:rFonts w:ascii="Arial" w:cs="Arial" w:eastAsia="Arial" w:hAnsi="Arial"/>
                <w:sz w:val="18"/>
                <w:szCs w:val="18"/>
                <w:color w:val="auto"/>
              </w:rPr>
              <w:t>(621)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rPr>
              <w:t>(1,081)</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5"/>
              </w:rPr>
              <w:t>International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avocados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380" w:type="dxa"/>
            <w:vAlign w:val="bottom"/>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California</w:t>
            </w:r>
          </w:p>
        </w:tc>
        <w:tc>
          <w:tcPr>
            <w:tcW w:w="136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perishable</w:t>
            </w:r>
          </w:p>
        </w:tc>
        <w:tc>
          <w:tcPr>
            <w:tcW w:w="100" w:type="dxa"/>
            <w:vAlign w:val="bottom"/>
          </w:tcPr>
          <w:p>
            <w:pPr>
              <w:spacing w:after="0"/>
              <w:rPr>
                <w:sz w:val="12"/>
                <w:szCs w:val="12"/>
                <w:color w:val="auto"/>
              </w:rPr>
            </w:pPr>
          </w:p>
        </w:tc>
        <w:tc>
          <w:tcPr>
            <w:tcW w:w="112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w w:val="87"/>
              </w:rPr>
              <w:t>Processed</w:t>
            </w:r>
          </w:p>
        </w:tc>
        <w:tc>
          <w:tcPr>
            <w:tcW w:w="172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Inter-segment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food</w:t>
            </w:r>
          </w:p>
        </w:tc>
        <w:tc>
          <w:tcPr>
            <w:tcW w:w="10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72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3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5"/>
              </w:rPr>
              <w:t>avocados</w:t>
            </w:r>
          </w:p>
        </w:tc>
        <w:tc>
          <w:tcPr>
            <w:tcW w:w="100" w:type="dxa"/>
            <w:vAlign w:val="bottom"/>
          </w:tcPr>
          <w:p>
            <w:pPr>
              <w:spacing w:after="0"/>
              <w:rPr>
                <w:sz w:val="14"/>
                <w:szCs w:val="14"/>
                <w:color w:val="auto"/>
              </w:rPr>
            </w:pPr>
          </w:p>
        </w:tc>
        <w:tc>
          <w:tcPr>
            <w:tcW w:w="12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0"/>
              </w:rPr>
              <w:t>products</w:t>
            </w:r>
          </w:p>
        </w:tc>
        <w:tc>
          <w:tcPr>
            <w:tcW w:w="100" w:type="dxa"/>
            <w:vAlign w:val="bottom"/>
          </w:tcPr>
          <w:p>
            <w:pPr>
              <w:spacing w:after="0"/>
              <w:rPr>
                <w:sz w:val="14"/>
                <w:szCs w:val="14"/>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6"/>
              </w:rPr>
              <w:t>products</w:t>
            </w:r>
          </w:p>
        </w:tc>
        <w:tc>
          <w:tcPr>
            <w:tcW w:w="220" w:type="dxa"/>
            <w:vAlign w:val="bottom"/>
          </w:tcPr>
          <w:p>
            <w:pPr>
              <w:spacing w:after="0"/>
              <w:rPr>
                <w:sz w:val="14"/>
                <w:szCs w:val="14"/>
                <w:color w:val="auto"/>
              </w:rPr>
            </w:pPr>
          </w:p>
        </w:tc>
        <w:tc>
          <w:tcPr>
            <w:tcW w:w="15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5"/>
              </w:rPr>
              <w:t>eliminations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October 31, 2003</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149,635</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75,347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32,360</w:t>
            </w:r>
          </w:p>
        </w:tc>
        <w:tc>
          <w:tcPr>
            <w:tcW w:w="26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(10,581)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246,761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134,762</w:t>
            </w: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69,890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27,343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(10,581)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221,414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14,873</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5,457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4,995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Restructuring charge</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8,168</w:t>
            </w: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8,882</w:t>
            </w: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4,319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280" w:type="dxa"/>
            <w:vAlign w:val="bottom"/>
            <w:gridSpan w:val="4"/>
          </w:tcPr>
          <w:p>
            <w:pPr>
              <w:ind w:left="200"/>
              <w:spacing w:after="0"/>
              <w:rPr>
                <w:sz w:val="20"/>
                <w:szCs w:val="20"/>
                <w:color w:val="auto"/>
              </w:rPr>
            </w:pPr>
            <w:r>
              <w:rPr>
                <w:rFonts w:ascii="Arial" w:cs="Arial" w:eastAsia="Arial" w:hAnsi="Arial"/>
                <w:sz w:val="18"/>
                <w:szCs w:val="18"/>
                <w:color w:val="auto"/>
                <w:w w:val="90"/>
              </w:rPr>
              <w:t>The following table sets forth sales by product category, by segment (in thousands):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jc w:val="right"/>
              <w:ind w:right="900"/>
              <w:spacing w:after="0"/>
              <w:rPr>
                <w:sz w:val="20"/>
                <w:szCs w:val="20"/>
                <w:color w:val="auto"/>
              </w:rPr>
            </w:pPr>
            <w:r>
              <w:rPr>
                <w:rFonts w:ascii="Arial" w:cs="Arial" w:eastAsia="Arial" w:hAnsi="Arial"/>
                <w:sz w:val="14"/>
                <w:szCs w:val="14"/>
                <w:b w:val="1"/>
                <w:bCs w:val="1"/>
                <w:color w:val="auto"/>
                <w:w w:val="95"/>
              </w:rPr>
              <w:t>Year ended October 31, 2005</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20" w:type="dxa"/>
            <w:vAlign w:val="bottom"/>
            <w:gridSpan w:val="5"/>
          </w:tcPr>
          <w:p>
            <w:pPr>
              <w:jc w:val="center"/>
              <w:ind w:right="260"/>
              <w:spacing w:after="0" w:line="119" w:lineRule="exact"/>
              <w:rPr>
                <w:sz w:val="20"/>
                <w:szCs w:val="20"/>
                <w:color w:val="auto"/>
              </w:rPr>
            </w:pPr>
            <w:r>
              <w:rPr>
                <w:rFonts w:ascii="Arial" w:cs="Arial" w:eastAsia="Arial" w:hAnsi="Arial"/>
                <w:sz w:val="13"/>
                <w:szCs w:val="13"/>
                <w:b w:val="1"/>
                <w:bCs w:val="1"/>
                <w:color w:val="auto"/>
              </w:rPr>
              <w:t>International</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4"/>
            <w:vMerge w:val="restart"/>
          </w:tcPr>
          <w:p>
            <w:pPr>
              <w:jc w:val="center"/>
              <w:ind w:right="660"/>
              <w:spacing w:after="0"/>
              <w:rPr>
                <w:sz w:val="20"/>
                <w:szCs w:val="20"/>
                <w:color w:val="auto"/>
              </w:rPr>
            </w:pPr>
            <w:r>
              <w:rPr>
                <w:rFonts w:ascii="Arial" w:cs="Arial" w:eastAsia="Arial" w:hAnsi="Arial"/>
                <w:sz w:val="14"/>
                <w:szCs w:val="14"/>
                <w:b w:val="1"/>
                <w:bCs w:val="1"/>
                <w:color w:val="auto"/>
                <w:w w:val="95"/>
              </w:rPr>
              <w:t>California</w:t>
            </w:r>
          </w:p>
        </w:tc>
        <w:tc>
          <w:tcPr>
            <w:tcW w:w="12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avocados and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vMerge w:val="restart"/>
          </w:tcPr>
          <w:p>
            <w:pPr>
              <w:jc w:val="center"/>
              <w:ind w:right="660"/>
              <w:spacing w:after="0"/>
              <w:rPr>
                <w:sz w:val="20"/>
                <w:szCs w:val="20"/>
                <w:color w:val="auto"/>
              </w:rPr>
            </w:pPr>
            <w:r>
              <w:rPr>
                <w:rFonts w:ascii="Arial" w:cs="Arial" w:eastAsia="Arial" w:hAnsi="Arial"/>
                <w:sz w:val="14"/>
                <w:szCs w:val="14"/>
                <w:b w:val="1"/>
                <w:bCs w:val="1"/>
                <w:color w:val="auto"/>
                <w:w w:val="87"/>
              </w:rPr>
              <w:t>Processed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12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perishable food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6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6"/>
              </w:rPr>
              <w:t>avocados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products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0"/>
              </w:rPr>
              <w:t>products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Third-party sales: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California avocados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w w:val="84"/>
              </w:rPr>
              <w:t>$ 104,481</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104,481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Imported avocados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81,756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Papayas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6,251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Specialities and tropicals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13,777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Processed — food service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28,307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28,307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Processed — retail and club</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Total fruit and product sales to third-parties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104,481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101,784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35,073</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241,338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Freight and other charges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16,430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Total third-party sales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112,180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118,214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35,331</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265,725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Less sales incentives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Total net sales to third-parties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112,077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118,212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28,533</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258,822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Intercompany sales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11,619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Net sales before eliminations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$ 116,308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129,831</w:t>
            </w:r>
          </w:p>
        </w:tc>
        <w:tc>
          <w:tcPr>
            <w:tcW w:w="2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$ 34,699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280,838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Intercompany sales eliminations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(22,016)</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Consolidated net sales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258,822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gridSpan w:val="8"/>
            <w:vMerge w:val="restart"/>
          </w:tcPr>
          <w:p>
            <w:pPr>
              <w:jc w:val="right"/>
              <w:ind w:right="900"/>
              <w:spacing w:after="0"/>
              <w:rPr>
                <w:sz w:val="20"/>
                <w:szCs w:val="20"/>
                <w:color w:val="auto"/>
              </w:rPr>
            </w:pPr>
            <w:r>
              <w:rPr>
                <w:rFonts w:ascii="Arial" w:cs="Arial" w:eastAsia="Arial" w:hAnsi="Arial"/>
                <w:sz w:val="14"/>
                <w:szCs w:val="14"/>
                <w:b w:val="1"/>
                <w:bCs w:val="1"/>
                <w:color w:val="auto"/>
                <w:w w:val="95"/>
              </w:rPr>
              <w:t>Year ended October 31, 2004</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20" w:type="dxa"/>
            <w:vAlign w:val="bottom"/>
            <w:gridSpan w:val="5"/>
          </w:tcPr>
          <w:p>
            <w:pPr>
              <w:jc w:val="center"/>
              <w:ind w:right="260"/>
              <w:spacing w:after="0" w:line="119" w:lineRule="exact"/>
              <w:rPr>
                <w:sz w:val="20"/>
                <w:szCs w:val="20"/>
                <w:color w:val="auto"/>
              </w:rPr>
            </w:pPr>
            <w:r>
              <w:rPr>
                <w:rFonts w:ascii="Arial" w:cs="Arial" w:eastAsia="Arial" w:hAnsi="Arial"/>
                <w:sz w:val="13"/>
                <w:szCs w:val="13"/>
                <w:b w:val="1"/>
                <w:bCs w:val="1"/>
                <w:color w:val="auto"/>
              </w:rPr>
              <w:t>International</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4"/>
            <w:vMerge w:val="restart"/>
          </w:tcPr>
          <w:p>
            <w:pPr>
              <w:jc w:val="center"/>
              <w:ind w:right="660"/>
              <w:spacing w:after="0"/>
              <w:rPr>
                <w:sz w:val="20"/>
                <w:szCs w:val="20"/>
                <w:color w:val="auto"/>
              </w:rPr>
            </w:pPr>
            <w:r>
              <w:rPr>
                <w:rFonts w:ascii="Arial" w:cs="Arial" w:eastAsia="Arial" w:hAnsi="Arial"/>
                <w:sz w:val="14"/>
                <w:szCs w:val="14"/>
                <w:b w:val="1"/>
                <w:bCs w:val="1"/>
                <w:color w:val="auto"/>
                <w:w w:val="95"/>
              </w:rPr>
              <w:t>California</w:t>
            </w:r>
          </w:p>
        </w:tc>
        <w:tc>
          <w:tcPr>
            <w:tcW w:w="12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avocados and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vMerge w:val="restart"/>
          </w:tcPr>
          <w:p>
            <w:pPr>
              <w:jc w:val="center"/>
              <w:ind w:right="660"/>
              <w:spacing w:after="0"/>
              <w:rPr>
                <w:sz w:val="20"/>
                <w:szCs w:val="20"/>
                <w:color w:val="auto"/>
              </w:rPr>
            </w:pPr>
            <w:r>
              <w:rPr>
                <w:rFonts w:ascii="Arial" w:cs="Arial" w:eastAsia="Arial" w:hAnsi="Arial"/>
                <w:sz w:val="14"/>
                <w:szCs w:val="14"/>
                <w:b w:val="1"/>
                <w:bCs w:val="1"/>
                <w:color w:val="auto"/>
                <w:w w:val="87"/>
              </w:rPr>
              <w:t>Processed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12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perishable food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6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6"/>
              </w:rPr>
              <w:t>avocados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products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0"/>
              </w:rPr>
              <w:t>products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Third-party sales: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California avocados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w w:val="84"/>
              </w:rPr>
              <w:t>$ 150,159</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150,159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Imported avocados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54,589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Papayas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6,846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6,846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Specialities and tropicals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14,233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Processed — food service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27,352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27,352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Processed — retail and club</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Total fruit and product sales to third-parties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150,159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75,668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31,637</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257,464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Freight and other charges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10,968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Total third-party sales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162,105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86,636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32,171</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280,912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Less sales incentives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(6,694)</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Total net sales to third-parties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161,974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86,588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25,656</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274,218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Intercompany sales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7,835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Net sales before eliminations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$ 163,486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94,423</w:t>
            </w:r>
          </w:p>
        </w:tc>
        <w:tc>
          <w:tcPr>
            <w:tcW w:w="2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$ 32,749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290,658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Intercompany sales eliminations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(16,440)</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Consolidated net sales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274,218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1"/>
              </w:rPr>
              <w:t>Year ended October 31, 2003</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gridSpan w:val="4"/>
          </w:tcPr>
          <w:p>
            <w:pPr>
              <w:jc w:val="center"/>
              <w:ind w:right="500"/>
              <w:spacing w:after="0" w:line="119" w:lineRule="exact"/>
              <w:rPr>
                <w:sz w:val="20"/>
                <w:szCs w:val="20"/>
                <w:color w:val="auto"/>
              </w:rPr>
            </w:pPr>
            <w:r>
              <w:rPr>
                <w:rFonts w:ascii="Arial" w:cs="Arial" w:eastAsia="Arial" w:hAnsi="Arial"/>
                <w:sz w:val="13"/>
                <w:szCs w:val="13"/>
                <w:b w:val="1"/>
                <w:bCs w:val="1"/>
                <w:color w:val="auto"/>
              </w:rPr>
              <w:t>International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California</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Avocados and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w w:val="87"/>
              </w:rPr>
              <w:t>Processed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Perishable Food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Avocados</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2"/>
              </w:rPr>
              <w:t>Products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5"/>
              </w:rPr>
              <w:t>Products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Third-party sales:</w:t>
            </w: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California avocados</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$ 140,795</w:t>
            </w:r>
          </w:p>
        </w:tc>
        <w:tc>
          <w:tcPr>
            <w:tcW w:w="200" w:type="dxa"/>
            <w:vAlign w:val="bottom"/>
          </w:tcPr>
          <w:p>
            <w:pPr>
              <w:spacing w:after="0"/>
              <w:rPr>
                <w:sz w:val="18"/>
                <w:szCs w:val="18"/>
                <w:color w:val="auto"/>
              </w:rPr>
            </w:pPr>
          </w:p>
        </w:tc>
        <w:tc>
          <w:tcPr>
            <w:tcW w:w="64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$ 140,795</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Imported avocados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56,306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56,306</w:t>
            </w: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Papayas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2,920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Specialities and tropicals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Processed — food service</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8"/>
                <w:szCs w:val="18"/>
                <w:color w:val="auto"/>
                <w:w w:val="94"/>
              </w:rPr>
              <w:t>28,545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28,545</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Processed — retail and club</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5,165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5,165</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Total fruit and product sales to third-parties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140,795</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59,256</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33,710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Freight and other charges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10,079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19,366</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Total third-party sales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149,792</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69,335</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34,000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Less sales incentives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(6,366)</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Total net sales to third-parties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149,635</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69,084</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28,042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Intercompany sales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6,263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10,581</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Net sales before eliminations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$ 149,635</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75,347</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$ 32,360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Intercompany sales eliminations</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(10,581)</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Consolidated net sales</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$ 246,761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ind w:left="240"/>
              <w:spacing w:after="0"/>
              <w:rPr>
                <w:sz w:val="20"/>
                <w:szCs w:val="20"/>
                <w:color w:val="auto"/>
              </w:rPr>
            </w:pPr>
            <w:r>
              <w:rPr>
                <w:rFonts w:ascii="Arial" w:cs="Arial" w:eastAsia="Arial" w:hAnsi="Arial"/>
                <w:sz w:val="18"/>
                <w:szCs w:val="18"/>
                <w:color w:val="auto"/>
                <w:w w:val="90"/>
              </w:rPr>
              <w:t>Long-lived assets attributed to geographic areas as of October 31 are as follows (in thousands):</w:t>
            </w: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16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260" w:type="dxa"/>
            <w:vAlign w:val="bottom"/>
            <w:vMerge w:val="restart"/>
          </w:tcPr>
          <w:p>
            <w:pPr>
              <w:spacing w:after="0"/>
              <w:rPr>
                <w:sz w:val="20"/>
                <w:szCs w:val="20"/>
                <w:color w:val="auto"/>
              </w:rPr>
            </w:pPr>
            <w:r>
              <w:rPr>
                <w:rFonts w:ascii="Arial" w:cs="Arial" w:eastAsia="Arial" w:hAnsi="Arial"/>
                <w:sz w:val="18"/>
                <w:szCs w:val="18"/>
                <w:color w:val="auto"/>
              </w:rPr>
              <w:t>2005</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24"/>
                <w:szCs w:val="24"/>
                <w:color w:val="auto"/>
              </w:rPr>
            </w:pPr>
          </w:p>
        </w:tc>
        <w:tc>
          <w:tcPr>
            <w:tcW w:w="1100" w:type="dxa"/>
            <w:vAlign w:val="bottom"/>
            <w:gridSpan w:val="5"/>
          </w:tcPr>
          <w:p>
            <w:pPr>
              <w:ind w:left="100"/>
              <w:spacing w:after="0"/>
              <w:rPr>
                <w:sz w:val="20"/>
                <w:szCs w:val="20"/>
                <w:color w:val="auto"/>
              </w:rPr>
            </w:pPr>
            <w:r>
              <w:rPr>
                <w:rFonts w:ascii="Arial" w:cs="Arial" w:eastAsia="Arial" w:hAnsi="Arial"/>
                <w:sz w:val="14"/>
                <w:szCs w:val="14"/>
                <w:b w:val="1"/>
                <w:bCs w:val="1"/>
                <w:color w:val="auto"/>
              </w:rPr>
              <w:t>Mexico</w:t>
            </w:r>
          </w:p>
        </w:tc>
        <w:tc>
          <w:tcPr>
            <w:tcW w:w="24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626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55,587</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top w:val="single" w:sz="8" w:color="auto"/>
            </w:tcBorders>
            <w:gridSpan w:val="3"/>
          </w:tcPr>
          <w:p>
            <w:pPr>
              <w:jc w:val="right"/>
              <w:spacing w:after="0" w:line="195" w:lineRule="exact"/>
              <w:rPr>
                <w:sz w:val="20"/>
                <w:szCs w:val="20"/>
                <w:color w:val="auto"/>
              </w:rPr>
            </w:pPr>
            <w:r>
              <w:rPr>
                <w:rFonts w:ascii="Arial" w:cs="Arial" w:eastAsia="Arial" w:hAnsi="Arial"/>
                <w:sz w:val="18"/>
                <w:szCs w:val="18"/>
                <w:color w:val="auto"/>
                <w:w w:val="91"/>
              </w:rPr>
              <w:t>$ 11,849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67,436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2004</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11,761</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5"/>
          </w:tcPr>
          <w:p>
            <w:pPr>
              <w:jc w:val="right"/>
              <w:ind w:right="120"/>
              <w:spacing w:after="0"/>
              <w:rPr>
                <w:sz w:val="20"/>
                <w:szCs w:val="20"/>
                <w:color w:val="auto"/>
              </w:rPr>
            </w:pPr>
            <w:r>
              <w:rPr>
                <w:rFonts w:ascii="Arial" w:cs="Arial" w:eastAsia="Arial" w:hAnsi="Arial"/>
                <w:sz w:val="18"/>
                <w:szCs w:val="18"/>
                <w:color w:val="auto"/>
              </w:rPr>
              <w:t>$ 12,697</w:t>
            </w:r>
          </w:p>
        </w:tc>
        <w:tc>
          <w:tcPr>
            <w:tcW w:w="320" w:type="dxa"/>
            <w:vAlign w:val="bottom"/>
          </w:tcPr>
          <w:p>
            <w:pPr>
              <w:spacing w:after="0"/>
              <w:rPr>
                <w:sz w:val="20"/>
                <w:szCs w:val="20"/>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24,458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Sales to customers outside the United States were approximately $15.9 million, $16.2 million and $15.7 million for the three years ended October 31,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Investment in Limoneira Company</w:t>
      </w:r>
    </w:p>
    <w:p>
      <w:pPr>
        <w:spacing w:after="0" w:line="121" w:lineRule="exact"/>
        <w:rPr>
          <w:sz w:val="20"/>
          <w:szCs w:val="20"/>
          <w:color w:val="auto"/>
        </w:rPr>
      </w:pPr>
    </w:p>
    <w:p>
      <w:pPr>
        <w:ind w:right="60" w:firstLine="225"/>
        <w:spacing w:after="0" w:line="290" w:lineRule="auto"/>
        <w:rPr>
          <w:sz w:val="20"/>
          <w:szCs w:val="20"/>
          <w:color w:val="auto"/>
        </w:rPr>
      </w:pPr>
      <w:r>
        <w:rPr>
          <w:rFonts w:ascii="Arial" w:cs="Arial" w:eastAsia="Arial" w:hAnsi="Arial"/>
          <w:sz w:val="16"/>
          <w:szCs w:val="16"/>
          <w:color w:val="auto"/>
        </w:rPr>
        <w:t>In order to increase our market share of California avocados and increase synergies within the marketplace, we entered into a stock purchase agreement with Limoneira Company (Limoneira) in June 2005. Pursuant to such agreement, we acquired approximately 15.1% of Limoneira’s outstanding common stock for $23.45 million and Limoneira acquired approximately 6.9% of our outstanding common stock for $10 million. The transaction was settled by a net cash payment by us of $13.45 million. Additionally, such agreement also provided for: (1) Calavo to lease office space from Limoneira in Santa Paula, California for a period of 10 years at an initial annual gross rental of approximately $0.2 million (subject to annual CPI increases, as defined), (2) Calavo to market Limoneira’s avocados and (3) Calavo and Limoneira to use good faith reasonable efforts to maximize avocado packing efficiencies for both parties by consolidating their fruit packing operations. Various opportunities are currently being considered, including the use of existing packing facilities, an investment in existing vacant facilities, and/or an investment in a new consolidated facility for both parties.</w:t>
      </w:r>
    </w:p>
    <w:p>
      <w:pPr>
        <w:spacing w:after="0" w:line="58" w:lineRule="exact"/>
        <w:rPr>
          <w:sz w:val="20"/>
          <w:szCs w:val="20"/>
          <w:color w:val="auto"/>
        </w:rPr>
      </w:pPr>
    </w:p>
    <w:p>
      <w:pPr>
        <w:ind w:right="280" w:firstLine="225"/>
        <w:spacing w:after="0" w:line="342" w:lineRule="auto"/>
        <w:rPr>
          <w:sz w:val="20"/>
          <w:szCs w:val="20"/>
          <w:color w:val="auto"/>
        </w:rPr>
      </w:pPr>
      <w:r>
        <w:rPr>
          <w:rFonts w:ascii="Arial" w:cs="Arial" w:eastAsia="Arial" w:hAnsi="Arial"/>
          <w:sz w:val="16"/>
          <w:szCs w:val="16"/>
          <w:color w:val="auto"/>
        </w:rPr>
        <w:t>Limoneira, which generated total revenues of approximately $26 million during fiscal 2004, primarily engages in growing citrus and avocados, picking and hauling citrus, and packing lemons. The issuances of the shares discussed above are exempt from registration under federal and state securities laws.</w:t>
      </w:r>
    </w:p>
    <w:p>
      <w:pPr>
        <w:spacing w:after="0" w:line="16" w:lineRule="exact"/>
        <w:rPr>
          <w:sz w:val="20"/>
          <w:szCs w:val="20"/>
          <w:color w:val="auto"/>
        </w:rPr>
      </w:pPr>
    </w:p>
    <w:p>
      <w:pPr>
        <w:ind w:right="40" w:firstLine="215"/>
        <w:spacing w:after="0" w:line="257" w:lineRule="auto"/>
        <w:rPr>
          <w:sz w:val="20"/>
          <w:szCs w:val="20"/>
          <w:color w:val="auto"/>
        </w:rPr>
      </w:pPr>
      <w:r>
        <w:rPr>
          <w:rFonts w:ascii="Arial" w:cs="Arial" w:eastAsia="Arial" w:hAnsi="Arial"/>
          <w:sz w:val="18"/>
          <w:szCs w:val="18"/>
          <w:color w:val="auto"/>
        </w:rPr>
        <w:t>As a result of the ownership percentage acquired in Limoneira, we recognize only dividends received from Limoneira as income. Such investment is reported at fair value at the balance sheet date. Fair value is determined based on quoted market prices. Unrealized gains and losses related to such investment are reported in other comprehensive income. Based on the overall state of the stock market, the availability of buyers for the shares when we want to sell, and other restrictions, at any point in time the amounts ultimately realized upon liquidation of these securities may be significantly different than the carrying value.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Obligations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Long-term obligations at fiscal year ends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Farm Credit West, PCA</w:t>
            </w:r>
          </w:p>
        </w:tc>
        <w:tc>
          <w:tcPr>
            <w:tcW w:w="3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13,000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Other</w:t>
            </w:r>
          </w:p>
        </w:tc>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r>
      <w:tr>
        <w:trPr>
          <w:trHeight w:val="27"/>
        </w:trPr>
        <w:tc>
          <w:tcPr>
            <w:tcW w:w="55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13,032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Less current portion</w:t>
            </w:r>
          </w:p>
        </w:tc>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7"/>
        </w:trPr>
        <w:tc>
          <w:tcPr>
            <w:tcW w:w="55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0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11,719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0"/>
        </w:trPr>
        <w:tc>
          <w:tcPr>
            <w:tcW w:w="55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60" w:firstLine="225"/>
        <w:spacing w:after="0" w:line="259" w:lineRule="auto"/>
        <w:rPr>
          <w:sz w:val="20"/>
          <w:szCs w:val="20"/>
          <w:color w:val="auto"/>
        </w:rPr>
      </w:pPr>
      <w:r>
        <w:rPr>
          <w:rFonts w:ascii="Arial" w:cs="Arial" w:eastAsia="Arial" w:hAnsi="Arial"/>
          <w:sz w:val="18"/>
          <w:szCs w:val="18"/>
          <w:color w:val="auto"/>
        </w:rPr>
        <w:t>In July 2005, we entered into a non-collateralized term loan agreement with Farm Credit West, PCA to finance the purchase of our Limoneira Stock. Pursuant to such agreement, we borrowed $13.0 million, which is to be repaid in 10 annual installments of $1.3 million. Such annual installments begin July 2006 and continue through July 2015. Interest is to be paid monthly, in arrears, beginning August 2005 through the life of the loan. Such loan bears interest at a fixed rate of 5.70%.</w:t>
      </w:r>
    </w:p>
    <w:p>
      <w:pPr>
        <w:spacing w:after="0" w:line="79"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Such loan contains various financial covenants, which are substantially identical to existing covenants, with which we were in compliance at October 31, 2005. The most significant financial covenants relate to working capital, tangible net worth (as defined), and Earnings Before Interest, Taxes, Depreciation and Amortization (EBITDA) (as defined) requirements.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October 31, 2005, annual debt payments are scheduled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r>
      <w:tr>
        <w:trPr>
          <w:trHeight w:val="210"/>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Year ending October 31:</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2006</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1,313</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1,309</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1,308</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1,302</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ind w:left="220"/>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6,500</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13,032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November 2001, our Board of Directors approved two stock-based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Directors Stock Option Plan</w:t>
      </w:r>
    </w:p>
    <w:p>
      <w:pPr>
        <w:spacing w:after="0" w:line="117" w:lineRule="exact"/>
        <w:rPr>
          <w:sz w:val="20"/>
          <w:szCs w:val="20"/>
          <w:color w:val="auto"/>
        </w:rPr>
      </w:pPr>
    </w:p>
    <w:p>
      <w:pPr>
        <w:ind w:right="220" w:firstLine="225"/>
        <w:spacing w:after="0" w:line="279" w:lineRule="auto"/>
        <w:rPr>
          <w:sz w:val="20"/>
          <w:szCs w:val="20"/>
          <w:color w:val="auto"/>
        </w:rPr>
      </w:pPr>
      <w:r>
        <w:rPr>
          <w:rFonts w:ascii="Arial" w:cs="Arial" w:eastAsia="Arial" w:hAnsi="Arial"/>
          <w:sz w:val="17"/>
          <w:szCs w:val="17"/>
          <w:color w:val="auto"/>
        </w:rPr>
        <w:t>Participation in the directors stock option plan is limited to members of our Board of Directors. The plan makes available to the Board of Directors, or a plan administrator, the right to grant options to purchase up to 3,000,000 shares of common stock. In connection with the adoption of the plan, the Board of Directors approved an award of fully vested options to purchase 1,240,000 shares of common stock at an exercise price of $5.00 per share. We anticipate terminating this plan during fiscal 2006. Outstanding options would not be impacted by such termination.</w:t>
      </w:r>
    </w:p>
    <w:p>
      <w:pPr>
        <w:spacing w:after="0" w:line="63"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In January 2002, members of our Board of Directors elected to exercise options to purchase approximately 1,005,000 shares of common stock. The exercise price was paid by delivery of full-recourse promissory notes with a face value of $4,789,000 and by cash payments of approximately $236,000. These notes and the related security agreements provide, among other things, that each director pledge as collateral the shares acquired upon exercise of the stock option, as well as additional shares of common stock held by the directors with a value equal to 10% of the loan amount, if the exercise price was paid by means of a full-recourse note. The notes, which bear interest at 7% per annum, provide for annual interest payments with a final principal payment due March 1, 2007. Directors will be allowed to withdraw shares from the pledged pool of common stock prior to repayment of their notes, as long as the fair value of the remaining pledged shares is at least equal to 120% of the outstanding note balance. The notes have been presented as a reduction of shareholders’ equity as of October 31, 2005 and 2004.</w:t>
      </w:r>
    </w:p>
    <w:p>
      <w:pPr>
        <w:spacing w:after="0" w:line="71"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color w:val="auto"/>
        </w:rPr>
        <w:t>During fiscal 2005, directors did not make any principal payments related to these notes and we have recorded interest income of $175,000. During fiscal 2004, directors made principal payments of $416,000 related to these notes and we have recorded interest income of $189,000. As of October 31, 2005, we have accrued interest receivable of $112,000 related to these notes, which is included in prepaid expenses and other current assets.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297" w:lineRule="auto"/>
        <w:rPr>
          <w:sz w:val="20"/>
          <w:szCs w:val="20"/>
          <w:color w:val="auto"/>
        </w:rPr>
      </w:pPr>
      <w:r>
        <w:rPr>
          <w:rFonts w:ascii="Arial" w:cs="Arial" w:eastAsia="Arial" w:hAnsi="Arial"/>
          <w:sz w:val="16"/>
          <w:szCs w:val="16"/>
          <w:color w:val="auto"/>
        </w:rPr>
        <w:t>In December 2003, our Board of Directors approved the issuance of options to acquire a total of 50,000 shares of our common stock to two members of our Board of Directors. Each option to acquire 25,000 shares vests in substantially equal installments over a three-year period, has an exercise price of $7.00 per share, and has a term of five years from the grant date. The market price of our common stock at the grant date was $10.01. In accordance with APB 25, we are recording compensation expense of approximately $151,000 over the vesting period of three years from the grant date. During fiscal years 2005 and 2004, we recognized $50,000 and $46,000 of compensation expense with respect to stock option awards pursuant to APB 25.</w:t>
      </w:r>
    </w:p>
    <w:p>
      <w:pPr>
        <w:spacing w:after="0" w:line="50"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In December 2005, the related stock option agreements were modified to shorten the option terms, as defined. Such modifications were contemplated primarily as a result of Section 409A of the tax code.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stock option activity follows (shares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80" w:type="dxa"/>
            <w:vAlign w:val="bottom"/>
            <w:gridSpan w:val="8"/>
          </w:tcPr>
          <w:p>
            <w:pPr>
              <w:ind w:left="540"/>
              <w:spacing w:after="0"/>
              <w:rPr>
                <w:sz w:val="20"/>
                <w:szCs w:val="20"/>
                <w:color w:val="auto"/>
              </w:rPr>
            </w:pPr>
            <w:r>
              <w:rPr>
                <w:rFonts w:ascii="Arial" w:cs="Arial" w:eastAsia="Arial" w:hAnsi="Arial"/>
                <w:sz w:val="14"/>
                <w:szCs w:val="14"/>
                <w:b w:val="1"/>
                <w:bCs w:val="1"/>
                <w:color w:val="auto"/>
              </w:rPr>
              <w:t>Year ended October 31, 2005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Borders>
              <w:top w:val="single" w:sz="8" w:color="auto"/>
            </w:tcBorders>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Number of Shares</w:t>
            </w:r>
          </w:p>
        </w:tc>
        <w:tc>
          <w:tcPr>
            <w:tcW w:w="5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Weighted-Average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(55)</w:t>
            </w:r>
          </w:p>
        </w:tc>
        <w:tc>
          <w:tcPr>
            <w:tcW w:w="660" w:type="dxa"/>
            <w:vAlign w:val="bottom"/>
            <w:gridSpan w:val="3"/>
          </w:tcPr>
          <w:p>
            <w:pPr>
              <w:ind w:left="56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6940" w:type="dxa"/>
            <w:vAlign w:val="bottom"/>
            <w:gridSpan w:val="3"/>
            <w:vMerge w:val="restart"/>
          </w:tcPr>
          <w:p>
            <w:pPr>
              <w:spacing w:after="0"/>
              <w:rPr>
                <w:sz w:val="20"/>
                <w:szCs w:val="20"/>
                <w:color w:val="auto"/>
              </w:rPr>
            </w:pPr>
            <w:r>
              <w:rPr>
                <w:rFonts w:ascii="Arial" w:cs="Arial" w:eastAsia="Arial" w:hAnsi="Arial"/>
                <w:sz w:val="18"/>
                <w:szCs w:val="18"/>
                <w:color w:val="auto"/>
              </w:rPr>
              <w:t>Exercisable at end of period</w:t>
            </w: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3"/>
            <w:vMerge w:val="restart"/>
          </w:tcPr>
          <w:p>
            <w:pPr>
              <w:ind w:left="56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line="20" w:lineRule="exact"/>
              <w:rPr>
                <w:sz w:val="1"/>
                <w:szCs w:val="1"/>
                <w:color w:val="auto"/>
              </w:rPr>
            </w:pPr>
          </w:p>
        </w:tc>
      </w:tr>
      <w:tr>
        <w:trPr>
          <w:trHeight w:val="210"/>
        </w:trPr>
        <w:tc>
          <w:tcPr>
            <w:tcW w:w="6940" w:type="dxa"/>
            <w:vAlign w:val="bottom"/>
            <w:gridSpan w:val="3"/>
            <w:vMerge w:val="continue"/>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gridSpan w:val="8"/>
          </w:tcPr>
          <w:p>
            <w:pPr>
              <w:ind w:left="540"/>
              <w:spacing w:after="0"/>
              <w:rPr>
                <w:sz w:val="20"/>
                <w:szCs w:val="20"/>
                <w:color w:val="auto"/>
              </w:rPr>
            </w:pPr>
            <w:r>
              <w:rPr>
                <w:rFonts w:ascii="Arial" w:cs="Arial" w:eastAsia="Arial" w:hAnsi="Arial"/>
                <w:sz w:val="14"/>
                <w:szCs w:val="14"/>
                <w:b w:val="1"/>
                <w:bCs w:val="1"/>
                <w:color w:val="auto"/>
              </w:rPr>
              <w:t>Year ended October 31, 2004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Borders>
              <w:top w:val="single" w:sz="8" w:color="auto"/>
            </w:tcBorders>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Number of Shares</w:t>
            </w:r>
          </w:p>
        </w:tc>
        <w:tc>
          <w:tcPr>
            <w:tcW w:w="5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Weighted-Average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
        </w:trPr>
        <w:tc>
          <w:tcPr>
            <w:tcW w:w="6940" w:type="dxa"/>
            <w:vAlign w:val="bottom"/>
            <w:gridSpan w:val="3"/>
            <w:vMerge w:val="restart"/>
          </w:tcPr>
          <w:p>
            <w:pPr>
              <w:spacing w:after="0"/>
              <w:rPr>
                <w:sz w:val="20"/>
                <w:szCs w:val="20"/>
                <w:color w:val="auto"/>
              </w:rPr>
            </w:pPr>
            <w:r>
              <w:rPr>
                <w:rFonts w:ascii="Arial" w:cs="Arial" w:eastAsia="Arial" w:hAnsi="Arial"/>
                <w:sz w:val="18"/>
                <w:szCs w:val="18"/>
                <w:color w:val="auto"/>
              </w:rPr>
              <w:t>Exercisable at end of period</w:t>
            </w: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3"/>
            <w:vMerge w:val="restart"/>
          </w:tcPr>
          <w:p>
            <w:pPr>
              <w:ind w:left="56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line="20" w:lineRule="exact"/>
              <w:rPr>
                <w:sz w:val="1"/>
                <w:szCs w:val="1"/>
                <w:color w:val="auto"/>
              </w:rPr>
            </w:pPr>
          </w:p>
        </w:tc>
      </w:tr>
      <w:tr>
        <w:trPr>
          <w:trHeight w:val="210"/>
        </w:trPr>
        <w:tc>
          <w:tcPr>
            <w:tcW w:w="6940" w:type="dxa"/>
            <w:vAlign w:val="bottom"/>
            <w:gridSpan w:val="3"/>
            <w:vMerge w:val="continue"/>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 during the year</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420" w:type="dxa"/>
            <w:vAlign w:val="bottom"/>
            <w:gridSpan w:val="5"/>
          </w:tcPr>
          <w:p>
            <w:pPr>
              <w:ind w:left="200"/>
              <w:spacing w:after="0"/>
              <w:rPr>
                <w:sz w:val="20"/>
                <w:szCs w:val="20"/>
                <w:color w:val="auto"/>
              </w:rPr>
            </w:pPr>
            <w:r>
              <w:rPr>
                <w:rFonts w:ascii="Arial" w:cs="Arial" w:eastAsia="Arial" w:hAnsi="Arial"/>
                <w:sz w:val="18"/>
                <w:szCs w:val="18"/>
                <w:color w:val="auto"/>
              </w:rPr>
              <w:t>The following table summarizes stock options outstanding at October 31, 2005(shares in thousands):</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6"/>
              </w:rPr>
              <w:t>Outstanding</w:t>
            </w: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w w:val="97"/>
              </w:rPr>
              <w:t>Average</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Range of</w:t>
            </w:r>
          </w:p>
        </w:tc>
        <w:tc>
          <w:tcPr>
            <w:tcW w:w="150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4"/>
              </w:rPr>
              <w:t>Number of</w:t>
            </w:r>
          </w:p>
        </w:tc>
        <w:tc>
          <w:tcPr>
            <w:tcW w:w="11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Remaining</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6940" w:type="dxa"/>
            <w:vAlign w:val="bottom"/>
            <w:gridSpan w:val="3"/>
            <w:vMerge w:val="continue"/>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1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940" w:type="dxa"/>
            <w:vAlign w:val="bottom"/>
            <w:gridSpan w:val="3"/>
          </w:tcPr>
          <w:p>
            <w:pPr>
              <w:spacing w:after="0"/>
              <w:rPr>
                <w:sz w:val="20"/>
                <w:szCs w:val="20"/>
                <w:color w:val="auto"/>
              </w:rPr>
            </w:pPr>
            <w:r>
              <w:rPr>
                <w:rFonts w:ascii="Arial" w:cs="Arial" w:eastAsia="Arial" w:hAnsi="Arial"/>
                <w:sz w:val="14"/>
                <w:szCs w:val="14"/>
                <w:b w:val="1"/>
                <w:bCs w:val="1"/>
                <w:color w:val="auto"/>
              </w:rPr>
              <w:t>Exercise Prices</w:t>
            </w:r>
          </w:p>
        </w:tc>
        <w:tc>
          <w:tcPr>
            <w:tcW w:w="15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9"/>
              </w:rPr>
              <w:t>Shares</w:t>
            </w: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(Years)</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24"/>
        </w:trPr>
        <w:tc>
          <w:tcPr>
            <w:tcW w:w="6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$5.00 - $7.00</w:t>
            </w:r>
          </w:p>
        </w:tc>
        <w:tc>
          <w:tcPr>
            <w:tcW w:w="50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100</w:t>
            </w:r>
          </w:p>
        </w:tc>
        <w:tc>
          <w:tcPr>
            <w:tcW w:w="5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2.10</w:t>
            </w: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center"/>
              <w:ind w:right="54"/>
              <w:spacing w:after="0"/>
              <w:rPr>
                <w:sz w:val="20"/>
                <w:szCs w:val="20"/>
                <w:color w:val="auto"/>
              </w:rPr>
            </w:pPr>
            <w:r>
              <w:rPr>
                <w:rFonts w:ascii="Arial" w:cs="Arial" w:eastAsia="Arial" w:hAnsi="Arial"/>
                <w:sz w:val="18"/>
                <w:szCs w:val="18"/>
                <w:color w:val="auto"/>
                <w:w w:val="93"/>
              </w:rPr>
              <w:t>$6.00</w:t>
            </w: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Employee Stock Purchase Plan</w:t>
      </w:r>
    </w:p>
    <w:p>
      <w:pPr>
        <w:spacing w:after="0" w:line="117"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The employee stock purchase plan was approved by our Board of Directors and shareholders. Participation in the employee stock purchase plan is limited to employees. The plan provides the Board of Directors, or a plan administrator, the right to make available up to 2,000,000 shares of common stock at a price not less than fair market value. In March 2002, the Board of Directors awarded selected employees the opportunity to purchase up to 474,000 shares of common stock at $7.00 per share, the closing price of our common stock on the date prior to the grant. The plan also permits us to advance all or some of the purchase price of the purchased stock to the employee upon the execution of a full-recourse note at prevailing interest rates. These awards expired in April 2002, with 84 participating employees electing to purchase approximately 279,000 shares.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purchase price was paid by delivery of full-recourse promissory notes with a face value of $1,352,000 and by cash payments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$600,000. These notes and the related security agreements provide, among other things, that each employee pledge as collateral the shares acquired.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notes, which bear interest at 7% per annum, provide for annual interest and principal payments for a period of two to four years. The notes have been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presented as a reduction of shareholders’ equity as of October 31, 2005 and October 2004.</w:t>
      </w:r>
    </w:p>
    <w:p>
      <w:pPr>
        <w:spacing w:after="0" w:line="103" w:lineRule="exact"/>
        <w:rPr>
          <w:sz w:val="20"/>
          <w:szCs w:val="20"/>
          <w:color w:val="auto"/>
        </w:rPr>
      </w:pPr>
    </w:p>
    <w:p>
      <w:pPr>
        <w:jc w:val="both"/>
        <w:ind w:right="400" w:firstLine="225"/>
        <w:spacing w:after="0" w:line="312" w:lineRule="auto"/>
        <w:rPr>
          <w:sz w:val="20"/>
          <w:szCs w:val="20"/>
          <w:color w:val="auto"/>
        </w:rPr>
      </w:pPr>
      <w:r>
        <w:rPr>
          <w:rFonts w:ascii="Arial" w:cs="Arial" w:eastAsia="Arial" w:hAnsi="Arial"/>
          <w:sz w:val="16"/>
          <w:szCs w:val="16"/>
          <w:color w:val="auto"/>
        </w:rPr>
        <w:t>During fiscal 2005, employees made principal payments of $247,000 related to these notes, and we have recorded interest income of $20,000. During fiscal 2004, employees made principal payments of $263,000 related to these notes, and we have recorded interest income of $46,000. As of October 31, 2005, we have accrued interest receivable of $7,000 related to these notes, which is included in prepaid expenses and other current assets.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2005 Stock Incentive Plan</w:t>
      </w:r>
    </w:p>
    <w:p>
      <w:pPr>
        <w:spacing w:after="0" w:line="11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2005 Stock Incentive Plan of Calavo Growers, Inc. (the “2005 Plan”) was approved by our Board of Directors and shareholders. The 2005 Plan authorizes the granting of the following types of awards to persons who are employees, officers, consultants, advisors, or directors of Calavo Growers, Inc. or any of its affiliates:</w:t>
      </w:r>
    </w:p>
    <w:p>
      <w:pPr>
        <w:spacing w:after="0" w:line="73" w:lineRule="exact"/>
        <w:rPr>
          <w:sz w:val="20"/>
          <w:szCs w:val="20"/>
          <w:color w:val="auto"/>
        </w:rPr>
      </w:pPr>
    </w:p>
    <w:p>
      <w:pPr>
        <w:ind w:left="220" w:right="740" w:hanging="212"/>
        <w:spacing w:after="0" w:line="277" w:lineRule="auto"/>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“Incentive stock options” that are intended to satisfy the requirements of Section 422 of the Internal Revenue Code of 1986, as amended, and the regulations thereunder;</w:t>
      </w:r>
    </w:p>
    <w:p>
      <w:pPr>
        <w:spacing w:after="0" w:line="75" w:lineRule="exact"/>
        <w:rPr>
          <w:rFonts w:ascii="Arial" w:cs="Arial" w:eastAsia="Arial" w:hAnsi="Arial"/>
          <w:sz w:val="18"/>
          <w:szCs w:val="18"/>
          <w:b w:val="1"/>
          <w:bCs w:val="1"/>
          <w:color w:val="auto"/>
        </w:rPr>
      </w:pPr>
    </w:p>
    <w:p>
      <w:pPr>
        <w:ind w:left="220" w:hanging="212"/>
        <w:spacing w:after="0"/>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“Non-qualified stock options” that are not intended to be incentive stock options; and</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Shares of common stock that are subject to specified restrictions</w:t>
      </w:r>
    </w:p>
    <w:p>
      <w:pPr>
        <w:spacing w:after="0" w:line="117"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Subject to the adjustment provisions of the 2005 Plan that are applicable in the event of a stock dividend, stock split, reverse stock split or similar transaction, up to 2,500,000 shares of common stock may be issued under the 2005 Plan and no person shall be granted awards under the 2005 Plan during any 12-month period that cover more then 500,000 shares of common stock.</w:t>
      </w:r>
    </w:p>
    <w:p>
      <w:pPr>
        <w:spacing w:after="0" w:line="73"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August 2005, our Board of Directors approved the issuance of options to acquire a total of 400,000 shares of our common stock to various employees of the Company. The options vest if the closing price of our common stock is at least $11.00 per share at any time throughout the life of the option. At no time, however, may any options vest within one year from the date of grant. Additionally, such options have an exercise price of $9.10 per share and a term of 5 years from the grant date. The market price of our common stock at the grant date was $9.10.</w:t>
      </w:r>
    </w:p>
    <w:p>
      <w:pPr>
        <w:spacing w:after="0" w:line="63"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In accordance with APB 25, a measurement date cannot occur related to such option grant until such market condition is satisfied. In such situations, APB 25 requires that estimates of compensation cost be recorded before the measurement date based on quoted market prices of the stock at intervening dates. At October 31, 2005, the market price of our common stock was $9.61. As such, we recognized $34,000 of compensation expense during fiscal 2005.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Dividends</w:t>
      </w:r>
    </w:p>
    <w:p>
      <w:pPr>
        <w:spacing w:after="0" w:line="121" w:lineRule="exact"/>
        <w:rPr>
          <w:sz w:val="20"/>
          <w:szCs w:val="20"/>
          <w:color w:val="auto"/>
        </w:rPr>
      </w:pPr>
    </w:p>
    <w:p>
      <w:pPr>
        <w:ind w:right="740" w:firstLine="225"/>
        <w:spacing w:after="0" w:line="342" w:lineRule="auto"/>
        <w:rPr>
          <w:sz w:val="20"/>
          <w:szCs w:val="20"/>
          <w:color w:val="auto"/>
        </w:rPr>
      </w:pPr>
      <w:r>
        <w:rPr>
          <w:rFonts w:ascii="Arial" w:cs="Arial" w:eastAsia="Arial" w:hAnsi="Arial"/>
          <w:sz w:val="16"/>
          <w:szCs w:val="16"/>
          <w:color w:val="auto"/>
        </w:rPr>
        <w:t>In January 2006, we paid a $0.32 per share dividend in the aggregate amount of $4.6 million to shareholders of record on December 15, 2005. In January 2005, we paid a $0.30 per share dividend in the aggregate amount of $4.1 million to shareholders of record on November 15, 2004.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Processed Product Segment Restructuring</w:t>
      </w:r>
    </w:p>
    <w:p>
      <w:pPr>
        <w:spacing w:after="0" w:line="121" w:lineRule="exact"/>
        <w:rPr>
          <w:sz w:val="20"/>
          <w:szCs w:val="20"/>
          <w:color w:val="auto"/>
        </w:rPr>
      </w:pPr>
    </w:p>
    <w:p>
      <w:pPr>
        <w:ind w:right="100" w:firstLine="225"/>
        <w:spacing w:after="0" w:line="285" w:lineRule="auto"/>
        <w:rPr>
          <w:sz w:val="20"/>
          <w:szCs w:val="20"/>
          <w:color w:val="auto"/>
        </w:rPr>
      </w:pPr>
      <w:r>
        <w:rPr>
          <w:rFonts w:ascii="Arial" w:cs="Arial" w:eastAsia="Arial" w:hAnsi="Arial"/>
          <w:sz w:val="16"/>
          <w:szCs w:val="16"/>
          <w:color w:val="auto"/>
        </w:rPr>
        <w:t>In February 2003, our Board of Directors approved a plan whereby the operations of our processed products business would be relocated. The plan called for the closing of our Santa Paula, California and Mexicali, Baja California Norte processing facilities and the relocation of these operations to a new facility in Uruapan, Michoacan, Mexico. This restructuring has provided for cost savings in the elimination of certain transportation costs, duplicative overhead structures, and savings in the overall cost of labor and services. The Uruapan facility commenced operations in February 2004 and the Santa Paula and Mexicali facilities were closed in February 2003 and August 2004. During fiscal 2005, we incurred costs related to this restructuring approximating</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$0.4 million, which are recorded in our income statement as both cost of sales ($0.3 million) and selling, general and administrative expenses ($0.1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 the above amounts have been paid and we do not expect any additional operating costs related to this restructuring.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Calavo Growers,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Paula, CA</w:t>
      </w:r>
    </w:p>
    <w:p>
      <w:pPr>
        <w:spacing w:after="0" w:line="103"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have audited the accompanying consolidated balance sheets of Calavo Growers, Inc. and subsidiaries (the “Company”) as of October 31, 2005 and 2004, and the related consolidated statements of income, comprehensive income, shareholders’ equity, and cash flows for each of the three years in the period ended October 31, 2005. Our audits also included the financial statement schedule listed at Item 15(a)(2). These financial statements and the financial statement schedule are the responsibility of the Company’s management. Our responsibility is to express an opinion on these financial statements and the financial statement schedule based on our audits.</w:t>
      </w:r>
    </w:p>
    <w:p>
      <w:pPr>
        <w:spacing w:after="0" w:line="80"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and its subsidiaries at October 31, 2005 and 2004, and the results of their operations and their cash flows for each of the three years in the period ended October 31, 2005,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w:t>
      </w:r>
    </w:p>
    <w:p>
      <w:pPr>
        <w:spacing w:after="0" w:line="80" w:lineRule="exact"/>
        <w:rPr>
          <w:sz w:val="20"/>
          <w:szCs w:val="20"/>
          <w:color w:val="auto"/>
        </w:rPr>
      </w:pPr>
    </w:p>
    <w:p>
      <w:pPr>
        <w:ind w:right="140" w:firstLine="222"/>
        <w:spacing w:after="0" w:line="255"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effectiveness of the Company’s internal control over financial reporting as of October 31, 2005,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and our report dated January 31, 2006 expressed an adverse opinion on management’s assessment of the effectiveness of the Company’s internal control over financial reporting because of management’s omission of a material weakness from its report and expressed and an adverse opinion on the effectiveness of the Company’s internal control over financial reporting because of a material weakness.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31, 2006</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The decision to restate our consolidated statements of cash flows, as discussed below, does not cause our management to change its conclusion that our internal control over financial reporting was effective. Based on this evaluation, our principal executive officer and our principal financial officer concluded that our disclosure controls and procedures were effective as of October 31, 2005.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as of the end of the period covered by this report based on the framework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Based on our evaluation under the framework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our management concluded that our internal control over financial reporting was effective as of October 31, 2005. Our management’s assessment of the effectiveness of our internal control over financial reporting as of October 31, 2005 has been audited by Deloitte &amp; Touche LLP, an independent registered public accounting firm, as stated in their report which is included herein.</w:t>
      </w:r>
    </w:p>
    <w:p>
      <w:pPr>
        <w:spacing w:after="0" w:line="84"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In January 2006, we filed an amended Form 10Q to restate the Company’s interim consolidated financial statements as of and for the quarterly period ended July 31, 2005 related to amounts on the Company’s consolidated statement of cash flows. Specifically, the amendment reflects an adjustment in the presentation of the Company’s common stock issued in conjunction with acquiring Limoneira Company common stock, pursuant to the stock purchase agreement more fully described in Note 8 to the consolidated financial statements. In such amended Form 10Q, we presented the portion of the transaction that was not settled in cash as a non-cash investing and financing activity, while in the original Form 10Q, we presented such non-cash portion as cash flows in the investing and financing activities section. Note that there was no change to the net decrease in cash and cash equivalents. Further, these changes had no impact on our consolidated statements of income, consolidated balance sheets or consolidated statements of shareholders’ equity.</w:t>
      </w:r>
    </w:p>
    <w:p>
      <w:pPr>
        <w:spacing w:after="0" w:line="59"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 xml:space="preserve">The decision to restate our consolidated statements of cash flows, as discussed above, does not cause our management to change its conclusion that our internal control over financial reporting was effective as of October 31, 2005. Based on the SEC’s Staff Statement on Management’s Report on Internal Control Over Financial Reporting (dated May 16, 2005), we believe that, to a significant degree, the determination of whether a material weakness exists in our financial reporting involves subjective judgment and we do not believe that such restatement, given the facts and circumstances of our situation, constitutes a material weakness in internal control over financial reporting. Management reviewed SFAS 95, </w:t>
      </w:r>
      <w:r>
        <w:rPr>
          <w:rFonts w:ascii="Arial" w:cs="Arial" w:eastAsia="Arial" w:hAnsi="Arial"/>
          <w:sz w:val="17"/>
          <w:szCs w:val="17"/>
          <w:i w:val="1"/>
          <w:iCs w:val="1"/>
          <w:color w:val="auto"/>
        </w:rPr>
        <w:t>Statement of Cash Flows</w:t>
      </w:r>
      <w:r>
        <w:rPr>
          <w:rFonts w:ascii="Arial" w:cs="Arial" w:eastAsia="Arial" w:hAnsi="Arial"/>
          <w:sz w:val="17"/>
          <w:szCs w:val="17"/>
          <w:color w:val="auto"/>
        </w:rPr>
        <w:t>, and held discussions internally to determine proper disclosure in our consolidated statements of cash flow. Based on these procedures, we reached the conclusion that the presentation of cash flows from investing and financing activities was appropriate. Subsequent to filing our third quarter financial statements, we reconsidered the accounting treatment of noncash investing and financing activities and we now believe that the portion of the transaction that was not settled in cash should be presented as a non-cash investing and financing activity. The restatement of our Form 10Q conforms our consolidated statements of cash flows to that accounting treatment. Under these circumstances, our management does not believe that the restatements resulted from, or require a finding of, a material weakness in our internal control over financial reporting.</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That conclusion was discussed with, and approved by, the Audit Committee of our Board of Directors.</w:t>
      </w:r>
    </w:p>
    <w:p>
      <w:pPr>
        <w:spacing w:after="0" w:line="117"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Deloitte &amp; Touche LLP, our independent registered public accounting firm, has informed us that it believes that the restatement of our consolidated statements of cash flows did result from a material weakness in our internal control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Calavo Growers, Inc.:</w:t>
      </w:r>
    </w:p>
    <w:p>
      <w:pPr>
        <w:spacing w:after="0" w:line="10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 xml:space="preserve">We have audited management’s assessment, included in the accompanying Management’s Report on Internal Control Over Financial Reporting, that Calavo Growers, Inc. and subsidiaries (the “Company”) maintained effective internal control over financial reporting as of October 31, 2005,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85"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80" w:lineRule="exact"/>
        <w:rPr>
          <w:sz w:val="20"/>
          <w:szCs w:val="20"/>
          <w:color w:val="auto"/>
        </w:rPr>
      </w:pPr>
    </w:p>
    <w:p>
      <w:pPr>
        <w:ind w:firstLine="215"/>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4"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79" w:lineRule="exact"/>
        <w:rPr>
          <w:sz w:val="20"/>
          <w:szCs w:val="20"/>
          <w:color w:val="auto"/>
        </w:rPr>
      </w:pPr>
    </w:p>
    <w:p>
      <w:pPr>
        <w:ind w:right="100" w:firstLine="215"/>
        <w:spacing w:after="0" w:line="271" w:lineRule="auto"/>
        <w:rPr>
          <w:sz w:val="20"/>
          <w:szCs w:val="20"/>
          <w:color w:val="auto"/>
        </w:rPr>
      </w:pPr>
      <w:r>
        <w:rPr>
          <w:rFonts w:ascii="Arial" w:cs="Arial" w:eastAsia="Arial" w:hAnsi="Arial"/>
          <w:sz w:val="17"/>
          <w:szCs w:val="17"/>
          <w:color w:val="auto"/>
        </w:rPr>
        <w:t>A material weakness is a significant deficiency, or combination of significant deficiencies, that results in more than a remote likelihood that a material misstatement of the annual or interim financial statements will not be prevented or detected. We have identified the following material weakness that has not been identified and included as a material weakness in management’s assessment: The Company’s controls over the proper classification of cash flows in an unusual transaction did not operate effectively as of October 31, 2005 to identify a misclassification of cash flows associated with a non-routine transaction between financing and investing activities. This material weakness resulted in the restatement of the Company’s previously issued quarterly financial statements for the period ended July 31, 2005. This material weakness was considered in determining the nature, timing, and extent of audit tests applied in our audit of the consolidated financial statements as of and for the year ended October 31, 2005, of the Company and this report does not affect our report on such financial statements.</w:t>
      </w:r>
    </w:p>
    <w:p>
      <w:pPr>
        <w:spacing w:after="0" w:line="71"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 xml:space="preserve">In our opinion, because of the omission of the material weakness described above from management’s assessment, management’s assessment that the Company maintained effective internal control over financial reporting as of October 31, 2005, is not fairly stated, in all material respects, based on the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Also in our opinion, because of the effect of the material weakness described above on the achievement of the objectives of the control criteria, the Company has not maintained effective internal control over financial reporting as of October 31, 2005, based on the criteria established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issued by the Committee of Sponsoring Organizations of the Treadway Commission.</w:t>
      </w:r>
    </w:p>
    <w:p>
      <w:pPr>
        <w:spacing w:after="0" w:line="70"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We do not express an opinion or any other form of assurance on management’s statements appearing in the third paragraph of Management’s Report on Internal Control Over Financial Reporting.</w:t>
      </w:r>
    </w:p>
    <w:p>
      <w:pPr>
        <w:spacing w:after="0" w:line="62"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statements schedule as of and for the year ended October 31, 2005 of the Company and our report dated January 31, 2006 expressed an unqualified opinion on those financial statements and financial statement schedule.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31, 2006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October 31, 2005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jc w:val="both"/>
        <w:ind w:right="20" w:firstLine="225"/>
        <w:spacing w:after="0" w:line="286" w:lineRule="auto"/>
        <w:rPr>
          <w:sz w:val="20"/>
          <w:szCs w:val="20"/>
          <w:color w:val="auto"/>
        </w:rPr>
      </w:pPr>
      <w:r>
        <w:rPr>
          <w:rFonts w:ascii="Arial" w:cs="Arial" w:eastAsia="Arial" w:hAnsi="Arial"/>
          <w:sz w:val="17"/>
          <w:szCs w:val="17"/>
          <w:color w:val="auto"/>
        </w:rPr>
        <w:t>Certain information required by Part III is omitted from this Annual Report because we will file a definitive Proxy Statement for the Annual Meeting of Shareholders pursuant to Regulation 14A of the Securities Exchange Act of 1934 (the “Proxy Statement”), not later than 120 days after the end of the fiscal year covered by this Annual Report, and the applicable information included in the Proxy Statement is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Information regarding our executive officers is set forth under “Executive Officers” in Part I., Item 4 of this Annual Report.</w:t>
      </w:r>
    </w:p>
    <w:p>
      <w:pPr>
        <w:spacing w:after="0" w:line="117"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remaining information required by Item 401 of Regulation S-K is incorporated herein by reference to the sections of the Proxy Statement entitled “Election of Directors” and “Audit Committee.”</w:t>
      </w:r>
    </w:p>
    <w:p>
      <w:pPr>
        <w:spacing w:after="0" w:line="62"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Information required by Item 405 of Regulation S-K is incorporated herein by reference to the section of the Proxy Statement entitled “Section 16(a) Beneficial Ownership Reporting Compliance.”</w:t>
      </w:r>
    </w:p>
    <w:p>
      <w:pPr>
        <w:spacing w:after="0" w:line="62"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 xml:space="preserve">We have adopted a code of ethics that applies to all of our directors, officers and employees. A copy of the code of ethics is posted on our Internet site at </w:t>
      </w:r>
      <w:r>
        <w:rPr>
          <w:rFonts w:ascii="Arial" w:cs="Arial" w:eastAsia="Arial" w:hAnsi="Arial"/>
          <w:sz w:val="18"/>
          <w:szCs w:val="18"/>
          <w:i w:val="1"/>
          <w:iCs w:val="1"/>
          <w:color w:val="auto"/>
        </w:rPr>
        <w:t>http://www.calavo.com</w:t>
      </w:r>
      <w:r>
        <w:rPr>
          <w:rFonts w:ascii="Arial" w:cs="Arial" w:eastAsia="Arial" w:hAnsi="Arial"/>
          <w:sz w:val="18"/>
          <w:szCs w:val="18"/>
          <w:color w:val="auto"/>
        </w:rPr>
        <w:t>. In the event that we make any amendment to, or grant any waiver of, a provision of the code of ethics that applies to our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or principal financial officer and that requires disclosure under applicable SEC rules, we intend to disclose such amendment or waiver and the reasons for the amendment or waiver on our Internet site.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Information required by Item 402 of Regulation S-K is incorporated herein by reference to the sections of the Proxy Statement entitled “Executive Compensation” and “Directors’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121"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Information required by Items 201(d) and 403 of Regulation S-K is incorporated herein by reference to the sections of the Proxy Statement entitled “Equity Compensation Plan Information” and “Security Ownership of Certain Beneficial Owners and Management.”</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21" w:lineRule="exact"/>
        <w:rPr>
          <w:sz w:val="20"/>
          <w:szCs w:val="20"/>
          <w:color w:val="auto"/>
        </w:rPr>
      </w:pPr>
    </w:p>
    <w:p>
      <w:pPr>
        <w:jc w:val="both"/>
        <w:ind w:right="460" w:firstLine="222"/>
        <w:spacing w:after="0" w:line="312" w:lineRule="auto"/>
        <w:rPr>
          <w:sz w:val="20"/>
          <w:szCs w:val="20"/>
          <w:color w:val="auto"/>
        </w:rPr>
      </w:pPr>
      <w:r>
        <w:rPr>
          <w:rFonts w:ascii="Arial" w:cs="Arial" w:eastAsia="Arial" w:hAnsi="Arial"/>
          <w:sz w:val="16"/>
          <w:szCs w:val="16"/>
          <w:color w:val="auto"/>
        </w:rPr>
        <w:t>We sell papayas procured from an entity owned by the Chairman of our Board of Directors and CEO. Sales of papayas amounted to approximately $6,251,000, $6,846,000, and $2,920,000 for the years ended October 31, 2005, 2004, and 2003, resulting in gross margins of approximately $510,000, $864,000 and $281,000. Net amounts due to this entity approximated $79,000, $113,000, and $278,000 at October 31, 2005, 2004, and 2003.</w:t>
      </w:r>
    </w:p>
    <w:p>
      <w:pPr>
        <w:spacing w:after="0" w:line="39" w:lineRule="exact"/>
        <w:rPr>
          <w:sz w:val="20"/>
          <w:szCs w:val="20"/>
          <w:color w:val="auto"/>
        </w:rPr>
      </w:pPr>
    </w:p>
    <w:p>
      <w:pPr>
        <w:ind w:right="200" w:firstLine="225"/>
        <w:spacing w:after="0" w:line="312" w:lineRule="auto"/>
        <w:rPr>
          <w:sz w:val="20"/>
          <w:szCs w:val="20"/>
          <w:color w:val="auto"/>
        </w:rPr>
      </w:pPr>
      <w:r>
        <w:rPr>
          <w:rFonts w:ascii="Arial" w:cs="Arial" w:eastAsia="Arial" w:hAnsi="Arial"/>
          <w:sz w:val="16"/>
          <w:szCs w:val="16"/>
          <w:color w:val="auto"/>
        </w:rPr>
        <w:t>Certain members of our Board of Directors market avocados through Calavo pursuant to our customary marketing agreements. During the years ended October 31, 2005 and 2004, the aggregate amount of avocados procured from entities owned or controlled by members of our Board of Directors, was $5.2 million and $4.7 million. Accounts payable to these Board members were $0.2 million and $0.3 million as of October 31, 2005 and 2004.</w:t>
      </w:r>
    </w:p>
    <w:p>
      <w:pPr>
        <w:spacing w:after="0" w:line="39" w:lineRule="exact"/>
        <w:rPr>
          <w:sz w:val="20"/>
          <w:szCs w:val="20"/>
          <w:color w:val="auto"/>
        </w:rPr>
      </w:pPr>
    </w:p>
    <w:p>
      <w:pPr>
        <w:ind w:firstLine="215"/>
        <w:spacing w:after="0" w:line="277" w:lineRule="auto"/>
        <w:rPr>
          <w:sz w:val="20"/>
          <w:szCs w:val="20"/>
          <w:color w:val="auto"/>
        </w:rPr>
      </w:pPr>
      <w:r>
        <w:rPr>
          <w:rFonts w:ascii="Arial" w:cs="Arial" w:eastAsia="Arial" w:hAnsi="Arial"/>
          <w:sz w:val="18"/>
          <w:szCs w:val="18"/>
          <w:color w:val="auto"/>
        </w:rPr>
        <w:t>Additional information required by Item 404 of Regulation S-K is incorporated herein by reference to the section of the Proxy Statement entitled “Certain Relationships and Related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Accountant’s Fees and Services</w:t>
      </w:r>
    </w:p>
    <w:p>
      <w:pPr>
        <w:spacing w:after="0" w:line="121"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Information required by this Item is incorporated herein by reference to the section of the Proxy Statement entitled “Principal Accountant Fees and Services.”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800" w:right="220"/>
        <w:spacing w:after="0" w:line="277" w:lineRule="auto"/>
        <w:rPr>
          <w:sz w:val="20"/>
          <w:szCs w:val="20"/>
          <w:color w:val="auto"/>
        </w:rPr>
      </w:pPr>
      <w:r>
        <w:rPr>
          <w:rFonts w:ascii="Arial" w:cs="Arial" w:eastAsia="Arial" w:hAnsi="Arial"/>
          <w:sz w:val="18"/>
          <w:szCs w:val="18"/>
          <w:color w:val="auto"/>
        </w:rPr>
        <w:t>The following consolidated financial statements as of October 31, 2005 and 2004 and for each of the three years in the period ended October 31, 2005 are included herewith:</w:t>
      </w:r>
    </w:p>
    <w:p>
      <w:pPr>
        <w:spacing w:after="0" w:line="170" w:lineRule="exact"/>
        <w:rPr>
          <w:sz w:val="20"/>
          <w:szCs w:val="20"/>
          <w:color w:val="auto"/>
        </w:rPr>
      </w:pPr>
    </w:p>
    <w:p>
      <w:pPr>
        <w:jc w:val="both"/>
        <w:ind w:left="800" w:right="180"/>
        <w:spacing w:after="0" w:line="264" w:lineRule="auto"/>
        <w:rPr>
          <w:sz w:val="20"/>
          <w:szCs w:val="20"/>
          <w:color w:val="auto"/>
        </w:rPr>
      </w:pPr>
      <w:r>
        <w:rPr>
          <w:rFonts w:ascii="Arial" w:cs="Arial" w:eastAsia="Arial" w:hAnsi="Arial"/>
          <w:sz w:val="18"/>
          <w:szCs w:val="18"/>
          <w:color w:val="auto"/>
        </w:rPr>
        <w:t>Consolidated Balance Sheets, Consolidated Statements of Income, Consolidated Statements of Comprehensive Income, Consolidated Statements of Cash Flows, Consolidated Statements of Shareholders’ Equity, Notes to Consolidated Financial Statements, and Report of Deloitte &amp; Touche LLP, Independent Registered Public Accounting Firm.</w:t>
      </w:r>
    </w:p>
    <w:p>
      <w:pPr>
        <w:spacing w:after="0" w:line="177" w:lineRule="exact"/>
        <w:rPr>
          <w:sz w:val="20"/>
          <w:szCs w:val="20"/>
          <w:color w:val="auto"/>
        </w:rPr>
      </w:pPr>
    </w:p>
    <w:p>
      <w:pPr>
        <w:ind w:left="800" w:hanging="37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Supplemental Schedules</w:t>
      </w:r>
    </w:p>
    <w:p>
      <w:pPr>
        <w:spacing w:after="0" w:line="229"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225" w:lineRule="exact"/>
        <w:rPr>
          <w:rFonts w:ascii="Arial" w:cs="Arial" w:eastAsia="Arial" w:hAnsi="Arial"/>
          <w:sz w:val="18"/>
          <w:szCs w:val="18"/>
          <w:color w:val="auto"/>
        </w:rPr>
      </w:pPr>
    </w:p>
    <w:p>
      <w:pPr>
        <w:ind w:left="800" w:right="1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All other schedules have been omitted since the required information is not present in amounts sufficient to require submission of the schedule, or </w:t>
      </w:r>
      <w:r>
        <w:rPr>
          <w:rFonts w:ascii="Arial" w:cs="Arial" w:eastAsia="Arial" w:hAnsi="Arial"/>
          <w:sz w:val="15"/>
          <w:szCs w:val="15"/>
          <w:color w:val="auto"/>
        </w:rPr>
        <w:t xml:space="preserve">because </w:t>
      </w:r>
      <w:r>
        <w:rPr>
          <w:rFonts w:ascii="Arial" w:cs="Arial" w:eastAsia="Arial" w:hAnsi="Arial"/>
          <w:sz w:val="18"/>
          <w:szCs w:val="18"/>
          <w:color w:val="auto"/>
        </w:rPr>
        <w:t>the required information is included in the consolidated financial statements or notes thereto.</w:t>
      </w:r>
    </w:p>
    <w:p>
      <w:pPr>
        <w:spacing w:after="0" w:line="166" w:lineRule="exact"/>
        <w:rPr>
          <w:rFonts w:ascii="Arial" w:cs="Arial" w:eastAsia="Arial" w:hAnsi="Arial"/>
          <w:sz w:val="18"/>
          <w:szCs w:val="18"/>
          <w:color w:val="auto"/>
        </w:rPr>
      </w:pPr>
    </w:p>
    <w:p>
      <w:pPr>
        <w:ind w:left="800" w:hanging="37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9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Agreement and Plan of Merger and Reorganization dated as of February 20, 2001 between Calavo Growers, Inc. and Calavo Growers of</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California.</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96"/>
              </w:rPr>
              <w:t>Agreement and Plan of Merger dated as of November 7, 2003 Among Calavo Growers, Inc., Calavo Acquisition, Inc., Maui Fresh</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International, Inc. and Arthur J. Bruno, Robert J. Bruno and Javier J. Badillo</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 xml:space="preserve">Articles of Incorporation of Calavo Growers, Inc.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Amended and Restated Bylaws of Calavo Growers, Inc.</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10.1</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Form of Marketing Agreement for Calavo Growers, Inc.</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10.2</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91"/>
              </w:rPr>
              <w:t>Marketing Agreement dated as of April 1, 1996 between Tropical Hawaiian Products, Inc., a Hawaiian corporation, and Calavo Growers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 xml:space="preserve">of California.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10.3</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Stock Purchase Agreement dated as of June 1, 2005, between Limoneira Company and Calavo Growers, Inc.</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10.4</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92"/>
              </w:rPr>
              <w:t>Lease Agreement dated as of November 21, 1997, between Tede S.A. de C.V., a Mexican corporation, and Calavo de Mexico, S.A. de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C.V., a Mexican corporation, including attached Guaranty of Calavo Growers of California dated December 16, 1996.</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10.5</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Lease agreement dated as of February 15, 2005, between Limoneira Company and Calavo Growers, Inc.</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10.6</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Standstill agreement dated June 1, 2005, between Limoneira Company and Calavo Growers, Inc.</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0"/>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10.7</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Standstill agreement dated June 1, 2005 between Calavo Growers, Inc. And Limoneira Company</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405"/>
        </w:trPr>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2"/>
          </w:tcPr>
          <w:p>
            <w:pPr>
              <w:ind w:left="44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6"/>
        </w:trPr>
        <w:tc>
          <w:tcPr>
            <w:tcW w:w="9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9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10.8</w:t>
            </w:r>
          </w:p>
        </w:tc>
        <w:tc>
          <w:tcPr>
            <w:tcW w:w="9800" w:type="dxa"/>
            <w:vAlign w:val="bottom"/>
          </w:tcPr>
          <w:p>
            <w:pPr>
              <w:ind w:left="280"/>
              <w:spacing w:after="0"/>
              <w:rPr>
                <w:sz w:val="20"/>
                <w:szCs w:val="20"/>
                <w:color w:val="auto"/>
              </w:rPr>
            </w:pPr>
            <w:r>
              <w:rPr>
                <w:rFonts w:ascii="Arial" w:cs="Arial" w:eastAsia="Arial" w:hAnsi="Arial"/>
                <w:sz w:val="18"/>
                <w:szCs w:val="18"/>
                <w:color w:val="auto"/>
              </w:rPr>
              <w:t>Term Loan Agreement dated July 1, 2005, between Farm Credit West, PCA, and Calavo Growers, Inc.</w:t>
            </w:r>
            <w:r>
              <w:rPr>
                <w:rFonts w:ascii="Arial" w:cs="Arial" w:eastAsia="Arial" w:hAnsi="Arial"/>
                <w:sz w:val="15"/>
                <w:szCs w:val="15"/>
                <w:color w:val="auto"/>
              </w:rPr>
              <w:t>5</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10.9</w:t>
            </w:r>
          </w:p>
        </w:tc>
        <w:tc>
          <w:tcPr>
            <w:tcW w:w="9800" w:type="dxa"/>
            <w:vAlign w:val="bottom"/>
          </w:tcPr>
          <w:p>
            <w:pPr>
              <w:ind w:left="280"/>
              <w:spacing w:after="0"/>
              <w:rPr>
                <w:sz w:val="20"/>
                <w:szCs w:val="20"/>
                <w:color w:val="auto"/>
              </w:rPr>
            </w:pPr>
            <w:r>
              <w:rPr>
                <w:rFonts w:ascii="Arial" w:cs="Arial" w:eastAsia="Arial" w:hAnsi="Arial"/>
                <w:sz w:val="18"/>
                <w:szCs w:val="18"/>
                <w:color w:val="auto"/>
              </w:rPr>
              <w:t>2005 Stock Incentive Plan Of Calavo Growers, Inc.</w:t>
            </w:r>
            <w:r>
              <w:rPr>
                <w:rFonts w:ascii="Arial" w:cs="Arial" w:eastAsia="Arial" w:hAnsi="Arial"/>
                <w:sz w:val="15"/>
                <w:szCs w:val="15"/>
                <w:color w:val="auto"/>
              </w:rPr>
              <w:t>6</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10.10</w:t>
            </w:r>
          </w:p>
        </w:tc>
        <w:tc>
          <w:tcPr>
            <w:tcW w:w="9800" w:type="dxa"/>
            <w:vAlign w:val="bottom"/>
          </w:tcPr>
          <w:p>
            <w:pPr>
              <w:ind w:left="280"/>
              <w:spacing w:after="0"/>
              <w:rPr>
                <w:sz w:val="20"/>
                <w:szCs w:val="20"/>
                <w:color w:val="auto"/>
              </w:rPr>
            </w:pPr>
            <w:r>
              <w:rPr>
                <w:rFonts w:ascii="Arial" w:cs="Arial" w:eastAsia="Arial" w:hAnsi="Arial"/>
                <w:sz w:val="18"/>
                <w:szCs w:val="18"/>
                <w:color w:val="auto"/>
                <w:w w:val="91"/>
              </w:rPr>
              <w:t>Calavo Supplemental Executive Retirement Agreement dated March 11, 1989 between Egidio Carbone, Jr. and Calavo Growers of</w:t>
            </w:r>
          </w:p>
        </w:tc>
      </w:tr>
      <w:tr>
        <w:trPr>
          <w:trHeight w:val="216"/>
        </w:trPr>
        <w:tc>
          <w:tcPr>
            <w:tcW w:w="70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8"/>
                <w:szCs w:val="18"/>
                <w:color w:val="auto"/>
              </w:rPr>
              <w:t xml:space="preserve">California. </w:t>
            </w:r>
            <w:r>
              <w:rPr>
                <w:rFonts w:ascii="Arial" w:cs="Arial" w:eastAsia="Arial" w:hAnsi="Arial"/>
                <w:sz w:val="15"/>
                <w:szCs w:val="15"/>
                <w:color w:val="auto"/>
              </w:rPr>
              <w:t>1</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10.11</w:t>
            </w:r>
          </w:p>
        </w:tc>
        <w:tc>
          <w:tcPr>
            <w:tcW w:w="9800" w:type="dxa"/>
            <w:vAlign w:val="bottom"/>
          </w:tcPr>
          <w:p>
            <w:pPr>
              <w:ind w:left="280"/>
              <w:spacing w:after="0"/>
              <w:rPr>
                <w:sz w:val="20"/>
                <w:szCs w:val="20"/>
                <w:color w:val="auto"/>
              </w:rPr>
            </w:pPr>
            <w:r>
              <w:rPr>
                <w:rFonts w:ascii="Arial" w:cs="Arial" w:eastAsia="Arial" w:hAnsi="Arial"/>
                <w:sz w:val="18"/>
                <w:szCs w:val="18"/>
                <w:color w:val="auto"/>
                <w:w w:val="90"/>
              </w:rPr>
              <w:t>Amendment to the Calavo Growers of California Supplemental Executive Retirement Agreement dated November 9, 1993 Between</w:t>
            </w:r>
          </w:p>
        </w:tc>
      </w:tr>
      <w:tr>
        <w:trPr>
          <w:trHeight w:val="216"/>
        </w:trPr>
        <w:tc>
          <w:tcPr>
            <w:tcW w:w="70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8"/>
                <w:szCs w:val="18"/>
                <w:color w:val="auto"/>
              </w:rPr>
              <w:t xml:space="preserve">Egidio Carbone, Jr. and Calavo Growers of California. </w:t>
            </w:r>
            <w:r>
              <w:rPr>
                <w:rFonts w:ascii="Arial" w:cs="Arial" w:eastAsia="Arial" w:hAnsi="Arial"/>
                <w:sz w:val="15"/>
                <w:szCs w:val="15"/>
                <w:color w:val="auto"/>
              </w:rPr>
              <w:t>1</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10.12</w:t>
            </w:r>
          </w:p>
        </w:tc>
        <w:tc>
          <w:tcPr>
            <w:tcW w:w="9800" w:type="dxa"/>
            <w:vAlign w:val="bottom"/>
          </w:tcPr>
          <w:p>
            <w:pPr>
              <w:ind w:left="280"/>
              <w:spacing w:after="0"/>
              <w:rPr>
                <w:sz w:val="20"/>
                <w:szCs w:val="20"/>
                <w:color w:val="auto"/>
              </w:rPr>
            </w:pPr>
            <w:r>
              <w:rPr>
                <w:rFonts w:ascii="Arial" w:cs="Arial" w:eastAsia="Arial" w:hAnsi="Arial"/>
                <w:sz w:val="18"/>
                <w:szCs w:val="18"/>
                <w:color w:val="auto"/>
              </w:rPr>
              <w:t>2001 Stock Option Plan for Directors.</w:t>
            </w:r>
            <w:r>
              <w:rPr>
                <w:rFonts w:ascii="Arial" w:cs="Arial" w:eastAsia="Arial" w:hAnsi="Arial"/>
                <w:sz w:val="15"/>
                <w:szCs w:val="15"/>
                <w:color w:val="auto"/>
              </w:rPr>
              <w:t>2</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10.13</w:t>
            </w:r>
          </w:p>
        </w:tc>
        <w:tc>
          <w:tcPr>
            <w:tcW w:w="9800" w:type="dxa"/>
            <w:vAlign w:val="bottom"/>
          </w:tcPr>
          <w:p>
            <w:pPr>
              <w:ind w:left="280"/>
              <w:spacing w:after="0"/>
              <w:rPr>
                <w:sz w:val="20"/>
                <w:szCs w:val="20"/>
                <w:color w:val="auto"/>
              </w:rPr>
            </w:pPr>
            <w:r>
              <w:rPr>
                <w:rFonts w:ascii="Arial" w:cs="Arial" w:eastAsia="Arial" w:hAnsi="Arial"/>
                <w:sz w:val="18"/>
                <w:szCs w:val="18"/>
                <w:color w:val="auto"/>
              </w:rPr>
              <w:t>2001 Stock Purchase Plan for Officers and Employees.</w:t>
            </w:r>
            <w:r>
              <w:rPr>
                <w:rFonts w:ascii="Arial" w:cs="Arial" w:eastAsia="Arial" w:hAnsi="Arial"/>
                <w:sz w:val="15"/>
                <w:szCs w:val="15"/>
                <w:color w:val="auto"/>
              </w:rPr>
              <w:t>2</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10.14</w:t>
            </w:r>
          </w:p>
        </w:tc>
        <w:tc>
          <w:tcPr>
            <w:tcW w:w="9800" w:type="dxa"/>
            <w:vAlign w:val="bottom"/>
          </w:tcPr>
          <w:p>
            <w:pPr>
              <w:ind w:left="280"/>
              <w:spacing w:after="0"/>
              <w:rPr>
                <w:sz w:val="20"/>
                <w:szCs w:val="20"/>
                <w:color w:val="auto"/>
              </w:rPr>
            </w:pPr>
            <w:r>
              <w:rPr>
                <w:rFonts w:ascii="Arial" w:cs="Arial" w:eastAsia="Arial" w:hAnsi="Arial"/>
                <w:sz w:val="18"/>
                <w:szCs w:val="18"/>
                <w:color w:val="auto"/>
              </w:rPr>
              <w:t>Line of Credit Agreement between Farm Credit West, PCA and Calavo Growers, Inc., dated August 17, 2005</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10.15</w:t>
            </w:r>
          </w:p>
        </w:tc>
        <w:tc>
          <w:tcPr>
            <w:tcW w:w="9800" w:type="dxa"/>
            <w:vAlign w:val="bottom"/>
          </w:tcPr>
          <w:p>
            <w:pPr>
              <w:ind w:left="280"/>
              <w:spacing w:after="0"/>
              <w:rPr>
                <w:sz w:val="20"/>
                <w:szCs w:val="20"/>
                <w:color w:val="auto"/>
              </w:rPr>
            </w:pPr>
            <w:r>
              <w:rPr>
                <w:rFonts w:ascii="Arial" w:cs="Arial" w:eastAsia="Arial" w:hAnsi="Arial"/>
                <w:sz w:val="18"/>
                <w:szCs w:val="18"/>
                <w:color w:val="auto"/>
              </w:rPr>
              <w:t>Business Loan Agreement between Bank of America, N.A. and Calavo Growers, Inc., dated January 30, 2004</w:t>
            </w:r>
            <w:r>
              <w:rPr>
                <w:rFonts w:ascii="Arial" w:cs="Arial" w:eastAsia="Arial" w:hAnsi="Arial"/>
                <w:sz w:val="15"/>
                <w:szCs w:val="15"/>
                <w:color w:val="auto"/>
              </w:rPr>
              <w:t>9</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10.16</w:t>
            </w:r>
          </w:p>
        </w:tc>
        <w:tc>
          <w:tcPr>
            <w:tcW w:w="9800" w:type="dxa"/>
            <w:vAlign w:val="bottom"/>
          </w:tcPr>
          <w:p>
            <w:pPr>
              <w:ind w:left="280"/>
              <w:spacing w:after="0"/>
              <w:rPr>
                <w:sz w:val="20"/>
                <w:szCs w:val="20"/>
                <w:color w:val="auto"/>
              </w:rPr>
            </w:pPr>
            <w:r>
              <w:rPr>
                <w:rFonts w:ascii="Arial" w:cs="Arial" w:eastAsia="Arial" w:hAnsi="Arial"/>
                <w:sz w:val="18"/>
                <w:szCs w:val="18"/>
                <w:color w:val="auto"/>
                <w:w w:val="90"/>
              </w:rPr>
              <w:t>Renewal Notice for Business Loan Agreement, dated January 30, 2004, Between Bank of America and Calavo Growers, Inc., dated</w:t>
            </w:r>
          </w:p>
        </w:tc>
      </w:tr>
      <w:tr>
        <w:trPr>
          <w:trHeight w:val="216"/>
        </w:trPr>
        <w:tc>
          <w:tcPr>
            <w:tcW w:w="700" w:type="dxa"/>
            <w:vAlign w:val="bottom"/>
          </w:tcPr>
          <w:p>
            <w:pPr>
              <w:spacing w:after="0"/>
              <w:rPr>
                <w:sz w:val="18"/>
                <w:szCs w:val="18"/>
                <w:color w:val="auto"/>
              </w:rPr>
            </w:pPr>
          </w:p>
        </w:tc>
        <w:tc>
          <w:tcPr>
            <w:tcW w:w="9800" w:type="dxa"/>
            <w:vAlign w:val="bottom"/>
          </w:tcPr>
          <w:p>
            <w:pPr>
              <w:ind w:left="280"/>
              <w:spacing w:after="0"/>
              <w:rPr>
                <w:sz w:val="20"/>
                <w:szCs w:val="20"/>
                <w:color w:val="auto"/>
              </w:rPr>
            </w:pPr>
            <w:r>
              <w:rPr>
                <w:rFonts w:ascii="Arial" w:cs="Arial" w:eastAsia="Arial" w:hAnsi="Arial"/>
                <w:sz w:val="18"/>
                <w:szCs w:val="18"/>
                <w:color w:val="auto"/>
              </w:rPr>
              <w:t>November 18, 2005</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w w:val="84"/>
              </w:rPr>
              <w:t>10.17</w:t>
            </w:r>
          </w:p>
        </w:tc>
        <w:tc>
          <w:tcPr>
            <w:tcW w:w="9800" w:type="dxa"/>
            <w:vAlign w:val="bottom"/>
          </w:tcPr>
          <w:p>
            <w:pPr>
              <w:ind w:left="280"/>
              <w:spacing w:after="0"/>
              <w:rPr>
                <w:sz w:val="20"/>
                <w:szCs w:val="20"/>
                <w:color w:val="auto"/>
              </w:rPr>
            </w:pPr>
            <w:r>
              <w:rPr>
                <w:rFonts w:ascii="Arial" w:cs="Arial" w:eastAsia="Arial" w:hAnsi="Arial"/>
                <w:sz w:val="18"/>
                <w:szCs w:val="18"/>
                <w:color w:val="auto"/>
              </w:rPr>
              <w:t>Form of Stock Option Agreement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21.1</w:t>
            </w:r>
          </w:p>
        </w:tc>
        <w:tc>
          <w:tcPr>
            <w:tcW w:w="9800" w:type="dxa"/>
            <w:vAlign w:val="bottom"/>
          </w:tcPr>
          <w:p>
            <w:pPr>
              <w:ind w:left="280"/>
              <w:spacing w:after="0"/>
              <w:rPr>
                <w:sz w:val="20"/>
                <w:szCs w:val="20"/>
                <w:color w:val="auto"/>
              </w:rPr>
            </w:pPr>
            <w:r>
              <w:rPr>
                <w:rFonts w:ascii="Arial" w:cs="Arial" w:eastAsia="Arial" w:hAnsi="Arial"/>
                <w:sz w:val="18"/>
                <w:szCs w:val="18"/>
                <w:color w:val="auto"/>
              </w:rPr>
              <w:t xml:space="preserve">Subsidiaries of Calavo Growers, Inc. </w:t>
            </w:r>
            <w:r>
              <w:rPr>
                <w:rFonts w:ascii="Arial" w:cs="Arial" w:eastAsia="Arial" w:hAnsi="Arial"/>
                <w:sz w:val="15"/>
                <w:szCs w:val="15"/>
                <w:color w:val="auto"/>
              </w:rPr>
              <w:t>1</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23.1</w:t>
            </w:r>
          </w:p>
        </w:tc>
        <w:tc>
          <w:tcPr>
            <w:tcW w:w="9800" w:type="dxa"/>
            <w:vAlign w:val="bottom"/>
          </w:tcPr>
          <w:p>
            <w:pPr>
              <w:ind w:left="280"/>
              <w:spacing w:after="0"/>
              <w:rPr>
                <w:sz w:val="20"/>
                <w:szCs w:val="20"/>
                <w:color w:val="auto"/>
              </w:rPr>
            </w:pPr>
            <w:r>
              <w:rPr>
                <w:rFonts w:ascii="Arial" w:cs="Arial" w:eastAsia="Arial" w:hAnsi="Arial"/>
                <w:sz w:val="18"/>
                <w:szCs w:val="18"/>
                <w:color w:val="auto"/>
              </w:rPr>
              <w:t>Consent of Deloitte &amp; Touche LLP.</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31.1</w:t>
            </w:r>
          </w:p>
        </w:tc>
        <w:tc>
          <w:tcPr>
            <w:tcW w:w="9800" w:type="dxa"/>
            <w:vAlign w:val="bottom"/>
          </w:tcPr>
          <w:p>
            <w:pPr>
              <w:ind w:left="280"/>
              <w:spacing w:after="0"/>
              <w:rPr>
                <w:sz w:val="20"/>
                <w:szCs w:val="20"/>
                <w:color w:val="auto"/>
              </w:rPr>
            </w:pPr>
            <w:r>
              <w:rPr>
                <w:rFonts w:ascii="Arial" w:cs="Arial" w:eastAsia="Arial" w:hAnsi="Arial"/>
                <w:sz w:val="18"/>
                <w:szCs w:val="18"/>
                <w:color w:val="auto"/>
              </w:rPr>
              <w:t>Certification of Chief Executive Officer Pursuant to Rule 13a-15(e) or Rule 15d-15(e)</w:t>
            </w:r>
          </w:p>
        </w:tc>
      </w:tr>
      <w:tr>
        <w:trPr>
          <w:trHeight w:val="230"/>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31.2</w:t>
            </w:r>
          </w:p>
        </w:tc>
        <w:tc>
          <w:tcPr>
            <w:tcW w:w="9800" w:type="dxa"/>
            <w:vAlign w:val="bottom"/>
          </w:tcPr>
          <w:p>
            <w:pPr>
              <w:ind w:left="280"/>
              <w:spacing w:after="0"/>
              <w:rPr>
                <w:sz w:val="20"/>
                <w:szCs w:val="20"/>
                <w:color w:val="auto"/>
              </w:rPr>
            </w:pPr>
            <w:r>
              <w:rPr>
                <w:rFonts w:ascii="Arial" w:cs="Arial" w:eastAsia="Arial" w:hAnsi="Arial"/>
                <w:sz w:val="18"/>
                <w:szCs w:val="18"/>
                <w:color w:val="auto"/>
              </w:rPr>
              <w:t>Certification of Chief Financial Officer Pursuant to Rule 13a-15(e) or Rule 15d-15(e)</w:t>
            </w:r>
          </w:p>
        </w:tc>
      </w:tr>
    </w:tbl>
    <w:p>
      <w:pPr>
        <w:ind w:left="1500" w:hanging="888"/>
        <w:spacing w:after="0"/>
        <w:tabs>
          <w:tab w:leader="none" w:pos="15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of Periodic Report Pursuant to 18 U.S.C. Section 1350</w:t>
      </w:r>
    </w:p>
    <w:p>
      <w:pPr>
        <w:spacing w:after="0" w:line="372" w:lineRule="exact"/>
        <w:rPr>
          <w:rFonts w:ascii="Arial" w:cs="Arial" w:eastAsia="Arial" w:hAnsi="Arial"/>
          <w:sz w:val="18"/>
          <w:szCs w:val="18"/>
          <w:color w:val="auto"/>
        </w:rPr>
      </w:pPr>
    </w:p>
    <w:p>
      <w:pPr>
        <w:ind w:left="460" w:hanging="446"/>
        <w:spacing w:after="0" w:line="277" w:lineRule="auto"/>
        <w:rPr>
          <w:rFonts w:ascii="Arial" w:cs="Arial" w:eastAsia="Arial" w:hAnsi="Arial"/>
          <w:sz w:val="18"/>
          <w:szCs w:val="18"/>
          <w:color w:val="auto"/>
        </w:rPr>
      </w:pPr>
      <w:r>
        <w:rPr>
          <w:rFonts w:ascii="Arial" w:cs="Arial" w:eastAsia="Arial" w:hAnsi="Arial"/>
          <w:sz w:val="18"/>
          <w:szCs w:val="18"/>
          <w:color w:val="auto"/>
        </w:rPr>
        <w:t>1Previously filed on April 24, 2001 as an exhibit to the Registrant’s Registration Statement on Form S-4, File No. 333-59418,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13036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 w:lineRule="exact"/>
        <w:rPr>
          <w:sz w:val="20"/>
          <w:szCs w:val="20"/>
          <w:color w:val="auto"/>
        </w:rPr>
      </w:pPr>
    </w:p>
    <w:p>
      <w:pPr>
        <w:ind w:left="460" w:right="36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Previously filed on December 18, 2001 as an exhibit to the Registrant’s Registration Statement on Form S-8, File No. 333-75378, and incorporated herein by reference.</w:t>
      </w:r>
    </w:p>
    <w:p>
      <w:pPr>
        <w:spacing w:after="0" w:line="22" w:lineRule="exact"/>
        <w:rPr>
          <w:sz w:val="20"/>
          <w:szCs w:val="20"/>
          <w:color w:val="auto"/>
        </w:rPr>
      </w:pPr>
    </w:p>
    <w:p>
      <w:pPr>
        <w:ind w:left="460" w:right="8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Previously filed on December 19, 2002 as an exhibit to the Registrant’s Report on Form 8-K, and incorporated herein by reference. Previously filed on June 9, 2005 as an exhibit to the Registrant’s Report on Form 10Q and incorporated herein by reference.</w:t>
      </w:r>
    </w:p>
    <w:p>
      <w:pPr>
        <w:spacing w:after="0" w:line="2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on June 9, 2005 as an exhibit to the Registrant’s Report on Form 10Q and incorporated herein by reference.</w:t>
      </w:r>
    </w:p>
    <w:p>
      <w:pPr>
        <w:spacing w:after="0" w:line="7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on September 9, 2005 as an exhibit to the Registrant’s Report on Form 10Q and incorporated herein by reference.</w:t>
      </w:r>
    </w:p>
    <w:p>
      <w:pPr>
        <w:spacing w:after="0" w:line="77" w:lineRule="exact"/>
        <w:rPr>
          <w:sz w:val="20"/>
          <w:szCs w:val="20"/>
          <w:color w:val="auto"/>
        </w:rPr>
      </w:pPr>
    </w:p>
    <w:p>
      <w:pPr>
        <w:ind w:left="460" w:right="72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on March 21, 2005 as an exhibit to the Registrant’s Definitive Proxy Statement on Form DEF14A and incorporated herein by reference.</w:t>
      </w:r>
    </w:p>
    <w:p>
      <w:pPr>
        <w:spacing w:after="0" w:line="2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on January 23, 2004 as an exhibit to the Registrant’s Report on Form 10K and incorporated herein by reference.</w:t>
      </w:r>
    </w:p>
    <w:p>
      <w:pPr>
        <w:spacing w:after="0" w:line="76" w:lineRule="exact"/>
        <w:rPr>
          <w:rFonts w:ascii="Arial" w:cs="Arial" w:eastAsia="Arial" w:hAnsi="Arial"/>
          <w:sz w:val="18"/>
          <w:szCs w:val="18"/>
          <w:color w:val="auto"/>
        </w:rPr>
      </w:pPr>
    </w:p>
    <w:p>
      <w:pPr>
        <w:jc w:val="both"/>
        <w:ind w:right="1700"/>
        <w:spacing w:after="0" w:line="430" w:lineRule="auto"/>
        <w:rPr>
          <w:rFonts w:ascii="Arial" w:cs="Arial" w:eastAsia="Arial" w:hAnsi="Arial"/>
          <w:sz w:val="18"/>
          <w:szCs w:val="18"/>
          <w:color w:val="auto"/>
        </w:rPr>
      </w:pPr>
      <w:r>
        <w:rPr>
          <w:rFonts w:ascii="Arial" w:cs="Arial" w:eastAsia="Arial" w:hAnsi="Arial"/>
          <w:sz w:val="16"/>
          <w:szCs w:val="16"/>
          <w:color w:val="auto"/>
        </w:rPr>
        <w:t>8 Previously filed on January 28, 2003 as an exhibit to the Registrant’s Report on Form 10K and incorporated herein by reference. 9 Previously filed on January 14, 2005 as an exhibit to the Registrant’s Report on Form 10K and incorporated herein by reference.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subsection (a) (3) above.</w:t>
      </w:r>
    </w:p>
    <w:p>
      <w:pPr>
        <w:spacing w:after="0" w:line="113" w:lineRule="exact"/>
        <w:rPr>
          <w:sz w:val="20"/>
          <w:szCs w:val="20"/>
          <w:color w:val="auto"/>
        </w:rPr>
      </w:pPr>
    </w:p>
    <w:p>
      <w:pPr>
        <w:ind w:left="460" w:right="7119" w:hanging="227"/>
        <w:spacing w:after="0" w:line="510" w:lineRule="auto"/>
        <w:tabs>
          <w:tab w:leader="none" w:pos="480" w:val="left"/>
        </w:tabs>
        <w:numPr>
          <w:ilvl w:val="0"/>
          <w:numId w:val="18"/>
        </w:numPr>
        <w:rPr>
          <w:rFonts w:ascii="Arial" w:cs="Arial" w:eastAsia="Arial" w:hAnsi="Arial"/>
          <w:sz w:val="15"/>
          <w:szCs w:val="15"/>
          <w:color w:val="auto"/>
        </w:rPr>
      </w:pPr>
      <w:r>
        <w:rPr>
          <w:rFonts w:ascii="Arial" w:cs="Arial" w:eastAsia="Arial" w:hAnsi="Arial"/>
          <w:sz w:val="15"/>
          <w:szCs w:val="15"/>
          <w:b w:val="1"/>
          <w:bCs w:val="1"/>
          <w:color w:val="auto"/>
        </w:rPr>
        <w:t xml:space="preserve">Financial Statement Schedules </w:t>
      </w:r>
      <w:r>
        <w:rPr>
          <w:rFonts w:ascii="Arial" w:cs="Arial" w:eastAsia="Arial" w:hAnsi="Arial"/>
          <w:sz w:val="15"/>
          <w:szCs w:val="15"/>
          <w:color w:val="auto"/>
        </w:rPr>
        <w:t>See subsection (a) (1) and (2) above.</w:t>
      </w:r>
    </w:p>
    <w:p>
      <w:pPr>
        <w:jc w:val="right"/>
        <w:ind w:right="44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January 31, 2006.</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CALAVO GROWERS, INC</w:t>
      </w:r>
    </w:p>
    <w:p>
      <w:pPr>
        <w:spacing w:after="0" w:line="225" w:lineRule="exact"/>
        <w:rPr>
          <w:sz w:val="20"/>
          <w:szCs w:val="20"/>
          <w:color w:val="auto"/>
        </w:rPr>
      </w:pPr>
    </w:p>
    <w:tbl>
      <w:tblPr>
        <w:tblLayout w:type="fixed"/>
        <w:tblInd w:w="536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Lecil E. Cole</w:t>
            </w:r>
          </w:p>
        </w:tc>
      </w:tr>
      <w:tr>
        <w:trPr>
          <w:trHeight w:val="195"/>
        </w:trPr>
        <w:tc>
          <w:tcPr>
            <w:tcW w:w="340" w:type="dxa"/>
            <w:vAlign w:val="bottom"/>
          </w:tcPr>
          <w:p>
            <w:pPr>
              <w:spacing w:after="0"/>
              <w:rPr>
                <w:sz w:val="16"/>
                <w:szCs w:val="16"/>
                <w:color w:val="auto"/>
              </w:rPr>
            </w:pPr>
          </w:p>
        </w:tc>
        <w:tc>
          <w:tcPr>
            <w:tcW w:w="4040" w:type="dxa"/>
            <w:vAlign w:val="bottom"/>
          </w:tcPr>
          <w:p>
            <w:pPr>
              <w:jc w:val="center"/>
              <w:spacing w:after="0" w:line="195" w:lineRule="exact"/>
              <w:rPr>
                <w:sz w:val="20"/>
                <w:szCs w:val="20"/>
                <w:color w:val="auto"/>
              </w:rPr>
            </w:pPr>
            <w:r>
              <w:rPr>
                <w:rFonts w:ascii="Arial" w:cs="Arial" w:eastAsia="Arial" w:hAnsi="Arial"/>
                <w:sz w:val="18"/>
                <w:szCs w:val="18"/>
                <w:color w:val="auto"/>
                <w:w w:val="94"/>
              </w:rPr>
              <w:t>Lecil E. Cole</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of the Board of Directors,</w:t>
            </w:r>
          </w:p>
        </w:tc>
      </w:tr>
      <w:tr>
        <w:trPr>
          <w:trHeight w:val="230"/>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 and President</w:t>
            </w:r>
          </w:p>
        </w:tc>
      </w:tr>
    </w:tbl>
    <w:p>
      <w:pPr>
        <w:spacing w:after="0" w:line="310"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January 31, 2006 by the following persons on behalf of the registrant and in the capacities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560" w:type="dxa"/>
            <w:vAlign w:val="bottom"/>
          </w:tcPr>
          <w:p>
            <w:pPr>
              <w:spacing w:after="0"/>
              <w:rPr>
                <w:sz w:val="14"/>
                <w:szCs w:val="14"/>
                <w:color w:val="auto"/>
              </w:rPr>
            </w:pPr>
          </w:p>
        </w:tc>
        <w:tc>
          <w:tcPr>
            <w:tcW w:w="6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411"/>
        </w:trPr>
        <w:tc>
          <w:tcPr>
            <w:tcW w:w="4360" w:type="dxa"/>
            <w:vAlign w:val="bottom"/>
          </w:tcPr>
          <w:p>
            <w:pPr>
              <w:jc w:val="center"/>
              <w:spacing w:after="0"/>
              <w:rPr>
                <w:sz w:val="20"/>
                <w:szCs w:val="20"/>
                <w:color w:val="auto"/>
              </w:rPr>
            </w:pPr>
            <w:r>
              <w:rPr>
                <w:rFonts w:ascii="Arial" w:cs="Arial" w:eastAsia="Arial" w:hAnsi="Arial"/>
                <w:sz w:val="18"/>
                <w:szCs w:val="18"/>
                <w:color w:val="auto"/>
                <w:w w:val="92"/>
              </w:rPr>
              <w:t>/s/ Lecil E. Cole</w:t>
            </w:r>
          </w:p>
        </w:tc>
        <w:tc>
          <w:tcPr>
            <w:tcW w:w="560" w:type="dxa"/>
            <w:vAlign w:val="bottom"/>
          </w:tcPr>
          <w:p>
            <w:pPr>
              <w:spacing w:after="0"/>
              <w:rPr>
                <w:sz w:val="24"/>
                <w:szCs w:val="24"/>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0" w:type="dxa"/>
            <w:vAlign w:val="bottom"/>
          </w:tcPr>
          <w:p>
            <w:pPr>
              <w:spacing w:after="0"/>
              <w:rPr>
                <w:sz w:val="1"/>
                <w:szCs w:val="1"/>
                <w:color w:val="auto"/>
              </w:rPr>
            </w:pPr>
          </w:p>
        </w:tc>
      </w:tr>
      <w:tr>
        <w:trPr>
          <w:trHeight w:val="28"/>
        </w:trPr>
        <w:tc>
          <w:tcPr>
            <w:tcW w:w="436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6500" w:type="dxa"/>
            <w:vAlign w:val="bottom"/>
            <w:vMerge w:val="restart"/>
          </w:tcPr>
          <w:p>
            <w:pPr>
              <w:jc w:val="center"/>
              <w:spacing w:after="0"/>
              <w:rPr>
                <w:sz w:val="20"/>
                <w:szCs w:val="20"/>
                <w:color w:val="auto"/>
              </w:rPr>
            </w:pPr>
            <w:r>
              <w:rPr>
                <w:rFonts w:ascii="Arial" w:cs="Arial" w:eastAsia="Arial" w:hAnsi="Arial"/>
                <w:sz w:val="18"/>
                <w:szCs w:val="18"/>
                <w:color w:val="auto"/>
                <w:w w:val="91"/>
              </w:rPr>
              <w:t>Chief Executive Officer and President</w:t>
            </w:r>
          </w:p>
        </w:tc>
        <w:tc>
          <w:tcPr>
            <w:tcW w:w="0" w:type="dxa"/>
            <w:vAlign w:val="bottom"/>
          </w:tcPr>
          <w:p>
            <w:pPr>
              <w:spacing w:after="0"/>
              <w:rPr>
                <w:sz w:val="1"/>
                <w:szCs w:val="1"/>
                <w:color w:val="auto"/>
              </w:rPr>
            </w:pPr>
          </w:p>
        </w:tc>
      </w:tr>
      <w:tr>
        <w:trPr>
          <w:trHeight w:val="168"/>
        </w:trPr>
        <w:tc>
          <w:tcPr>
            <w:tcW w:w="4360" w:type="dxa"/>
            <w:vAlign w:val="bottom"/>
          </w:tcPr>
          <w:p>
            <w:pPr>
              <w:jc w:val="center"/>
              <w:spacing w:after="0" w:line="169" w:lineRule="exact"/>
              <w:rPr>
                <w:sz w:val="20"/>
                <w:szCs w:val="20"/>
                <w:color w:val="auto"/>
              </w:rPr>
            </w:pPr>
            <w:r>
              <w:rPr>
                <w:rFonts w:ascii="Arial" w:cs="Arial" w:eastAsia="Arial" w:hAnsi="Arial"/>
                <w:sz w:val="18"/>
                <w:szCs w:val="18"/>
                <w:color w:val="auto"/>
                <w:w w:val="94"/>
              </w:rPr>
              <w:t>Lecil E. Cole</w:t>
            </w:r>
          </w:p>
        </w:tc>
        <w:tc>
          <w:tcPr>
            <w:tcW w:w="560" w:type="dxa"/>
            <w:vAlign w:val="bottom"/>
          </w:tcPr>
          <w:p>
            <w:pPr>
              <w:spacing w:after="0"/>
              <w:rPr>
                <w:sz w:val="14"/>
                <w:szCs w:val="14"/>
                <w:color w:val="auto"/>
              </w:rPr>
            </w:pPr>
          </w:p>
        </w:tc>
        <w:tc>
          <w:tcPr>
            <w:tcW w:w="6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216"/>
        </w:trPr>
        <w:tc>
          <w:tcPr>
            <w:tcW w:w="4360" w:type="dxa"/>
            <w:vAlign w:val="bottom"/>
          </w:tcPr>
          <w:p>
            <w:pPr>
              <w:jc w:val="center"/>
              <w:spacing w:after="0"/>
              <w:rPr>
                <w:sz w:val="20"/>
                <w:szCs w:val="20"/>
                <w:color w:val="auto"/>
              </w:rPr>
            </w:pPr>
            <w:r>
              <w:rPr>
                <w:rFonts w:ascii="Arial" w:cs="Arial" w:eastAsia="Arial" w:hAnsi="Arial"/>
                <w:sz w:val="18"/>
                <w:szCs w:val="18"/>
                <w:color w:val="auto"/>
                <w:w w:val="93"/>
              </w:rPr>
              <w:t>/s/ Arthur J. Bruno</w:t>
            </w:r>
          </w:p>
        </w:tc>
        <w:tc>
          <w:tcPr>
            <w:tcW w:w="560" w:type="dxa"/>
            <w:vAlign w:val="bottom"/>
          </w:tcPr>
          <w:p>
            <w:pPr>
              <w:spacing w:after="0"/>
              <w:rPr>
                <w:sz w:val="18"/>
                <w:szCs w:val="18"/>
                <w:color w:val="auto"/>
              </w:rPr>
            </w:pPr>
          </w:p>
        </w:tc>
        <w:tc>
          <w:tcPr>
            <w:tcW w:w="6500" w:type="dxa"/>
            <w:vAlign w:val="bottom"/>
          </w:tcPr>
          <w:p>
            <w:pPr>
              <w:jc w:val="right"/>
              <w:ind w:right="1291"/>
              <w:spacing w:after="0"/>
              <w:rPr>
                <w:sz w:val="20"/>
                <w:szCs w:val="20"/>
                <w:color w:val="auto"/>
              </w:rPr>
            </w:pPr>
            <w:r>
              <w:rPr>
                <w:rFonts w:ascii="Arial" w:cs="Arial" w:eastAsia="Arial" w:hAnsi="Arial"/>
                <w:sz w:val="18"/>
                <w:szCs w:val="18"/>
                <w:color w:val="auto"/>
              </w:rPr>
              <w:t>Chief Operating Officer, Chief Financial Officer and</w:t>
            </w:r>
          </w:p>
        </w:tc>
        <w:tc>
          <w:tcPr>
            <w:tcW w:w="0" w:type="dxa"/>
            <w:vAlign w:val="bottom"/>
          </w:tcPr>
          <w:p>
            <w:pPr>
              <w:spacing w:after="0"/>
              <w:rPr>
                <w:sz w:val="1"/>
                <w:szCs w:val="1"/>
                <w:color w:val="auto"/>
              </w:rPr>
            </w:pPr>
          </w:p>
        </w:tc>
      </w:tr>
      <w:tr>
        <w:trPr>
          <w:trHeight w:val="28"/>
        </w:trPr>
        <w:tc>
          <w:tcPr>
            <w:tcW w:w="436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6500" w:type="dxa"/>
            <w:vAlign w:val="bottom"/>
            <w:vMerge w:val="restart"/>
          </w:tcPr>
          <w:p>
            <w:pPr>
              <w:jc w:val="center"/>
              <w:spacing w:after="0"/>
              <w:rPr>
                <w:sz w:val="20"/>
                <w:szCs w:val="20"/>
                <w:color w:val="auto"/>
              </w:rPr>
            </w:pPr>
            <w:r>
              <w:rPr>
                <w:rFonts w:ascii="Arial" w:cs="Arial" w:eastAsia="Arial" w:hAnsi="Arial"/>
                <w:sz w:val="18"/>
                <w:szCs w:val="18"/>
                <w:color w:val="auto"/>
                <w:w w:val="90"/>
              </w:rPr>
              <w:t>Corporate Secretary</w:t>
            </w:r>
          </w:p>
        </w:tc>
        <w:tc>
          <w:tcPr>
            <w:tcW w:w="0" w:type="dxa"/>
            <w:vAlign w:val="bottom"/>
          </w:tcPr>
          <w:p>
            <w:pPr>
              <w:spacing w:after="0"/>
              <w:rPr>
                <w:sz w:val="1"/>
                <w:szCs w:val="1"/>
                <w:color w:val="auto"/>
              </w:rPr>
            </w:pPr>
          </w:p>
        </w:tc>
      </w:tr>
      <w:tr>
        <w:trPr>
          <w:trHeight w:val="168"/>
        </w:trPr>
        <w:tc>
          <w:tcPr>
            <w:tcW w:w="4360" w:type="dxa"/>
            <w:vAlign w:val="bottom"/>
          </w:tcPr>
          <w:p>
            <w:pPr>
              <w:jc w:val="center"/>
              <w:spacing w:after="0" w:line="169" w:lineRule="exact"/>
              <w:rPr>
                <w:sz w:val="20"/>
                <w:szCs w:val="20"/>
                <w:color w:val="auto"/>
              </w:rPr>
            </w:pPr>
            <w:r>
              <w:rPr>
                <w:rFonts w:ascii="Arial" w:cs="Arial" w:eastAsia="Arial" w:hAnsi="Arial"/>
                <w:sz w:val="18"/>
                <w:szCs w:val="18"/>
                <w:color w:val="auto"/>
                <w:w w:val="92"/>
              </w:rPr>
              <w:t>Arthur J. Bruno</w:t>
            </w:r>
          </w:p>
        </w:tc>
        <w:tc>
          <w:tcPr>
            <w:tcW w:w="560" w:type="dxa"/>
            <w:vAlign w:val="bottom"/>
          </w:tcPr>
          <w:p>
            <w:pPr>
              <w:spacing w:after="0"/>
              <w:rPr>
                <w:sz w:val="14"/>
                <w:szCs w:val="14"/>
                <w:color w:val="auto"/>
              </w:rPr>
            </w:pPr>
          </w:p>
        </w:tc>
        <w:tc>
          <w:tcPr>
            <w:tcW w:w="6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360" w:type="dxa"/>
            <w:vAlign w:val="bottom"/>
            <w:vMerge w:val="restart"/>
          </w:tcPr>
          <w:p>
            <w:pPr>
              <w:jc w:val="center"/>
              <w:spacing w:after="0"/>
              <w:rPr>
                <w:sz w:val="20"/>
                <w:szCs w:val="20"/>
                <w:color w:val="auto"/>
              </w:rPr>
            </w:pPr>
            <w:r>
              <w:rPr>
                <w:rFonts w:ascii="Arial" w:cs="Arial" w:eastAsia="Arial" w:hAnsi="Arial"/>
                <w:sz w:val="18"/>
                <w:szCs w:val="18"/>
                <w:color w:val="auto"/>
                <w:w w:val="86"/>
              </w:rPr>
              <w:t>/s/ James E. Snyder</w:t>
            </w:r>
          </w:p>
        </w:tc>
        <w:tc>
          <w:tcPr>
            <w:tcW w:w="5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c>
          <w:tcPr>
            <w:tcW w:w="0" w:type="dxa"/>
            <w:vAlign w:val="bottom"/>
          </w:tcPr>
          <w:p>
            <w:pPr>
              <w:spacing w:after="0"/>
              <w:rPr>
                <w:sz w:val="1"/>
                <w:szCs w:val="1"/>
                <w:color w:val="auto"/>
              </w:rPr>
            </w:pPr>
          </w:p>
        </w:tc>
      </w:tr>
      <w:tr>
        <w:trPr>
          <w:trHeight w:val="235"/>
        </w:trPr>
        <w:tc>
          <w:tcPr>
            <w:tcW w:w="4360" w:type="dxa"/>
            <w:vAlign w:val="bottom"/>
            <w:tcBorders>
              <w:bottom w:val="single" w:sz="8" w:color="auto"/>
            </w:tcBorders>
            <w:vMerge w:val="continue"/>
          </w:tcPr>
          <w:p>
            <w:pPr>
              <w:spacing w:after="0"/>
              <w:rPr>
                <w:sz w:val="19"/>
                <w:szCs w:val="19"/>
                <w:color w:val="auto"/>
              </w:rPr>
            </w:pPr>
          </w:p>
        </w:tc>
        <w:tc>
          <w:tcPr>
            <w:tcW w:w="560" w:type="dxa"/>
            <w:vAlign w:val="bottom"/>
          </w:tcPr>
          <w:p>
            <w:pPr>
              <w:spacing w:after="0"/>
              <w:rPr>
                <w:sz w:val="19"/>
                <w:szCs w:val="19"/>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4"/>
              </w:rPr>
              <w:t>Controller</w:t>
            </w:r>
          </w:p>
        </w:tc>
        <w:tc>
          <w:tcPr>
            <w:tcW w:w="0" w:type="dxa"/>
            <w:vAlign w:val="bottom"/>
          </w:tcPr>
          <w:p>
            <w:pPr>
              <w:spacing w:after="0"/>
              <w:rPr>
                <w:sz w:val="1"/>
                <w:szCs w:val="1"/>
                <w:color w:val="auto"/>
              </w:rPr>
            </w:pPr>
          </w:p>
        </w:tc>
      </w:tr>
      <w:tr>
        <w:trPr>
          <w:trHeight w:val="195"/>
        </w:trPr>
        <w:tc>
          <w:tcPr>
            <w:tcW w:w="4360" w:type="dxa"/>
            <w:vAlign w:val="bottom"/>
          </w:tcPr>
          <w:p>
            <w:pPr>
              <w:jc w:val="center"/>
              <w:spacing w:after="0" w:line="195" w:lineRule="exact"/>
              <w:rPr>
                <w:sz w:val="20"/>
                <w:szCs w:val="20"/>
                <w:color w:val="auto"/>
              </w:rPr>
            </w:pPr>
            <w:r>
              <w:rPr>
                <w:rFonts w:ascii="Arial" w:cs="Arial" w:eastAsia="Arial" w:hAnsi="Arial"/>
                <w:sz w:val="18"/>
                <w:szCs w:val="18"/>
                <w:color w:val="auto"/>
                <w:w w:val="87"/>
              </w:rPr>
              <w:t>James E. Snyder</w:t>
            </w:r>
          </w:p>
        </w:tc>
        <w:tc>
          <w:tcPr>
            <w:tcW w:w="560" w:type="dxa"/>
            <w:vAlign w:val="bottom"/>
          </w:tcPr>
          <w:p>
            <w:pPr>
              <w:spacing w:after="0"/>
              <w:rPr>
                <w:sz w:val="16"/>
                <w:szCs w:val="16"/>
                <w:color w:val="auto"/>
              </w:rPr>
            </w:pPr>
          </w:p>
        </w:tc>
        <w:tc>
          <w:tcPr>
            <w:tcW w:w="6500" w:type="dxa"/>
            <w:vAlign w:val="bottom"/>
          </w:tcPr>
          <w:p>
            <w:pPr>
              <w:jc w:val="center"/>
              <w:spacing w:after="0" w:line="195" w:lineRule="exact"/>
              <w:rPr>
                <w:sz w:val="20"/>
                <w:szCs w:val="20"/>
                <w:color w:val="auto"/>
              </w:rPr>
            </w:pPr>
            <w:r>
              <w:rPr>
                <w:rFonts w:ascii="Arial" w:cs="Arial" w:eastAsia="Arial" w:hAnsi="Arial"/>
                <w:sz w:val="18"/>
                <w:szCs w:val="18"/>
                <w:color w:val="auto"/>
                <w:w w:val="95"/>
              </w:rPr>
              <w:t>(Principal Accounting Officer)</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Donald M. Sanders</w:t>
            </w:r>
          </w:p>
        </w:tc>
        <w:tc>
          <w:tcPr>
            <w:tcW w:w="56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60" w:type="dxa"/>
            <w:vAlign w:val="bottom"/>
          </w:tcPr>
          <w:p>
            <w:pPr>
              <w:jc w:val="center"/>
              <w:spacing w:after="0" w:line="201" w:lineRule="exact"/>
              <w:rPr>
                <w:sz w:val="20"/>
                <w:szCs w:val="20"/>
                <w:color w:val="auto"/>
              </w:rPr>
            </w:pPr>
            <w:r>
              <w:rPr>
                <w:rFonts w:ascii="Arial" w:cs="Arial" w:eastAsia="Arial" w:hAnsi="Arial"/>
                <w:sz w:val="18"/>
                <w:szCs w:val="18"/>
                <w:color w:val="auto"/>
                <w:w w:val="90"/>
              </w:rPr>
              <w:t>Donald M. Sanders</w:t>
            </w:r>
          </w:p>
        </w:tc>
        <w:tc>
          <w:tcPr>
            <w:tcW w:w="560" w:type="dxa"/>
            <w:vAlign w:val="bottom"/>
          </w:tcPr>
          <w:p>
            <w:pPr>
              <w:spacing w:after="0"/>
              <w:rPr>
                <w:sz w:val="17"/>
                <w:szCs w:val="17"/>
                <w:color w:val="auto"/>
              </w:rPr>
            </w:pPr>
          </w:p>
        </w:tc>
        <w:tc>
          <w:tcPr>
            <w:tcW w:w="6500" w:type="dxa"/>
            <w:vAlign w:val="bottom"/>
          </w:tcPr>
          <w:p>
            <w:pPr>
              <w:jc w:val="center"/>
              <w:spacing w:after="0" w:line="201" w:lineRule="exact"/>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Fred J. Ferrazzano</w:t>
            </w:r>
          </w:p>
        </w:tc>
        <w:tc>
          <w:tcPr>
            <w:tcW w:w="56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60" w:type="dxa"/>
            <w:vAlign w:val="bottom"/>
          </w:tcPr>
          <w:p>
            <w:pPr>
              <w:jc w:val="center"/>
              <w:spacing w:after="0" w:line="201" w:lineRule="exact"/>
              <w:rPr>
                <w:sz w:val="20"/>
                <w:szCs w:val="20"/>
                <w:color w:val="auto"/>
              </w:rPr>
            </w:pPr>
            <w:r>
              <w:rPr>
                <w:rFonts w:ascii="Arial" w:cs="Arial" w:eastAsia="Arial" w:hAnsi="Arial"/>
                <w:sz w:val="18"/>
                <w:szCs w:val="18"/>
                <w:color w:val="auto"/>
                <w:w w:val="86"/>
              </w:rPr>
              <w:t>Fred J. Ferrazzano</w:t>
            </w:r>
          </w:p>
        </w:tc>
        <w:tc>
          <w:tcPr>
            <w:tcW w:w="560" w:type="dxa"/>
            <w:vAlign w:val="bottom"/>
          </w:tcPr>
          <w:p>
            <w:pPr>
              <w:spacing w:after="0"/>
              <w:rPr>
                <w:sz w:val="17"/>
                <w:szCs w:val="17"/>
                <w:color w:val="auto"/>
              </w:rPr>
            </w:pPr>
          </w:p>
        </w:tc>
        <w:tc>
          <w:tcPr>
            <w:tcW w:w="6500" w:type="dxa"/>
            <w:vAlign w:val="bottom"/>
          </w:tcPr>
          <w:p>
            <w:pPr>
              <w:jc w:val="center"/>
              <w:spacing w:after="0" w:line="201" w:lineRule="exact"/>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John M. Hunt</w:t>
            </w:r>
          </w:p>
        </w:tc>
        <w:tc>
          <w:tcPr>
            <w:tcW w:w="56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60" w:type="dxa"/>
            <w:vAlign w:val="bottom"/>
          </w:tcPr>
          <w:p>
            <w:pPr>
              <w:jc w:val="center"/>
              <w:spacing w:after="0" w:line="201" w:lineRule="exact"/>
              <w:rPr>
                <w:sz w:val="20"/>
                <w:szCs w:val="20"/>
                <w:color w:val="auto"/>
              </w:rPr>
            </w:pPr>
            <w:r>
              <w:rPr>
                <w:rFonts w:ascii="Arial" w:cs="Arial" w:eastAsia="Arial" w:hAnsi="Arial"/>
                <w:sz w:val="18"/>
                <w:szCs w:val="18"/>
                <w:color w:val="auto"/>
                <w:w w:val="93"/>
              </w:rPr>
              <w:t>John M. Hunt</w:t>
            </w:r>
          </w:p>
        </w:tc>
        <w:tc>
          <w:tcPr>
            <w:tcW w:w="560" w:type="dxa"/>
            <w:vAlign w:val="bottom"/>
          </w:tcPr>
          <w:p>
            <w:pPr>
              <w:spacing w:after="0"/>
              <w:rPr>
                <w:sz w:val="17"/>
                <w:szCs w:val="17"/>
                <w:color w:val="auto"/>
              </w:rPr>
            </w:pPr>
          </w:p>
        </w:tc>
        <w:tc>
          <w:tcPr>
            <w:tcW w:w="6500" w:type="dxa"/>
            <w:vAlign w:val="bottom"/>
          </w:tcPr>
          <w:p>
            <w:pPr>
              <w:jc w:val="center"/>
              <w:spacing w:after="0" w:line="201" w:lineRule="exact"/>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George H. Barnes</w:t>
            </w:r>
          </w:p>
        </w:tc>
        <w:tc>
          <w:tcPr>
            <w:tcW w:w="56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60" w:type="dxa"/>
            <w:vAlign w:val="bottom"/>
          </w:tcPr>
          <w:p>
            <w:pPr>
              <w:jc w:val="center"/>
              <w:spacing w:after="0" w:line="201" w:lineRule="exact"/>
              <w:rPr>
                <w:sz w:val="20"/>
                <w:szCs w:val="20"/>
                <w:color w:val="auto"/>
              </w:rPr>
            </w:pPr>
            <w:r>
              <w:rPr>
                <w:rFonts w:ascii="Arial" w:cs="Arial" w:eastAsia="Arial" w:hAnsi="Arial"/>
                <w:sz w:val="18"/>
                <w:szCs w:val="18"/>
                <w:color w:val="auto"/>
                <w:w w:val="88"/>
              </w:rPr>
              <w:t>George H. Barnes</w:t>
            </w:r>
          </w:p>
        </w:tc>
        <w:tc>
          <w:tcPr>
            <w:tcW w:w="560" w:type="dxa"/>
            <w:vAlign w:val="bottom"/>
          </w:tcPr>
          <w:p>
            <w:pPr>
              <w:spacing w:after="0"/>
              <w:rPr>
                <w:sz w:val="17"/>
                <w:szCs w:val="17"/>
                <w:color w:val="auto"/>
              </w:rPr>
            </w:pPr>
          </w:p>
        </w:tc>
        <w:tc>
          <w:tcPr>
            <w:tcW w:w="6500" w:type="dxa"/>
            <w:vAlign w:val="bottom"/>
          </w:tcPr>
          <w:p>
            <w:pPr>
              <w:jc w:val="center"/>
              <w:spacing w:after="0" w:line="201" w:lineRule="exact"/>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 Link Leavens</w:t>
            </w:r>
          </w:p>
        </w:tc>
        <w:tc>
          <w:tcPr>
            <w:tcW w:w="56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60" w:type="dxa"/>
            <w:vAlign w:val="bottom"/>
          </w:tcPr>
          <w:p>
            <w:pPr>
              <w:jc w:val="center"/>
              <w:spacing w:after="0" w:line="201" w:lineRule="exact"/>
              <w:rPr>
                <w:sz w:val="20"/>
                <w:szCs w:val="20"/>
                <w:color w:val="auto"/>
              </w:rPr>
            </w:pPr>
            <w:r>
              <w:rPr>
                <w:rFonts w:ascii="Arial" w:cs="Arial" w:eastAsia="Arial" w:hAnsi="Arial"/>
                <w:sz w:val="18"/>
                <w:szCs w:val="18"/>
                <w:color w:val="auto"/>
                <w:w w:val="91"/>
              </w:rPr>
              <w:t>J. Link Leavens</w:t>
            </w:r>
          </w:p>
        </w:tc>
        <w:tc>
          <w:tcPr>
            <w:tcW w:w="560" w:type="dxa"/>
            <w:vAlign w:val="bottom"/>
          </w:tcPr>
          <w:p>
            <w:pPr>
              <w:spacing w:after="0"/>
              <w:rPr>
                <w:sz w:val="17"/>
                <w:szCs w:val="17"/>
                <w:color w:val="auto"/>
              </w:rPr>
            </w:pPr>
          </w:p>
        </w:tc>
        <w:tc>
          <w:tcPr>
            <w:tcW w:w="6500" w:type="dxa"/>
            <w:vAlign w:val="bottom"/>
          </w:tcPr>
          <w:p>
            <w:pPr>
              <w:jc w:val="center"/>
              <w:spacing w:after="0" w:line="201" w:lineRule="exact"/>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Alva V. Snider</w:t>
            </w:r>
          </w:p>
        </w:tc>
        <w:tc>
          <w:tcPr>
            <w:tcW w:w="56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60" w:type="dxa"/>
            <w:vAlign w:val="bottom"/>
          </w:tcPr>
          <w:p>
            <w:pPr>
              <w:jc w:val="center"/>
              <w:spacing w:after="0" w:line="201" w:lineRule="exact"/>
              <w:rPr>
                <w:sz w:val="20"/>
                <w:szCs w:val="20"/>
                <w:color w:val="auto"/>
              </w:rPr>
            </w:pPr>
            <w:r>
              <w:rPr>
                <w:rFonts w:ascii="Arial" w:cs="Arial" w:eastAsia="Arial" w:hAnsi="Arial"/>
                <w:sz w:val="18"/>
                <w:szCs w:val="18"/>
                <w:color w:val="auto"/>
                <w:w w:val="92"/>
              </w:rPr>
              <w:t>Alva V. Snider</w:t>
            </w:r>
          </w:p>
        </w:tc>
        <w:tc>
          <w:tcPr>
            <w:tcW w:w="560" w:type="dxa"/>
            <w:vAlign w:val="bottom"/>
          </w:tcPr>
          <w:p>
            <w:pPr>
              <w:spacing w:after="0"/>
              <w:rPr>
                <w:sz w:val="17"/>
                <w:szCs w:val="17"/>
                <w:color w:val="auto"/>
              </w:rPr>
            </w:pPr>
          </w:p>
        </w:tc>
        <w:tc>
          <w:tcPr>
            <w:tcW w:w="6500" w:type="dxa"/>
            <w:vAlign w:val="bottom"/>
          </w:tcPr>
          <w:p>
            <w:pPr>
              <w:jc w:val="center"/>
              <w:spacing w:after="0" w:line="201" w:lineRule="exact"/>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Michael D. Hause</w:t>
            </w:r>
          </w:p>
        </w:tc>
        <w:tc>
          <w:tcPr>
            <w:tcW w:w="56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60" w:type="dxa"/>
            <w:vAlign w:val="bottom"/>
          </w:tcPr>
          <w:p>
            <w:pPr>
              <w:jc w:val="center"/>
              <w:spacing w:after="0" w:line="201" w:lineRule="exact"/>
              <w:rPr>
                <w:sz w:val="20"/>
                <w:szCs w:val="20"/>
                <w:color w:val="auto"/>
              </w:rPr>
            </w:pPr>
            <w:r>
              <w:rPr>
                <w:rFonts w:ascii="Arial" w:cs="Arial" w:eastAsia="Arial" w:hAnsi="Arial"/>
                <w:sz w:val="18"/>
                <w:szCs w:val="18"/>
                <w:color w:val="auto"/>
                <w:w w:val="91"/>
              </w:rPr>
              <w:t>Michael D. Hause</w:t>
            </w:r>
          </w:p>
        </w:tc>
        <w:tc>
          <w:tcPr>
            <w:tcW w:w="560" w:type="dxa"/>
            <w:vAlign w:val="bottom"/>
          </w:tcPr>
          <w:p>
            <w:pPr>
              <w:spacing w:after="0"/>
              <w:rPr>
                <w:sz w:val="17"/>
                <w:szCs w:val="17"/>
                <w:color w:val="auto"/>
              </w:rPr>
            </w:pPr>
          </w:p>
        </w:tc>
        <w:tc>
          <w:tcPr>
            <w:tcW w:w="6500" w:type="dxa"/>
            <w:vAlign w:val="bottom"/>
          </w:tcPr>
          <w:p>
            <w:pPr>
              <w:jc w:val="center"/>
              <w:spacing w:after="0" w:line="201" w:lineRule="exact"/>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Dorcas H. McFarlane</w:t>
            </w:r>
          </w:p>
        </w:tc>
        <w:tc>
          <w:tcPr>
            <w:tcW w:w="56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60" w:type="dxa"/>
            <w:vAlign w:val="bottom"/>
          </w:tcPr>
          <w:p>
            <w:pPr>
              <w:jc w:val="center"/>
              <w:spacing w:after="0" w:line="201" w:lineRule="exact"/>
              <w:rPr>
                <w:sz w:val="20"/>
                <w:szCs w:val="20"/>
                <w:color w:val="auto"/>
              </w:rPr>
            </w:pPr>
            <w:r>
              <w:rPr>
                <w:rFonts w:ascii="Arial" w:cs="Arial" w:eastAsia="Arial" w:hAnsi="Arial"/>
                <w:sz w:val="18"/>
                <w:szCs w:val="18"/>
                <w:color w:val="auto"/>
                <w:w w:val="91"/>
              </w:rPr>
              <w:t>Dorcas H. McFarlane</w:t>
            </w:r>
          </w:p>
        </w:tc>
        <w:tc>
          <w:tcPr>
            <w:tcW w:w="560" w:type="dxa"/>
            <w:vAlign w:val="bottom"/>
          </w:tcPr>
          <w:p>
            <w:pPr>
              <w:spacing w:after="0"/>
              <w:rPr>
                <w:sz w:val="17"/>
                <w:szCs w:val="17"/>
                <w:color w:val="auto"/>
              </w:rPr>
            </w:pPr>
          </w:p>
        </w:tc>
        <w:tc>
          <w:tcPr>
            <w:tcW w:w="6500" w:type="dxa"/>
            <w:vAlign w:val="bottom"/>
          </w:tcPr>
          <w:p>
            <w:pPr>
              <w:jc w:val="center"/>
              <w:spacing w:after="0" w:line="201" w:lineRule="exact"/>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Egidio Carbone, Jr</w:t>
            </w:r>
          </w:p>
        </w:tc>
        <w:tc>
          <w:tcPr>
            <w:tcW w:w="56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60" w:type="dxa"/>
            <w:vAlign w:val="bottom"/>
          </w:tcPr>
          <w:p>
            <w:pPr>
              <w:jc w:val="center"/>
              <w:spacing w:after="0" w:line="201" w:lineRule="exact"/>
              <w:rPr>
                <w:sz w:val="20"/>
                <w:szCs w:val="20"/>
                <w:color w:val="auto"/>
              </w:rPr>
            </w:pPr>
            <w:r>
              <w:rPr>
                <w:rFonts w:ascii="Arial" w:cs="Arial" w:eastAsia="Arial" w:hAnsi="Arial"/>
                <w:sz w:val="18"/>
                <w:szCs w:val="18"/>
                <w:color w:val="auto"/>
                <w:w w:val="91"/>
              </w:rPr>
              <w:t>Egidio Carbone, Jr</w:t>
            </w:r>
          </w:p>
        </w:tc>
        <w:tc>
          <w:tcPr>
            <w:tcW w:w="560" w:type="dxa"/>
            <w:vAlign w:val="bottom"/>
          </w:tcPr>
          <w:p>
            <w:pPr>
              <w:spacing w:after="0"/>
              <w:rPr>
                <w:sz w:val="17"/>
                <w:szCs w:val="17"/>
                <w:color w:val="auto"/>
              </w:rPr>
            </w:pPr>
          </w:p>
        </w:tc>
        <w:tc>
          <w:tcPr>
            <w:tcW w:w="6500" w:type="dxa"/>
            <w:vAlign w:val="bottom"/>
          </w:tcPr>
          <w:p>
            <w:pPr>
              <w:jc w:val="center"/>
              <w:spacing w:after="0" w:line="201" w:lineRule="exact"/>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Scott Van Der Kar</w:t>
            </w:r>
          </w:p>
        </w:tc>
        <w:tc>
          <w:tcPr>
            <w:tcW w:w="56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Pr>
          <w:p>
            <w:pPr>
              <w:jc w:val="center"/>
              <w:spacing w:after="0"/>
              <w:rPr>
                <w:sz w:val="20"/>
                <w:szCs w:val="20"/>
                <w:color w:val="auto"/>
              </w:rPr>
            </w:pPr>
            <w:r>
              <w:rPr>
                <w:rFonts w:ascii="Arial" w:cs="Arial" w:eastAsia="Arial" w:hAnsi="Arial"/>
                <w:sz w:val="18"/>
                <w:szCs w:val="18"/>
                <w:color w:val="auto"/>
                <w:w w:val="90"/>
              </w:rPr>
              <w:t>Scott Van Der Kar</w:t>
            </w:r>
          </w:p>
        </w:tc>
        <w:tc>
          <w:tcPr>
            <w:tcW w:w="5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391"/>
        </w:trPr>
        <w:tc>
          <w:tcPr>
            <w:tcW w:w="4360" w:type="dxa"/>
            <w:vAlign w:val="bottom"/>
          </w:tcPr>
          <w:p>
            <w:pPr>
              <w:spacing w:after="0"/>
              <w:rPr>
                <w:sz w:val="24"/>
                <w:szCs w:val="24"/>
                <w:color w:val="auto"/>
              </w:rPr>
            </w:pPr>
          </w:p>
        </w:tc>
        <w:tc>
          <w:tcPr>
            <w:tcW w:w="7060" w:type="dxa"/>
            <w:vAlign w:val="bottom"/>
            <w:gridSpan w:val="2"/>
          </w:tcPr>
          <w:p>
            <w:pPr>
              <w:jc w:val="right"/>
              <w:ind w:right="553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6"/>
        </w:trPr>
        <w:tc>
          <w:tcPr>
            <w:tcW w:w="43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5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Fiscal year</w:t>
            </w:r>
          </w:p>
        </w:tc>
        <w:tc>
          <w:tcPr>
            <w:tcW w:w="3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ended</w:t>
            </w:r>
          </w:p>
        </w:tc>
        <w:tc>
          <w:tcPr>
            <w:tcW w:w="320" w:type="dxa"/>
            <w:vAlign w:val="bottom"/>
          </w:tcPr>
          <w:p>
            <w:pPr>
              <w:spacing w:after="0"/>
              <w:rPr>
                <w:sz w:val="12"/>
                <w:szCs w:val="12"/>
                <w:color w:val="auto"/>
              </w:rPr>
            </w:pP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beginning</w:t>
            </w:r>
          </w:p>
        </w:tc>
        <w:tc>
          <w:tcPr>
            <w:tcW w:w="14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Additions(1)</w:t>
            </w:r>
          </w:p>
        </w:tc>
        <w:tc>
          <w:tcPr>
            <w:tcW w:w="150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rPr>
              <w:t>Deductions(2)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October 31: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of year</w:t>
            </w:r>
          </w:p>
        </w:tc>
        <w:tc>
          <w:tcPr>
            <w:tcW w:w="1420" w:type="dxa"/>
            <w:vAlign w:val="bottom"/>
            <w:gridSpan w:val="3"/>
            <w:vMerge w:val="continue"/>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of year</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customer deductions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261</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1,085</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659</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3,817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3,454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1,022</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6,791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5,663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432"/>
        </w:trPr>
        <w:tc>
          <w:tcPr>
            <w:tcW w:w="49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720" w:type="dxa"/>
            <w:vAlign w:val="bottom"/>
          </w:tcPr>
          <w:p>
            <w:pPr>
              <w:jc w:val="right"/>
              <w:spacing w:after="0"/>
              <w:rPr>
                <w:sz w:val="20"/>
                <w:szCs w:val="20"/>
                <w:color w:val="auto"/>
              </w:rPr>
            </w:pPr>
            <w:r>
              <w:rPr>
                <w:rFonts w:ascii="Arial" w:cs="Arial" w:eastAsia="Arial" w:hAnsi="Arial"/>
                <w:sz w:val="18"/>
                <w:szCs w:val="18"/>
                <w:color w:val="auto"/>
              </w:rPr>
              <w:t>2003</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4"/>
                <w:szCs w:val="24"/>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2005</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20"/>
                <w:szCs w:val="20"/>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475</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Charged to net sales (customer deductions) or costs and expenses (doubtful accounts).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Write-off of assets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9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Agreement and Plan of Merger and Reorganization dated as of February 20, 2001 between Calavo Growers, Inc. and Calavo Growers of</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California.</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96"/>
              </w:rPr>
              <w:t>Agreement and Plan of Merger dated as of November 7, 2003 Among Calavo Growers, Inc., Calavo Acquisition, Inc., Maui Fresh</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International, Inc. and Arthur J. Bruno, Robert J. Bruno and Javier J. Badillo</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 xml:space="preserve">Articles of Incorporation of Calavo Growers, Inc.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Amended and Restated Bylaws of Calavo Growers, Inc.</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10.1</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Form of Marketing Agreement for Calavo Growers, Inc.</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10.2</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91"/>
              </w:rPr>
              <w:t>Marketing Agreement dated as of April 1, 1996 between Tropical Hawaiian Products, Inc., a Hawaiian corporation, and Calavo Growers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 xml:space="preserve">of California.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10.3</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Stock Purchase Agreement dated as of June 1, 2005, between Limoneira Company and Calavo Growers, Inc.</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10.4</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92"/>
              </w:rPr>
              <w:t>Lease Agreement dated as of November 21, 1997, between Tede S.A. de C.V., a Mexican corporation, and Calavo de Mexico, S.A. de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C.V., a Mexican corporation, including attached Guaranty of Calavo Growers of California dated December 16, 1996.</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10.5</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Lease agreement dated as of February 15, 2005, between Limoneira Company and Calavo Growers, Inc.</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10.6</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Standstill agreement dated June 1, 2005, between Limoneira Company and Calavo Growers, Inc.</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10.7</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Standstill agreement dated June 1, 2005 between Calavo Growers, Inc. And Limoneira Company</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10.8</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Term Loan Agreement dated July 1, 2005, between Farm Credit West, PCA, and Calavo Growers, Inc.</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2005 Stock Incentive Plan Of Calavo Growers, Inc.</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10.10</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95"/>
              </w:rPr>
              <w:t>Calavo Supplemental Executive Retirement Agreement dated March 11, 1989 between Egidio Carbone, Jr. and Calavo Growers of</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 xml:space="preserve">California.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10.11</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94"/>
              </w:rPr>
              <w:t>Amendment to the Calavo Growers of California Supplemental Executive Retirement Agreement dated November 9, 1993 Between</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 xml:space="preserve">Egidio Carbone, Jr. and Calavo Growers of California.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10.12</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2001 Stock Option Plan for Directors.</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10.13</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2001 Stock Purchase Plan for Officers and Employees.</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10.14</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Line of Credit Agreement between Farm Credit West, PCA and Calavo Growers, Inc., dated August 17, 2005</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10.15</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Business Loan Agreement between Bank of America, N.A. and Calavo Growers, Inc., dated January 30, 2004</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10.16</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w w:val="94"/>
              </w:rPr>
              <w:t>Renewal Notice for Business Loan Agreement, dated January 30, 2004, Between Bank of America and Calavo Growers, Inc., dated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November 18, 2005</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10.17</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Form of Stock Option Agreement</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21.1</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 xml:space="preserve">Subsidiaries of Calavo Growers, Inc.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23.1</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Consent of Deloitte &amp; Touche LLP.</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31.1</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Certification of Chief Executive Officer Pursuant to Rule 13a-15(e) or Rule 15d-15(e)</w:t>
            </w:r>
          </w:p>
        </w:tc>
        <w:tc>
          <w:tcPr>
            <w:tcW w:w="0" w:type="dxa"/>
            <w:vAlign w:val="bottom"/>
          </w:tcPr>
          <w:p>
            <w:pPr>
              <w:spacing w:after="0"/>
              <w:rPr>
                <w:sz w:val="1"/>
                <w:szCs w:val="1"/>
                <w:color w:val="auto"/>
              </w:rPr>
            </w:pPr>
          </w:p>
        </w:tc>
      </w:tr>
      <w:tr>
        <w:trPr>
          <w:trHeight w:val="230"/>
        </w:trPr>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31.2</w:t>
            </w:r>
          </w:p>
        </w:tc>
        <w:tc>
          <w:tcPr>
            <w:tcW w:w="10200" w:type="dxa"/>
            <w:vAlign w:val="bottom"/>
            <w:gridSpan w:val="2"/>
          </w:tcPr>
          <w:p>
            <w:pPr>
              <w:ind w:left="280"/>
              <w:spacing w:after="0"/>
              <w:rPr>
                <w:sz w:val="20"/>
                <w:szCs w:val="20"/>
                <w:color w:val="auto"/>
              </w:rPr>
            </w:pPr>
            <w:r>
              <w:rPr>
                <w:rFonts w:ascii="Arial" w:cs="Arial" w:eastAsia="Arial" w:hAnsi="Arial"/>
                <w:sz w:val="18"/>
                <w:szCs w:val="18"/>
                <w:color w:val="auto"/>
              </w:rPr>
              <w:t>Certification of Chief Financial Officer Pursuant to Rule 13a-15(e) or Rule 15d-15(e)</w:t>
            </w:r>
          </w:p>
        </w:tc>
        <w:tc>
          <w:tcPr>
            <w:tcW w:w="0" w:type="dxa"/>
            <w:vAlign w:val="bottom"/>
          </w:tcPr>
          <w:p>
            <w:pPr>
              <w:spacing w:after="0"/>
              <w:rPr>
                <w:sz w:val="1"/>
                <w:szCs w:val="1"/>
                <w:color w:val="auto"/>
              </w:rPr>
            </w:pPr>
          </w:p>
        </w:tc>
      </w:tr>
    </w:tbl>
    <w:p>
      <w:pPr>
        <w:jc w:val="center"/>
        <w:ind w:left="5620" w:right="1040" w:hanging="5008"/>
        <w:spacing w:after="0" w:line="480" w:lineRule="auto"/>
        <w:tabs>
          <w:tab w:leader="none" w:pos="149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of Periodic Report Pursuant to 18 U.S.C. Section 1350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on April 24, 2001 as an exhibit to the Registrant’s Registration Statement on Form S-4, File No. 333-59418, and incorporated herein by reference.</w:t>
      </w:r>
    </w:p>
    <w:p>
      <w:pPr>
        <w:spacing w:after="0" w:line="22" w:lineRule="exact"/>
        <w:rPr>
          <w:sz w:val="20"/>
          <w:szCs w:val="20"/>
          <w:color w:val="auto"/>
        </w:rPr>
      </w:pPr>
    </w:p>
    <w:p>
      <w:pPr>
        <w:ind w:left="460" w:right="360" w:hanging="452"/>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Previously filed on December 18, 2001 as an exhibit to the Registrant’s Registration Statement on Form S-8, File No. 333-75378, and incorporated herein by reference.</w:t>
      </w:r>
    </w:p>
    <w:p>
      <w:pPr>
        <w:spacing w:after="0" w:line="22" w:lineRule="exact"/>
        <w:rPr>
          <w:sz w:val="20"/>
          <w:szCs w:val="20"/>
          <w:color w:val="auto"/>
        </w:rPr>
      </w:pPr>
    </w:p>
    <w:p>
      <w:pPr>
        <w:ind w:left="460" w:right="80" w:hanging="452"/>
        <w:spacing w:after="0" w:line="27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Previously filed on December 19, 2002 as an exhibit to the Registrant’s Report on Form 8-K, and incorporated herein by reference. Previously filed on June 9, 2005 as an exhibit to the Registrant’s Report on Form 10Q and incorporated herein by reference.</w:t>
      </w:r>
    </w:p>
    <w:p>
      <w:pPr>
        <w:spacing w:after="0" w:line="22"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Previously filed on June 9, 2005 as an exhibit to the Registrant’s Report on Form 10Q and incorporated herein by reference.</w:t>
      </w:r>
    </w:p>
    <w:p>
      <w:pPr>
        <w:spacing w:after="0" w:line="77"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Previously filed on September 9, 2005 as an exhibit to the Registrant’s Report on Form 10Q and incorporated herein by reference.</w:t>
      </w:r>
    </w:p>
    <w:p>
      <w:pPr>
        <w:spacing w:after="0" w:line="77" w:lineRule="exact"/>
        <w:rPr>
          <w:sz w:val="20"/>
          <w:szCs w:val="20"/>
          <w:color w:val="auto"/>
        </w:rPr>
      </w:pPr>
    </w:p>
    <w:p>
      <w:pPr>
        <w:ind w:left="460" w:right="720" w:hanging="452"/>
        <w:spacing w:after="0" w:line="27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Previously filed on March 21, 2005 as an exhibit to the Registrant’s Definitive Proxy Statement on Form DEF14A and incorporated herein by reference.</w:t>
      </w:r>
    </w:p>
    <w:p>
      <w:pPr>
        <w:spacing w:after="0" w:line="22"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Previously filed on January 23, 2004 as an exhibit to the Registrant’s Report on Form 10K and incorporated herein by reference.</w:t>
      </w:r>
    </w:p>
    <w:p>
      <w:pPr>
        <w:spacing w:after="0" w:line="76" w:lineRule="exact"/>
        <w:rPr>
          <w:rFonts w:ascii="Arial" w:cs="Arial" w:eastAsia="Arial" w:hAnsi="Arial"/>
          <w:sz w:val="18"/>
          <w:szCs w:val="18"/>
          <w:color w:val="auto"/>
        </w:rPr>
      </w:pPr>
    </w:p>
    <w:p>
      <w:pPr>
        <w:jc w:val="both"/>
        <w:ind w:right="1700"/>
        <w:spacing w:after="0" w:line="430" w:lineRule="auto"/>
        <w:rPr>
          <w:rFonts w:ascii="Arial" w:cs="Arial" w:eastAsia="Arial" w:hAnsi="Arial"/>
          <w:sz w:val="18"/>
          <w:szCs w:val="18"/>
          <w:color w:val="auto"/>
        </w:rPr>
      </w:pPr>
      <w:r>
        <w:rPr>
          <w:rFonts w:ascii="Arial" w:cs="Arial" w:eastAsia="Arial" w:hAnsi="Arial"/>
          <w:sz w:val="16"/>
          <w:szCs w:val="16"/>
          <w:color w:val="auto"/>
        </w:rPr>
        <w:t>8 Previously filed on January 28, 2003 as an exhibit to the Registrant’s Report on Form 10K and incorporated herein by reference. 9 Previously filed on January 14, 2005 as an exhibit to the Registrant’s Report on Form 10K and incorporated herein by reference.</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19" w:right="25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10.14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LINE OF CREDIT AGREEMENT</w:t>
      </w:r>
    </w:p>
    <w:p>
      <w:pPr>
        <w:spacing w:after="0" w:line="117" w:lineRule="exact"/>
        <w:rPr>
          <w:sz w:val="20"/>
          <w:szCs w:val="20"/>
          <w:color w:val="auto"/>
        </w:rPr>
      </w:pPr>
    </w:p>
    <w:p>
      <w:pPr>
        <w:ind w:right="300" w:firstLine="450"/>
        <w:spacing w:after="0" w:line="282" w:lineRule="auto"/>
        <w:rPr>
          <w:sz w:val="20"/>
          <w:szCs w:val="20"/>
          <w:color w:val="auto"/>
        </w:rPr>
      </w:pPr>
      <w:r>
        <w:rPr>
          <w:rFonts w:ascii="Arial" w:cs="Arial" w:eastAsia="Arial" w:hAnsi="Arial"/>
          <w:sz w:val="18"/>
          <w:szCs w:val="18"/>
          <w:b w:val="1"/>
          <w:bCs w:val="1"/>
          <w:color w:val="auto"/>
        </w:rPr>
        <w:t xml:space="preserve">THIS LINE OF CREDIT AGREEMENT </w:t>
      </w:r>
      <w:r>
        <w:rPr>
          <w:rFonts w:ascii="Arial" w:cs="Arial" w:eastAsia="Arial" w:hAnsi="Arial"/>
          <w:sz w:val="18"/>
          <w:szCs w:val="18"/>
          <w:color w:val="auto"/>
        </w:rPr>
        <w:t>(“Line of Credit Agreement”) is entered into as of August 17, 2005, between</w:t>
      </w:r>
      <w:r>
        <w:rPr>
          <w:rFonts w:ascii="Arial" w:cs="Arial" w:eastAsia="Arial" w:hAnsi="Arial"/>
          <w:sz w:val="18"/>
          <w:szCs w:val="18"/>
          <w:b w:val="1"/>
          <w:bCs w:val="1"/>
          <w:color w:val="auto"/>
        </w:rPr>
        <w:t xml:space="preserve"> FARM CREDIT WEST, PCA</w:t>
      </w:r>
      <w:r>
        <w:rPr>
          <w:rFonts w:ascii="Arial" w:cs="Arial" w:eastAsia="Arial" w:hAnsi="Arial"/>
          <w:sz w:val="18"/>
          <w:szCs w:val="18"/>
          <w:color w:val="auto"/>
        </w:rPr>
        <w:t>, Visalia, California</w:t>
      </w:r>
      <w:r>
        <w:rPr>
          <w:rFonts w:ascii="Arial" w:cs="Arial" w:eastAsia="Arial" w:hAnsi="Arial"/>
          <w:sz w:val="18"/>
          <w:szCs w:val="18"/>
          <w:b w:val="1"/>
          <w:bCs w:val="1"/>
          <w:color w:val="auto"/>
        </w:rPr>
        <w:t xml:space="preserve"> (</w:t>
      </w:r>
      <w:r>
        <w:rPr>
          <w:rFonts w:ascii="Arial" w:cs="Arial" w:eastAsia="Arial" w:hAnsi="Arial"/>
          <w:sz w:val="18"/>
          <w:szCs w:val="18"/>
          <w:color w:val="auto"/>
        </w:rPr>
        <w:t>“FCW”) and</w:t>
      </w:r>
      <w:r>
        <w:rPr>
          <w:rFonts w:ascii="Arial" w:cs="Arial" w:eastAsia="Arial" w:hAnsi="Arial"/>
          <w:sz w:val="18"/>
          <w:szCs w:val="18"/>
          <w:b w:val="1"/>
          <w:bCs w:val="1"/>
          <w:color w:val="auto"/>
        </w:rPr>
        <w:t xml:space="preserve"> CALAVO GROWERS, INC.</w:t>
      </w:r>
      <w:r>
        <w:rPr>
          <w:rFonts w:ascii="Arial" w:cs="Arial" w:eastAsia="Arial" w:hAnsi="Arial"/>
          <w:sz w:val="18"/>
          <w:szCs w:val="18"/>
          <w:color w:val="auto"/>
        </w:rPr>
        <w:t>, Santa Paula, California (the “Company”).</w:t>
      </w:r>
    </w:p>
    <w:p>
      <w:pPr>
        <w:spacing w:after="0" w:line="54" w:lineRule="exact"/>
        <w:rPr>
          <w:sz w:val="20"/>
          <w:szCs w:val="20"/>
          <w:color w:val="auto"/>
        </w:rPr>
      </w:pPr>
    </w:p>
    <w:p>
      <w:pPr>
        <w:ind w:right="220" w:firstLine="225"/>
        <w:spacing w:after="0" w:line="256" w:lineRule="auto"/>
        <w:rPr>
          <w:sz w:val="20"/>
          <w:szCs w:val="20"/>
          <w:color w:val="auto"/>
        </w:rPr>
      </w:pPr>
      <w:r>
        <w:rPr>
          <w:rFonts w:ascii="Arial" w:cs="Arial" w:eastAsia="Arial" w:hAnsi="Arial"/>
          <w:sz w:val="18"/>
          <w:szCs w:val="18"/>
          <w:b w:val="1"/>
          <w:bCs w:val="1"/>
          <w:color w:val="auto"/>
        </w:rPr>
        <w:t xml:space="preserve">SECTION 1. The Credit Facility. </w:t>
      </w:r>
      <w:r>
        <w:rPr>
          <w:rFonts w:ascii="Arial" w:cs="Arial" w:eastAsia="Arial" w:hAnsi="Arial"/>
          <w:sz w:val="18"/>
          <w:szCs w:val="18"/>
          <w:color w:val="auto"/>
        </w:rPr>
        <w:t>On the terms and conditions set forth in this Line of Credit Agreement, FCW agrees to make advances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during the period set forth below in an aggregate principal amount not to exceed $12,000,000.00 (the “Commitment”). The Line of Credit Agreement and Commitment is executed, delivered and accepted not in payment of but for the purpose of amending, restating and replacing the following described obligations, and renewing any unpaid balance(s) evidenced thereby: Note dated January 22, 2004, in the principal amount of $12,000,000.00. Furthermore, the Commitment also evidences an additional loan advance(s) to the extent the Commitment under this Line of Credit Agreement exceeds the renewed unpaid balance(s) referred to above.</w:t>
      </w:r>
    </w:p>
    <w:p>
      <w:pPr>
        <w:spacing w:after="0" w:line="80" w:lineRule="exact"/>
        <w:rPr>
          <w:sz w:val="20"/>
          <w:szCs w:val="20"/>
          <w:color w:val="auto"/>
        </w:rPr>
      </w:pPr>
    </w:p>
    <w:p>
      <w:pPr>
        <w:ind w:right="60" w:firstLine="225"/>
        <w:spacing w:after="0" w:line="266" w:lineRule="auto"/>
        <w:rPr>
          <w:sz w:val="20"/>
          <w:szCs w:val="20"/>
          <w:color w:val="auto"/>
        </w:rPr>
      </w:pPr>
      <w:r>
        <w:rPr>
          <w:rFonts w:ascii="Arial" w:cs="Arial" w:eastAsia="Arial" w:hAnsi="Arial"/>
          <w:sz w:val="18"/>
          <w:szCs w:val="18"/>
          <w:b w:val="1"/>
          <w:bCs w:val="1"/>
          <w:color w:val="auto"/>
        </w:rPr>
        <w:t xml:space="preserve">SECTION 2. Sale of Interest. </w:t>
      </w:r>
      <w:r>
        <w:rPr>
          <w:rFonts w:ascii="Arial" w:cs="Arial" w:eastAsia="Arial" w:hAnsi="Arial"/>
          <w:sz w:val="18"/>
          <w:szCs w:val="18"/>
          <w:color w:val="auto"/>
        </w:rPr>
        <w:t>The Company acknowledges that FCW has the option to participate all or a portion of the Commitment with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lenders, including CoBank, ACB (“CoBank”). All advances hereunder shall be made by CoBank as agent for FCW and all repayments by the Company hereunder shall be made to CoBank as agent for FCW.</w:t>
      </w:r>
    </w:p>
    <w:p>
      <w:pPr>
        <w:spacing w:after="0" w:line="68" w:lineRule="exact"/>
        <w:rPr>
          <w:sz w:val="20"/>
          <w:szCs w:val="20"/>
          <w:color w:val="auto"/>
        </w:rPr>
      </w:pPr>
    </w:p>
    <w:p>
      <w:pPr>
        <w:ind w:left="240"/>
        <w:spacing w:after="0"/>
        <w:tabs>
          <w:tab w:leader="none" w:pos="142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 xml:space="preserve">Purpose. </w:t>
      </w:r>
      <w:r>
        <w:rPr>
          <w:rFonts w:ascii="Arial" w:cs="Arial" w:eastAsia="Arial" w:hAnsi="Arial"/>
          <w:sz w:val="16"/>
          <w:szCs w:val="16"/>
          <w:color w:val="auto"/>
        </w:rPr>
        <w:t>The purpose of the Commitment is to finance the ongoing operating needs of the Company.</w:t>
      </w:r>
    </w:p>
    <w:p>
      <w:pPr>
        <w:spacing w:after="0" w:line="117" w:lineRule="exact"/>
        <w:rPr>
          <w:sz w:val="20"/>
          <w:szCs w:val="20"/>
          <w:color w:val="auto"/>
        </w:rPr>
      </w:pPr>
    </w:p>
    <w:p>
      <w:pPr>
        <w:ind w:left="240"/>
        <w:spacing w:after="0"/>
        <w:tabs>
          <w:tab w:leader="none" w:pos="14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 xml:space="preserve">Term. </w:t>
      </w:r>
      <w:r>
        <w:rPr>
          <w:rFonts w:ascii="Arial" w:cs="Arial" w:eastAsia="Arial" w:hAnsi="Arial"/>
          <w:sz w:val="16"/>
          <w:szCs w:val="16"/>
          <w:color w:val="auto"/>
        </w:rPr>
        <w:t>The term of the Commitment shall be from the date hereof, up to and including February 1, 2007.</w:t>
      </w:r>
    </w:p>
    <w:p>
      <w:pPr>
        <w:spacing w:after="0" w:line="117" w:lineRule="exact"/>
        <w:rPr>
          <w:sz w:val="20"/>
          <w:szCs w:val="20"/>
          <w:color w:val="auto"/>
        </w:rPr>
      </w:pPr>
    </w:p>
    <w:p>
      <w:pPr>
        <w:ind w:right="40" w:firstLine="225"/>
        <w:spacing w:after="0" w:line="274" w:lineRule="auto"/>
        <w:rPr>
          <w:sz w:val="20"/>
          <w:szCs w:val="20"/>
          <w:color w:val="auto"/>
        </w:rPr>
      </w:pPr>
      <w:r>
        <w:rPr>
          <w:rFonts w:ascii="Arial" w:cs="Arial" w:eastAsia="Arial" w:hAnsi="Arial"/>
          <w:sz w:val="17"/>
          <w:szCs w:val="17"/>
          <w:b w:val="1"/>
          <w:bCs w:val="1"/>
          <w:color w:val="auto"/>
        </w:rPr>
        <w:t xml:space="preserve">SECTION 5. Availability. </w:t>
      </w:r>
      <w:r>
        <w:rPr>
          <w:rFonts w:ascii="Arial" w:cs="Arial" w:eastAsia="Arial" w:hAnsi="Arial"/>
          <w:sz w:val="17"/>
          <w:szCs w:val="17"/>
          <w:color w:val="auto"/>
        </w:rPr>
        <w:t>Subject to the provisions of Section 25, advances will be made available on any day on which FCW, CoBank,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Federal Reserve Banks are open for business upon the telephonic or written request of the Company. Requests for advances must be received no later than 12:00 Noon, Company’s local time, on the date the advance is desired. Advances will be made available by CoBank by wire transfer of immediately available funds to such account or accounts as may be authorized by the Company. The Company shall furnish to CoBank a duly completed and executed copy of a CoBank Delegation and Wire and Electronic Transfer Authorization Form, and CoBank shall be entitled to rely on (and shall incur no liability to the Company in acting on) any request or direction furnished in accordance with the terms thereof.</w:t>
      </w:r>
    </w:p>
    <w:p>
      <w:pPr>
        <w:spacing w:after="0" w:line="66" w:lineRule="exact"/>
        <w:rPr>
          <w:sz w:val="20"/>
          <w:szCs w:val="20"/>
          <w:color w:val="auto"/>
        </w:rPr>
      </w:pPr>
    </w:p>
    <w:p>
      <w:pPr>
        <w:ind w:left="240"/>
        <w:spacing w:after="0"/>
        <w:tabs>
          <w:tab w:leader="none" w:pos="142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Interest and Fees.</w:t>
      </w:r>
    </w:p>
    <w:p>
      <w:pPr>
        <w:spacing w:after="0" w:line="117" w:lineRule="exact"/>
        <w:rPr>
          <w:sz w:val="20"/>
          <w:szCs w:val="20"/>
          <w:color w:val="auto"/>
        </w:rPr>
      </w:pPr>
    </w:p>
    <w:p>
      <w:pPr>
        <w:ind w:left="940" w:hanging="482"/>
        <w:spacing w:after="0"/>
        <w:tabs>
          <w:tab w:leader="none" w:pos="94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Interest. </w:t>
      </w:r>
      <w:r>
        <w:rPr>
          <w:rFonts w:ascii="Arial" w:cs="Arial" w:eastAsia="Arial" w:hAnsi="Arial"/>
          <w:sz w:val="16"/>
          <w:szCs w:val="16"/>
          <w:color w:val="auto"/>
        </w:rPr>
        <w:t>The Company agrees to pay interest on the unpaid balance of the Commitment in accordance with the following interest rate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Page 2</w:t>
      </w:r>
    </w:p>
    <w:p>
      <w:pPr>
        <w:spacing w:after="0" w:line="194" w:lineRule="exact"/>
        <w:rPr>
          <w:sz w:val="20"/>
          <w:szCs w:val="20"/>
          <w:color w:val="auto"/>
        </w:rPr>
      </w:pPr>
    </w:p>
    <w:p>
      <w:pPr>
        <w:ind w:right="60" w:firstLine="683"/>
        <w:spacing w:after="0" w:line="270" w:lineRule="auto"/>
        <w:tabs>
          <w:tab w:leader="none" w:pos="111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7-Day LIBOR Index Rate. </w:t>
      </w:r>
      <w:r>
        <w:rPr>
          <w:rFonts w:ascii="Arial" w:cs="Arial" w:eastAsia="Arial" w:hAnsi="Arial"/>
          <w:sz w:val="17"/>
          <w:szCs w:val="17"/>
          <w:color w:val="auto"/>
        </w:rPr>
        <w:t>At a rate (rounded upward to the nearest 1/100th% and adjusted for reserves required on “Eurocurrency</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(as hereinafter defined) for banks subject to “FRB Regulation D” (as hereinafter defined) or required by any other federal law or regulation) per annum equal at all times to 100 basis points (1.00%) above the annual rate quoted by the British Bankers Association (the “BBA”) at 11:00 a.m. London time for the offering of seven (7) day of U.S. dollars deposits, as published by Bloomberg or another major information vendor listed on BBA’s official website on the first U.S. Banking Day (as hereinafter defined) in each week with such rate to change weekly on such day. The rate shall be reset automatically, without the necessity of notice being provided to the Company or any other party, on the first U.S. Banking Day of each succeeding week and each change in the rate shall be applicable to all balances subject to this option and information about the then current rate shall be made available upon telephonic request. For purposes hereof (a) “U.S. Banking Day” shall mean a day on which CoBank is open for business, dealings in U.S. dollar deposits are being carried out in the London interbank market, and banks are open for business in New York City and London, England; (b) “Eurocurrency Liabilities” shall have meaning as set forth in “FRB Regulation D”; and (c) “FRB Regulation D” shall mean Regulation D as promulgated by the Board of Governors of the Federal Reserve System, 12 CFR Part 204, as amended.</w:t>
      </w:r>
    </w:p>
    <w:p>
      <w:pPr>
        <w:spacing w:after="0" w:line="65" w:lineRule="exact"/>
        <w:rPr>
          <w:rFonts w:ascii="Arial" w:cs="Arial" w:eastAsia="Arial" w:hAnsi="Arial"/>
          <w:sz w:val="17"/>
          <w:szCs w:val="17"/>
          <w:b w:val="1"/>
          <w:bCs w:val="1"/>
          <w:color w:val="auto"/>
        </w:rPr>
      </w:pPr>
    </w:p>
    <w:p>
      <w:pPr>
        <w:ind w:right="20" w:firstLine="683"/>
        <w:spacing w:after="0" w:line="286" w:lineRule="auto"/>
        <w:tabs>
          <w:tab w:leader="none" w:pos="111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LIBOR. </w:t>
      </w:r>
      <w:r>
        <w:rPr>
          <w:rFonts w:ascii="Arial" w:cs="Arial" w:eastAsia="Arial" w:hAnsi="Arial"/>
          <w:sz w:val="16"/>
          <w:szCs w:val="16"/>
          <w:color w:val="auto"/>
        </w:rPr>
        <w:t>At a fixed rate per annum equal to “LIBOR” (as hereinafter defined) plus 100 basis points (1%). Under this option: (1) rates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fixed for “Interest Periods” (as hereinafter defined) of 1, 2, 3, 6, 9 or 12 months as selected by the Company; (2) amounts may be fixed in increments of $100,000.00 or multiples thereof; (3) the maximum number of fixes in place at any one time shall be 10; and (4) rates may only be fixed on a “Banking Day” (as hereinafter defined) on 3 Banking Days’ prior written notice. For purposes hereof: (a) “LIBOR” shall mean the rate (rounded upward to the nearest sixteenth) and adjusted for reserves required on “Eurocurrency Liabilities” (as hereinafter defined) for banks subject to “FRB Regulation D” (as herein defined) or required by any other federal law or regulation) quoted by the British Bankers Association (the “BBA”) at 11:00 a.m. London time 2 Banking Days before the commencement of the Interest Period for the offering of U.S. dollar deposits in the London interbank market for the Interest Period designated by the Company; as published by Bloomberg or another major information vendor listed on BBA’s official website; (b) “Banking Day” shall mean a day on which CoBank is open for business, dealings in U.S. dollar deposits are being carried out in the London interbank market, and banks are open for business in New York City and London, England; (c) “Interest Period” shall mean a period commencing on the date this option is to take effect and ending on the numerically corresponding day in the next calendar month or the month that is 2, 3, 6, 9 or 12 months thereafter, as the case may be; provided, however, that: (i) in the event such ending day is not a Banking Day, such period shall be extended to the next Banking Day unless such next Banking Day falls in the next calendar month, in which case it shall end on the preceding Banking Day; and (ii) if there is no numerically corresponding day in the month, then such period shall end on the last Banking Day in the relevant month; (d) “Eurocurrency Liabilities” shall have meaning as set forth in “FRB Regulation D”; and (e) “FRB Regulation D” shall mean Regulation D as promulgated by the Board of Governors of the Federal Reserve System, 12 CFR Part 204,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4" w:name="page65"/>
    <w:bookmarkEnd w:id="64"/>
    <w:p>
      <w:pPr>
        <w:ind w:left="10940"/>
        <w:spacing w:after="0"/>
        <w:rPr>
          <w:sz w:val="20"/>
          <w:szCs w:val="20"/>
          <w:color w:val="auto"/>
        </w:rPr>
      </w:pPr>
      <w:r>
        <w:rPr>
          <w:rFonts w:ascii="Arial" w:cs="Arial" w:eastAsia="Arial" w:hAnsi="Arial"/>
          <w:sz w:val="15"/>
          <w:szCs w:val="15"/>
          <w:color w:val="auto"/>
        </w:rPr>
        <w:t>Page 3</w:t>
      </w:r>
    </w:p>
    <w:p>
      <w:pPr>
        <w:spacing w:after="0" w:line="233" w:lineRule="exact"/>
        <w:rPr>
          <w:sz w:val="20"/>
          <w:szCs w:val="20"/>
          <w:color w:val="auto"/>
        </w:rPr>
      </w:pPr>
    </w:p>
    <w:p>
      <w:pPr>
        <w:ind w:right="20" w:firstLine="447"/>
        <w:spacing w:after="0" w:line="284" w:lineRule="auto"/>
        <w:rPr>
          <w:sz w:val="20"/>
          <w:szCs w:val="20"/>
          <w:color w:val="auto"/>
        </w:rPr>
      </w:pPr>
      <w:r>
        <w:rPr>
          <w:rFonts w:ascii="Arial" w:cs="Arial" w:eastAsia="Arial" w:hAnsi="Arial"/>
          <w:sz w:val="16"/>
          <w:szCs w:val="16"/>
          <w:color w:val="auto"/>
        </w:rPr>
        <w:t>The Company shall select the applicable rate option at the time it requests a loan hereunder and may, subject to the limitations set forth above, elect to convert balances bearing interest at the 7-Day LIBOR Index Rate option to the LIBOR rate option. Upon the expiration of any fixed rate period, interest shall automatically accrue at the 7-Day LIBOR Index Rate option provided for above unless the amount fixed is repaid or fixed for an additional period in accordance with the terms hereof. Notwithstanding the foregoing, rates may not be fixed in such a manner as to cause the Company to have to break any fixed rate balance in order to pay any installment of principal. All elections provided for herein shall be made telephonically or in writing and must be received by 12:00 Noon Company’s local time. Interest shall be calculated on the actual number of days each loan is outstanding on the basis of a year consisting of</w:t>
      </w:r>
    </w:p>
    <w:p>
      <w:pPr>
        <w:spacing w:after="0" w:line="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360 days and shall be payable monthly in arrears by the 20th day of the following month or on such other day in such month as FCW shall require in a written notice to the Company.</w:t>
      </w:r>
    </w:p>
    <w:p>
      <w:pPr>
        <w:spacing w:after="0" w:line="72" w:lineRule="exact"/>
        <w:rPr>
          <w:sz w:val="20"/>
          <w:szCs w:val="20"/>
          <w:color w:val="auto"/>
        </w:rPr>
      </w:pPr>
    </w:p>
    <w:p>
      <w:pPr>
        <w:ind w:right="60" w:firstLine="458"/>
        <w:spacing w:after="0" w:line="303" w:lineRule="auto"/>
        <w:tabs>
          <w:tab w:leader="none" w:pos="915"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 Fee. </w:t>
      </w:r>
      <w:r>
        <w:rPr>
          <w:rFonts w:ascii="Arial" w:cs="Arial" w:eastAsia="Arial" w:hAnsi="Arial"/>
          <w:sz w:val="16"/>
          <w:szCs w:val="16"/>
          <w:color w:val="auto"/>
        </w:rPr>
        <w:t>In consideration of the Commitment, the Company agrees to pay to FCW a commitment fee on the average daily unused</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of the Commitment at the rate of 0.15% per annum (calculated on a 360 day basis based on utilization, which is defined as outstanding advances plus issued and outstanding letters of credit divided by the total available amount of the Commitment), payable quarterly in arrears by the 20th day following each quarter. Such fee shall be payable for each quarter (or portion thereof) occurring during the original or any extended term of the Commitment.</w:t>
      </w:r>
    </w:p>
    <w:p>
      <w:pPr>
        <w:spacing w:after="0" w:line="43" w:lineRule="exact"/>
        <w:rPr>
          <w:sz w:val="20"/>
          <w:szCs w:val="20"/>
          <w:color w:val="auto"/>
        </w:rPr>
      </w:pPr>
    </w:p>
    <w:p>
      <w:pPr>
        <w:ind w:right="220" w:firstLine="225"/>
        <w:spacing w:after="0" w:line="282" w:lineRule="auto"/>
        <w:rPr>
          <w:sz w:val="20"/>
          <w:szCs w:val="20"/>
          <w:color w:val="auto"/>
        </w:rPr>
      </w:pPr>
      <w:r>
        <w:rPr>
          <w:rFonts w:ascii="Arial" w:cs="Arial" w:eastAsia="Arial" w:hAnsi="Arial"/>
          <w:sz w:val="18"/>
          <w:szCs w:val="18"/>
          <w:b w:val="1"/>
          <w:bCs w:val="1"/>
          <w:color w:val="auto"/>
        </w:rPr>
        <w:t xml:space="preserve">SECTION 7. Repayment and Maturity. </w:t>
      </w:r>
      <w:r>
        <w:rPr>
          <w:rFonts w:ascii="Arial" w:cs="Arial" w:eastAsia="Arial" w:hAnsi="Arial"/>
          <w:sz w:val="18"/>
          <w:szCs w:val="18"/>
          <w:color w:val="auto"/>
        </w:rPr>
        <w:t>The unpaid principal balance of the Commitment shall mature and be due and payable on February 1, 2007</w:t>
      </w:r>
      <w:r>
        <w:rPr>
          <w:rFonts w:ascii="Arial" w:cs="Arial" w:eastAsia="Arial" w:hAnsi="Arial"/>
          <w:sz w:val="18"/>
          <w:szCs w:val="18"/>
          <w:b w:val="1"/>
          <w:bCs w:val="1"/>
          <w:color w:val="auto"/>
        </w:rPr>
        <w:t xml:space="preserve"> </w:t>
      </w:r>
      <w:r>
        <w:rPr>
          <w:rFonts w:ascii="Arial" w:cs="Arial" w:eastAsia="Arial" w:hAnsi="Arial"/>
          <w:sz w:val="18"/>
          <w:szCs w:val="18"/>
          <w:color w:val="auto"/>
        </w:rPr>
        <w:t>(the “Maturity Date”).</w:t>
      </w:r>
    </w:p>
    <w:p>
      <w:pPr>
        <w:spacing w:after="0" w:line="54" w:lineRule="exact"/>
        <w:rPr>
          <w:sz w:val="20"/>
          <w:szCs w:val="20"/>
          <w:color w:val="auto"/>
        </w:rPr>
      </w:pPr>
    </w:p>
    <w:p>
      <w:pPr>
        <w:ind w:right="360" w:firstLine="225"/>
        <w:spacing w:after="0" w:line="282" w:lineRule="auto"/>
        <w:rPr>
          <w:sz w:val="20"/>
          <w:szCs w:val="20"/>
          <w:color w:val="auto"/>
        </w:rPr>
      </w:pPr>
      <w:r>
        <w:rPr>
          <w:rFonts w:ascii="Arial" w:cs="Arial" w:eastAsia="Arial" w:hAnsi="Arial"/>
          <w:sz w:val="18"/>
          <w:szCs w:val="18"/>
          <w:b w:val="1"/>
          <w:bCs w:val="1"/>
          <w:color w:val="auto"/>
        </w:rPr>
        <w:t xml:space="preserve">SECTION 8. Promissory Note. </w:t>
      </w:r>
      <w:r>
        <w:rPr>
          <w:rFonts w:ascii="Arial" w:cs="Arial" w:eastAsia="Arial" w:hAnsi="Arial"/>
          <w:sz w:val="18"/>
          <w:szCs w:val="18"/>
          <w:color w:val="auto"/>
        </w:rPr>
        <w:t>The Company’s obligation to repay the Commitment shall be evidenced by a promissory note in the form 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as Exhibit A (“Note”).</w:t>
      </w:r>
    </w:p>
    <w:p>
      <w:pPr>
        <w:spacing w:after="0" w:line="54"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b w:val="1"/>
          <w:bCs w:val="1"/>
          <w:color w:val="auto"/>
        </w:rPr>
        <w:t xml:space="preserve">SECTION 9. Manner and Time of Payment. </w:t>
      </w:r>
      <w:r>
        <w:rPr>
          <w:rFonts w:ascii="Arial" w:cs="Arial" w:eastAsia="Arial" w:hAnsi="Arial"/>
          <w:sz w:val="16"/>
          <w:szCs w:val="16"/>
          <w:color w:val="auto"/>
        </w:rPr>
        <w:t>CoBank shall maintain a record of all loans, the interest accrued thereon, and all payments made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thereto, and such record shall, absent proof of manifest error, be conclusive evidence of the outstanding principal and interest on the loans. All payments shall be made by wire transfer of immediately available funds, by check, or by automated clearing house or other similar cash handling processes as specified by separate agreement between the Company and CoBank. Wire transfers shall be made to ABA No. 307088754 for advice to and credit of CoBank (or to such other account as CoBank may direct by notice). The Company shall give CoBank telephonic notice no later than 12:00 Noon Company’s local time of its intent to pay by wire and funds received after 3:00 p.m. Company’s local time shall be credited on the next business day. Checks shall be mailed to CoBank, Department 167, Denver, Colorado 80291-0167 (or to such other place as CoBank may direct by notice). Credit for payment by check will not be given until the later of: (a) the day on which CoBank receives immediately available funds; or (b) the next business day after receipt of the check all as set forth in the Servicing Agreement between Borrower, FCW, and CoBank in form attached hereto as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5" w:name="page66"/>
    <w:bookmarkEnd w:id="65"/>
    <w:p>
      <w:pPr>
        <w:ind w:left="10940"/>
        <w:spacing w:after="0"/>
        <w:rPr>
          <w:sz w:val="20"/>
          <w:szCs w:val="20"/>
          <w:color w:val="auto"/>
        </w:rPr>
      </w:pPr>
      <w:r>
        <w:rPr>
          <w:rFonts w:ascii="Arial" w:cs="Arial" w:eastAsia="Arial" w:hAnsi="Arial"/>
          <w:sz w:val="15"/>
          <w:szCs w:val="15"/>
          <w:color w:val="auto"/>
        </w:rPr>
        <w:t>Page 4</w:t>
      </w:r>
    </w:p>
    <w:p>
      <w:pPr>
        <w:spacing w:after="0" w:line="229" w:lineRule="exact"/>
        <w:rPr>
          <w:sz w:val="20"/>
          <w:szCs w:val="20"/>
          <w:color w:val="auto"/>
        </w:rPr>
      </w:pPr>
    </w:p>
    <w:p>
      <w:pPr>
        <w:jc w:val="both"/>
        <w:ind w:right="60" w:firstLine="225"/>
        <w:spacing w:after="0" w:line="266" w:lineRule="auto"/>
        <w:rPr>
          <w:sz w:val="20"/>
          <w:szCs w:val="20"/>
          <w:color w:val="auto"/>
        </w:rPr>
      </w:pPr>
      <w:r>
        <w:rPr>
          <w:rFonts w:ascii="Arial" w:cs="Arial" w:eastAsia="Arial" w:hAnsi="Arial"/>
          <w:sz w:val="18"/>
          <w:szCs w:val="18"/>
          <w:b w:val="1"/>
          <w:bCs w:val="1"/>
          <w:color w:val="auto"/>
        </w:rPr>
        <w:t xml:space="preserve">SECTION 10. Capitalization. </w:t>
      </w:r>
      <w:r>
        <w:rPr>
          <w:rFonts w:ascii="Arial" w:cs="Arial" w:eastAsia="Arial" w:hAnsi="Arial"/>
          <w:sz w:val="18"/>
          <w:szCs w:val="18"/>
          <w:color w:val="auto"/>
        </w:rPr>
        <w:t>The Company has purchased a $1,000.00 stock investment under FCW’s capitalization plan. The Company understands</w:t>
      </w:r>
      <w:r>
        <w:rPr>
          <w:rFonts w:ascii="Arial" w:cs="Arial" w:eastAsia="Arial" w:hAnsi="Arial"/>
          <w:sz w:val="18"/>
          <w:szCs w:val="18"/>
          <w:b w:val="1"/>
          <w:bCs w:val="1"/>
          <w:color w:val="auto"/>
        </w:rPr>
        <w:t xml:space="preserve"> </w:t>
      </w:r>
      <w:r>
        <w:rPr>
          <w:rFonts w:ascii="Arial" w:cs="Arial" w:eastAsia="Arial" w:hAnsi="Arial"/>
          <w:sz w:val="18"/>
          <w:szCs w:val="18"/>
          <w:color w:val="auto"/>
        </w:rPr>
        <w:t>that FCW’s stock is at risk and that any reference to “FCW equities” or to “stock or participation certificates required by Lender’s bylaws” in any document, agreement or Loan Document shall mean the FCW stock investment described herein.</w:t>
      </w:r>
    </w:p>
    <w:p>
      <w:pPr>
        <w:spacing w:after="0" w:line="68" w:lineRule="exact"/>
        <w:rPr>
          <w:sz w:val="20"/>
          <w:szCs w:val="20"/>
          <w:color w:val="auto"/>
        </w:rPr>
      </w:pPr>
    </w:p>
    <w:p>
      <w:pPr>
        <w:ind w:right="320" w:firstLine="225"/>
        <w:spacing w:after="0" w:line="282" w:lineRule="auto"/>
        <w:rPr>
          <w:sz w:val="20"/>
          <w:szCs w:val="20"/>
          <w:color w:val="auto"/>
        </w:rPr>
      </w:pPr>
      <w:r>
        <w:rPr>
          <w:rFonts w:ascii="Arial" w:cs="Arial" w:eastAsia="Arial" w:hAnsi="Arial"/>
          <w:sz w:val="18"/>
          <w:szCs w:val="18"/>
          <w:b w:val="1"/>
          <w:bCs w:val="1"/>
          <w:color w:val="auto"/>
        </w:rPr>
        <w:t xml:space="preserve">SECTION 11. Patronage. </w:t>
      </w:r>
      <w:r>
        <w:rPr>
          <w:rFonts w:ascii="Arial" w:cs="Arial" w:eastAsia="Arial" w:hAnsi="Arial"/>
          <w:sz w:val="18"/>
          <w:szCs w:val="18"/>
          <w:color w:val="auto"/>
        </w:rPr>
        <w:t>The Commitment is eligible for patronage under the plan and in accordance with the provisions of FCW’s bylaws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and procedures related to patronage distribution and as set forth in Section 27.</w:t>
      </w:r>
    </w:p>
    <w:p>
      <w:pPr>
        <w:spacing w:after="0" w:line="54" w:lineRule="exact"/>
        <w:rPr>
          <w:sz w:val="20"/>
          <w:szCs w:val="20"/>
          <w:color w:val="auto"/>
        </w:rPr>
      </w:pPr>
    </w:p>
    <w:p>
      <w:pPr>
        <w:ind w:right="220" w:firstLine="225"/>
        <w:spacing w:after="0" w:line="266" w:lineRule="auto"/>
        <w:rPr>
          <w:sz w:val="20"/>
          <w:szCs w:val="20"/>
          <w:color w:val="auto"/>
        </w:rPr>
      </w:pPr>
      <w:r>
        <w:rPr>
          <w:rFonts w:ascii="Arial" w:cs="Arial" w:eastAsia="Arial" w:hAnsi="Arial"/>
          <w:sz w:val="18"/>
          <w:szCs w:val="18"/>
          <w:b w:val="1"/>
          <w:bCs w:val="1"/>
          <w:color w:val="auto"/>
        </w:rPr>
        <w:t xml:space="preserve">SECTION 12. Security. </w:t>
      </w:r>
      <w:r>
        <w:rPr>
          <w:rFonts w:ascii="Arial" w:cs="Arial" w:eastAsia="Arial" w:hAnsi="Arial"/>
          <w:sz w:val="18"/>
          <w:szCs w:val="18"/>
          <w:color w:val="auto"/>
        </w:rPr>
        <w:t>The Company’s obligations under this Line of Credit Agreement and the Note shall be secured by a statutory first lien on all</w:t>
      </w:r>
      <w:r>
        <w:rPr>
          <w:rFonts w:ascii="Arial" w:cs="Arial" w:eastAsia="Arial" w:hAnsi="Arial"/>
          <w:sz w:val="18"/>
          <w:szCs w:val="18"/>
          <w:b w:val="1"/>
          <w:bCs w:val="1"/>
          <w:color w:val="auto"/>
        </w:rPr>
        <w:t xml:space="preserve"> </w:t>
      </w:r>
      <w:r>
        <w:rPr>
          <w:rFonts w:ascii="Arial" w:cs="Arial" w:eastAsia="Arial" w:hAnsi="Arial"/>
          <w:sz w:val="18"/>
          <w:szCs w:val="18"/>
          <w:color w:val="auto"/>
        </w:rPr>
        <w:t>equity which the Company may now own or hereafter acquire in FCW. With the exception of the security referenced in the preceding sentence, the Company’s obligations under this Line of Credit Agreement and the Note shall be unsecured.</w:t>
      </w:r>
    </w:p>
    <w:p>
      <w:pPr>
        <w:spacing w:after="0" w:line="68" w:lineRule="exact"/>
        <w:rPr>
          <w:sz w:val="20"/>
          <w:szCs w:val="20"/>
          <w:color w:val="auto"/>
        </w:rPr>
      </w:pPr>
    </w:p>
    <w:p>
      <w:pPr>
        <w:ind w:right="180" w:firstLine="225"/>
        <w:spacing w:after="0" w:line="282" w:lineRule="auto"/>
        <w:rPr>
          <w:sz w:val="20"/>
          <w:szCs w:val="20"/>
          <w:color w:val="auto"/>
        </w:rPr>
      </w:pPr>
      <w:r>
        <w:rPr>
          <w:rFonts w:ascii="Arial" w:cs="Arial" w:eastAsia="Arial" w:hAnsi="Arial"/>
          <w:sz w:val="18"/>
          <w:szCs w:val="18"/>
          <w:b w:val="1"/>
          <w:bCs w:val="1"/>
          <w:color w:val="auto"/>
        </w:rPr>
        <w:t xml:space="preserve">SECTION 13. Conditions Precedent. </w:t>
      </w:r>
      <w:r>
        <w:rPr>
          <w:rFonts w:ascii="Arial" w:cs="Arial" w:eastAsia="Arial" w:hAnsi="Arial"/>
          <w:sz w:val="18"/>
          <w:szCs w:val="18"/>
          <w:color w:val="auto"/>
        </w:rPr>
        <w:t>FCW’s obligation to make advances hereunder is subject to the condition precedent that FCW receive, in form</w:t>
      </w:r>
      <w:r>
        <w:rPr>
          <w:rFonts w:ascii="Arial" w:cs="Arial" w:eastAsia="Arial" w:hAnsi="Arial"/>
          <w:sz w:val="18"/>
          <w:szCs w:val="18"/>
          <w:b w:val="1"/>
          <w:bCs w:val="1"/>
          <w:color w:val="auto"/>
        </w:rPr>
        <w:t xml:space="preserve"> </w:t>
      </w:r>
      <w:r>
        <w:rPr>
          <w:rFonts w:ascii="Arial" w:cs="Arial" w:eastAsia="Arial" w:hAnsi="Arial"/>
          <w:sz w:val="18"/>
          <w:szCs w:val="18"/>
          <w:color w:val="auto"/>
        </w:rPr>
        <w:t>and content satisfactory to FCW, each of the following:</w:t>
      </w:r>
    </w:p>
    <w:p>
      <w:pPr>
        <w:spacing w:after="0" w:line="54" w:lineRule="exact"/>
        <w:rPr>
          <w:sz w:val="20"/>
          <w:szCs w:val="20"/>
          <w:color w:val="auto"/>
        </w:rPr>
      </w:pPr>
    </w:p>
    <w:p>
      <w:pPr>
        <w:ind w:left="940" w:hanging="482"/>
        <w:spacing w:after="0"/>
        <w:tabs>
          <w:tab w:leader="none" w:pos="94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Line of Credit Agreement. </w:t>
      </w:r>
      <w:r>
        <w:rPr>
          <w:rFonts w:ascii="Arial" w:cs="Arial" w:eastAsia="Arial" w:hAnsi="Arial"/>
          <w:sz w:val="16"/>
          <w:szCs w:val="16"/>
          <w:color w:val="auto"/>
        </w:rPr>
        <w:t>A duly executed copy of this Line of Credit Agreement and all instruments and documents contemplated hereby.</w:t>
      </w:r>
    </w:p>
    <w:p>
      <w:pPr>
        <w:spacing w:after="0" w:line="140" w:lineRule="exact"/>
        <w:rPr>
          <w:rFonts w:ascii="Arial" w:cs="Arial" w:eastAsia="Arial" w:hAnsi="Arial"/>
          <w:sz w:val="16"/>
          <w:szCs w:val="16"/>
          <w:b w:val="1"/>
          <w:bCs w:val="1"/>
          <w:color w:val="auto"/>
        </w:rPr>
      </w:pPr>
    </w:p>
    <w:p>
      <w:pPr>
        <w:ind w:right="280" w:firstLine="458"/>
        <w:spacing w:after="0" w:line="282" w:lineRule="auto"/>
        <w:tabs>
          <w:tab w:leader="none" w:pos="91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Evidence of Authority. </w:t>
      </w:r>
      <w:r>
        <w:rPr>
          <w:rFonts w:ascii="Arial" w:cs="Arial" w:eastAsia="Arial" w:hAnsi="Arial"/>
          <w:sz w:val="18"/>
          <w:szCs w:val="18"/>
          <w:color w:val="auto"/>
        </w:rPr>
        <w:t>Such certified board resolutions, evidence of incumbency, and other evidence that FCW may require that this Line of</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Agreement and the Note have been duly authorized and executed.</w:t>
      </w:r>
    </w:p>
    <w:p>
      <w:pPr>
        <w:spacing w:after="0" w:line="53" w:lineRule="exact"/>
        <w:rPr>
          <w:rFonts w:ascii="Arial" w:cs="Arial" w:eastAsia="Arial" w:hAnsi="Arial"/>
          <w:sz w:val="18"/>
          <w:szCs w:val="18"/>
          <w:b w:val="1"/>
          <w:bCs w:val="1"/>
          <w:color w:val="auto"/>
        </w:rPr>
      </w:pPr>
    </w:p>
    <w:p>
      <w:pPr>
        <w:ind w:left="940" w:hanging="482"/>
        <w:spacing w:after="0"/>
        <w:tabs>
          <w:tab w:leader="none" w:pos="9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Fees and Other Charges. </w:t>
      </w:r>
      <w:r>
        <w:rPr>
          <w:rFonts w:ascii="Arial" w:cs="Arial" w:eastAsia="Arial" w:hAnsi="Arial"/>
          <w:sz w:val="18"/>
          <w:szCs w:val="18"/>
          <w:color w:val="auto"/>
        </w:rPr>
        <w:t>All fees and other charges provided for herein.</w:t>
      </w:r>
    </w:p>
    <w:p>
      <w:pPr>
        <w:spacing w:after="0" w:line="117" w:lineRule="exact"/>
        <w:rPr>
          <w:rFonts w:ascii="Arial" w:cs="Arial" w:eastAsia="Arial" w:hAnsi="Arial"/>
          <w:sz w:val="18"/>
          <w:szCs w:val="18"/>
          <w:b w:val="1"/>
          <w:bCs w:val="1"/>
          <w:color w:val="auto"/>
        </w:rPr>
      </w:pPr>
    </w:p>
    <w:p>
      <w:pPr>
        <w:ind w:left="940" w:hanging="482"/>
        <w:spacing w:after="0"/>
        <w:tabs>
          <w:tab w:leader="none" w:pos="9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Evidence of Insurance. </w:t>
      </w:r>
      <w:r>
        <w:rPr>
          <w:rFonts w:ascii="Arial" w:cs="Arial" w:eastAsia="Arial" w:hAnsi="Arial"/>
          <w:sz w:val="18"/>
          <w:szCs w:val="18"/>
          <w:color w:val="auto"/>
        </w:rPr>
        <w:t>Such evidence as FCW may require that the Company is in compliance with Section 15(C) hereof</w:t>
      </w:r>
    </w:p>
    <w:p>
      <w:pPr>
        <w:spacing w:after="0" w:line="117" w:lineRule="exact"/>
        <w:rPr>
          <w:rFonts w:ascii="Arial" w:cs="Arial" w:eastAsia="Arial" w:hAnsi="Arial"/>
          <w:sz w:val="18"/>
          <w:szCs w:val="18"/>
          <w:b w:val="1"/>
          <w:bCs w:val="1"/>
          <w:color w:val="auto"/>
        </w:rPr>
      </w:pPr>
    </w:p>
    <w:p>
      <w:pPr>
        <w:ind w:right="300" w:firstLine="458"/>
        <w:spacing w:after="0" w:line="282" w:lineRule="auto"/>
        <w:tabs>
          <w:tab w:leader="none" w:pos="91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That no “Event of Default” (as defined in Section 18 hereof) or event which with the giving of notice and/or the passage of</w:t>
      </w:r>
      <w:r>
        <w:rPr>
          <w:rFonts w:ascii="Arial" w:cs="Arial" w:eastAsia="Arial" w:hAnsi="Arial"/>
          <w:sz w:val="18"/>
          <w:szCs w:val="18"/>
          <w:b w:val="1"/>
          <w:bCs w:val="1"/>
          <w:color w:val="auto"/>
        </w:rPr>
        <w:t xml:space="preserve"> </w:t>
      </w:r>
      <w:r>
        <w:rPr>
          <w:rFonts w:ascii="Arial" w:cs="Arial" w:eastAsia="Arial" w:hAnsi="Arial"/>
          <w:sz w:val="18"/>
          <w:szCs w:val="18"/>
          <w:color w:val="auto"/>
        </w:rPr>
        <w:t>time would become an Event of Default hereunder (a “Potential Default”), shall have occurred and be continuing.</w:t>
      </w:r>
    </w:p>
    <w:p>
      <w:pPr>
        <w:spacing w:after="0" w:line="54" w:lineRule="exact"/>
        <w:rPr>
          <w:sz w:val="20"/>
          <w:szCs w:val="20"/>
          <w:color w:val="auto"/>
        </w:rPr>
      </w:pPr>
    </w:p>
    <w:p>
      <w:pPr>
        <w:ind w:left="240"/>
        <w:spacing w:after="0"/>
        <w:tabs>
          <w:tab w:leader="none" w:pos="152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Representations and Warranties.</w:t>
      </w:r>
    </w:p>
    <w:p>
      <w:pPr>
        <w:spacing w:after="0" w:line="117" w:lineRule="exact"/>
        <w:rPr>
          <w:sz w:val="20"/>
          <w:szCs w:val="20"/>
          <w:color w:val="auto"/>
        </w:rPr>
      </w:pPr>
    </w:p>
    <w:p>
      <w:pPr>
        <w:ind w:left="940" w:hanging="482"/>
        <w:spacing w:after="0"/>
        <w:tabs>
          <w:tab w:leader="none" w:pos="9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Line of Credit Agreement. </w:t>
      </w:r>
      <w:r>
        <w:rPr>
          <w:rFonts w:ascii="Arial" w:cs="Arial" w:eastAsia="Arial" w:hAnsi="Arial"/>
          <w:sz w:val="18"/>
          <w:szCs w:val="18"/>
          <w:color w:val="auto"/>
        </w:rPr>
        <w:t>The Company represents and warrants to FCW that as of the date of this Line of Credit Agreement:</w:t>
      </w:r>
    </w:p>
    <w:p>
      <w:pPr>
        <w:spacing w:after="0" w:line="117" w:lineRule="exact"/>
        <w:rPr>
          <w:sz w:val="20"/>
          <w:szCs w:val="20"/>
          <w:color w:val="auto"/>
        </w:rPr>
      </w:pPr>
    </w:p>
    <w:p>
      <w:pPr>
        <w:ind w:right="120" w:firstLine="67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 Compliance.</w:t>
      </w:r>
      <w:r>
        <w:rPr>
          <w:rFonts w:ascii="Arial" w:cs="Arial" w:eastAsia="Arial" w:hAnsi="Arial"/>
          <w:sz w:val="18"/>
          <w:szCs w:val="18"/>
          <w:color w:val="auto"/>
        </w:rPr>
        <w:t xml:space="preserve"> The Company and, to the extent contemplated hereunder, each “Subsidiary” (as defined below), is in compliance with all of the terms of this Line of Credit Agreement, and no Event of Default or Potential Default exists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Page 5</w:t>
      </w:r>
    </w:p>
    <w:p>
      <w:pPr>
        <w:spacing w:after="0" w:line="194" w:lineRule="exact"/>
        <w:rPr>
          <w:sz w:val="20"/>
          <w:szCs w:val="20"/>
          <w:color w:val="auto"/>
        </w:rPr>
      </w:pPr>
    </w:p>
    <w:p>
      <w:pPr>
        <w:ind w:right="100" w:firstLine="683"/>
        <w:spacing w:after="0" w:line="314" w:lineRule="auto"/>
        <w:tabs>
          <w:tab w:leader="none" w:pos="111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Subsidiaries. </w:t>
      </w:r>
      <w:r>
        <w:rPr>
          <w:rFonts w:ascii="Arial" w:cs="Arial" w:eastAsia="Arial" w:hAnsi="Arial"/>
          <w:sz w:val="16"/>
          <w:szCs w:val="16"/>
          <w:color w:val="auto"/>
        </w:rPr>
        <w:t>The Company has the following Subsidiaries: Calavo Foods, Inc. (CFI); Maui Fresh International, Inc.; Calavo de Mexico S.A.</w:t>
      </w:r>
      <w:r>
        <w:rPr>
          <w:rFonts w:ascii="Arial" w:cs="Arial" w:eastAsia="Arial" w:hAnsi="Arial"/>
          <w:sz w:val="16"/>
          <w:szCs w:val="16"/>
          <w:b w:val="1"/>
          <w:bCs w:val="1"/>
          <w:color w:val="auto"/>
        </w:rPr>
        <w:t xml:space="preserve"> </w:t>
      </w:r>
      <w:r>
        <w:rPr>
          <w:rFonts w:ascii="Arial" w:cs="Arial" w:eastAsia="Arial" w:hAnsi="Arial"/>
          <w:sz w:val="16"/>
          <w:szCs w:val="16"/>
          <w:color w:val="auto"/>
        </w:rPr>
        <w:t>de C.V.; and Calavo Foods de Mexico S.A. de C.V. . For purposes hereof, a “Subsidiary” shall mean a corporation of which shares of stock having ordinary voting power to elect a majority of the board of directors or other managers of such corporation are owned, directly or indirectly, by the Company.</w:t>
      </w:r>
    </w:p>
    <w:p>
      <w:pPr>
        <w:spacing w:after="0" w:line="34" w:lineRule="exact"/>
        <w:rPr>
          <w:rFonts w:ascii="Arial" w:cs="Arial" w:eastAsia="Arial" w:hAnsi="Arial"/>
          <w:sz w:val="16"/>
          <w:szCs w:val="16"/>
          <w:b w:val="1"/>
          <w:bCs w:val="1"/>
          <w:color w:val="auto"/>
        </w:rPr>
      </w:pPr>
    </w:p>
    <w:p>
      <w:pPr>
        <w:ind w:right="40" w:firstLine="683"/>
        <w:spacing w:after="0" w:line="266" w:lineRule="auto"/>
        <w:tabs>
          <w:tab w:leader="none" w:pos="1155"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Conflicting Agreements. </w:t>
      </w:r>
      <w:r>
        <w:rPr>
          <w:rFonts w:ascii="Arial" w:cs="Arial" w:eastAsia="Arial" w:hAnsi="Arial"/>
          <w:sz w:val="18"/>
          <w:szCs w:val="18"/>
          <w:color w:val="auto"/>
        </w:rPr>
        <w:t>This Line of Credit Agreement and the Note (collectively, at any time, the “Loan Documents”), do not conflict</w:t>
      </w:r>
      <w:r>
        <w:rPr>
          <w:rFonts w:ascii="Arial" w:cs="Arial" w:eastAsia="Arial" w:hAnsi="Arial"/>
          <w:sz w:val="18"/>
          <w:szCs w:val="18"/>
          <w:b w:val="1"/>
          <w:bCs w:val="1"/>
          <w:color w:val="auto"/>
        </w:rPr>
        <w:t xml:space="preserve"> </w:t>
      </w:r>
      <w:r>
        <w:rPr>
          <w:rFonts w:ascii="Arial" w:cs="Arial" w:eastAsia="Arial" w:hAnsi="Arial"/>
          <w:sz w:val="18"/>
          <w:szCs w:val="18"/>
          <w:color w:val="auto"/>
        </w:rPr>
        <w:t>with, or require the consent of any party to, any other agreement to which the Company is a party or by which it or its property may be bound or affected, and do not conflict with any provision of the Company’s bylaws, articles of incorporation, or other organizational documents.</w:t>
      </w:r>
    </w:p>
    <w:p>
      <w:pPr>
        <w:spacing w:after="0" w:line="68" w:lineRule="exact"/>
        <w:rPr>
          <w:rFonts w:ascii="Arial" w:cs="Arial" w:eastAsia="Arial" w:hAnsi="Arial"/>
          <w:sz w:val="18"/>
          <w:szCs w:val="18"/>
          <w:b w:val="1"/>
          <w:bCs w:val="1"/>
          <w:color w:val="auto"/>
        </w:rPr>
      </w:pPr>
    </w:p>
    <w:p>
      <w:pPr>
        <w:ind w:right="280" w:firstLine="683"/>
        <w:spacing w:after="0" w:line="282" w:lineRule="auto"/>
        <w:tabs>
          <w:tab w:leader="none" w:pos="111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t>
      </w:r>
      <w:r>
        <w:rPr>
          <w:rFonts w:ascii="Arial" w:cs="Arial" w:eastAsia="Arial" w:hAnsi="Arial"/>
          <w:sz w:val="18"/>
          <w:szCs w:val="18"/>
          <w:color w:val="auto"/>
        </w:rPr>
        <w:t>The Company and, to the extent contemplated hereunder, each Subsidiary, if any, is in compliance with all of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Documents.</w:t>
      </w:r>
    </w:p>
    <w:p>
      <w:pPr>
        <w:spacing w:after="0" w:line="53" w:lineRule="exact"/>
        <w:rPr>
          <w:rFonts w:ascii="Arial" w:cs="Arial" w:eastAsia="Arial" w:hAnsi="Arial"/>
          <w:sz w:val="18"/>
          <w:szCs w:val="18"/>
          <w:b w:val="1"/>
          <w:bCs w:val="1"/>
          <w:color w:val="auto"/>
        </w:rPr>
      </w:pPr>
    </w:p>
    <w:p>
      <w:pPr>
        <w:ind w:right="120" w:firstLine="683"/>
        <w:spacing w:after="0" w:line="266" w:lineRule="auto"/>
        <w:tabs>
          <w:tab w:leader="none" w:pos="1155"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Binding Agreement. </w:t>
      </w:r>
      <w:r>
        <w:rPr>
          <w:rFonts w:ascii="Arial" w:cs="Arial" w:eastAsia="Arial" w:hAnsi="Arial"/>
          <w:sz w:val="18"/>
          <w:szCs w:val="18"/>
          <w:color w:val="auto"/>
        </w:rPr>
        <w:t>The Loan Documents create legal, valid, and binding obligations of the Company which are enforceable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their terms, except to the extent that enforcement may be limited by applicable bankruptcy, insolvency, or similar laws affecting creditors’ rights generally.</w:t>
      </w:r>
    </w:p>
    <w:p>
      <w:pPr>
        <w:spacing w:after="0" w:line="68" w:lineRule="exact"/>
        <w:rPr>
          <w:sz w:val="20"/>
          <w:szCs w:val="20"/>
          <w:color w:val="auto"/>
        </w:rPr>
      </w:pPr>
    </w:p>
    <w:p>
      <w:pPr>
        <w:ind w:right="140" w:firstLine="225"/>
        <w:spacing w:after="0" w:line="282" w:lineRule="auto"/>
        <w:rPr>
          <w:sz w:val="20"/>
          <w:szCs w:val="20"/>
          <w:color w:val="auto"/>
        </w:rPr>
      </w:pPr>
      <w:r>
        <w:rPr>
          <w:rFonts w:ascii="Arial" w:cs="Arial" w:eastAsia="Arial" w:hAnsi="Arial"/>
          <w:sz w:val="18"/>
          <w:szCs w:val="18"/>
          <w:b w:val="1"/>
          <w:bCs w:val="1"/>
          <w:color w:val="auto"/>
        </w:rPr>
        <w:t xml:space="preserve">SECTION 15. Affirmative Covenants. </w:t>
      </w:r>
      <w:r>
        <w:rPr>
          <w:rFonts w:ascii="Arial" w:cs="Arial" w:eastAsia="Arial" w:hAnsi="Arial"/>
          <w:sz w:val="18"/>
          <w:szCs w:val="18"/>
          <w:color w:val="auto"/>
        </w:rPr>
        <w:t>Unless otherwise agreed to in writing by FCW, while this Line of Credit Agreement is in effect,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to and with respect to Subsections 15(A) through 15(F) hereof, agrees to cause each Subsidiary, if any, to:</w:t>
      </w:r>
    </w:p>
    <w:p>
      <w:pPr>
        <w:spacing w:after="0" w:line="54" w:lineRule="exact"/>
        <w:rPr>
          <w:sz w:val="20"/>
          <w:szCs w:val="20"/>
          <w:color w:val="auto"/>
        </w:rPr>
      </w:pPr>
    </w:p>
    <w:p>
      <w:pPr>
        <w:ind w:right="200" w:firstLine="458"/>
        <w:spacing w:after="0" w:line="261" w:lineRule="auto"/>
        <w:tabs>
          <w:tab w:leader="none" w:pos="925"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Existence, Licenses. </w:t>
      </w:r>
      <w:r>
        <w:rPr>
          <w:rFonts w:ascii="Arial" w:cs="Arial" w:eastAsia="Arial" w:hAnsi="Arial"/>
          <w:sz w:val="18"/>
          <w:szCs w:val="18"/>
          <w:color w:val="auto"/>
        </w:rPr>
        <w:t>(i) Preserve and keep in full force and effect its existence and good standing in the jurisdiction of its</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or formation; (ii) qualify and remain qualified to transact business in all jurisdictions where such qualification is required; and (iii) obtain and maintain all licenses, certificates, permits, authorizations, approvals, and the like which are material to the conduct of its business or required by law, rule, regulation, ordinance, code, order, and the like (collectively, “Laws”).</w:t>
      </w:r>
    </w:p>
    <w:p>
      <w:pPr>
        <w:spacing w:after="0" w:line="71" w:lineRule="exact"/>
        <w:rPr>
          <w:rFonts w:ascii="Arial" w:cs="Arial" w:eastAsia="Arial" w:hAnsi="Arial"/>
          <w:sz w:val="18"/>
          <w:szCs w:val="18"/>
          <w:b w:val="1"/>
          <w:bCs w:val="1"/>
          <w:color w:val="auto"/>
        </w:rPr>
      </w:pPr>
    </w:p>
    <w:p>
      <w:pPr>
        <w:ind w:right="100" w:firstLine="458"/>
        <w:spacing w:after="0" w:line="314" w:lineRule="auto"/>
        <w:tabs>
          <w:tab w:leader="none" w:pos="915"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Laws. </w:t>
      </w:r>
      <w:r>
        <w:rPr>
          <w:rFonts w:ascii="Arial" w:cs="Arial" w:eastAsia="Arial" w:hAnsi="Arial"/>
          <w:sz w:val="16"/>
          <w:szCs w:val="16"/>
          <w:color w:val="auto"/>
        </w:rPr>
        <w:t>Comply in all material respects with all applicable Laws, including, without limitation, all Laws relating to</w:t>
      </w:r>
      <w:r>
        <w:rPr>
          <w:rFonts w:ascii="Arial" w:cs="Arial" w:eastAsia="Arial" w:hAnsi="Arial"/>
          <w:sz w:val="16"/>
          <w:szCs w:val="16"/>
          <w:b w:val="1"/>
          <w:bCs w:val="1"/>
          <w:color w:val="auto"/>
        </w:rPr>
        <w:t xml:space="preserve"> </w:t>
      </w:r>
      <w:r>
        <w:rPr>
          <w:rFonts w:ascii="Arial" w:cs="Arial" w:eastAsia="Arial" w:hAnsi="Arial"/>
          <w:sz w:val="16"/>
          <w:szCs w:val="16"/>
          <w:color w:val="auto"/>
        </w:rPr>
        <w:t>environmental protection. In addition, the Company agrees to cause all persons occupying or present on any of its properties, and to cause each Subsidiary, if any, to cause all persons occupying or present on any of its properties, to comply in all material respects with all environmental protection Laws.</w:t>
      </w:r>
    </w:p>
    <w:p>
      <w:pPr>
        <w:spacing w:after="0" w:line="34" w:lineRule="exact"/>
        <w:rPr>
          <w:rFonts w:ascii="Arial" w:cs="Arial" w:eastAsia="Arial" w:hAnsi="Arial"/>
          <w:sz w:val="16"/>
          <w:szCs w:val="16"/>
          <w:b w:val="1"/>
          <w:bCs w:val="1"/>
          <w:color w:val="auto"/>
        </w:rPr>
      </w:pPr>
    </w:p>
    <w:p>
      <w:pPr>
        <w:ind w:right="140" w:firstLine="458"/>
        <w:spacing w:after="0" w:line="261" w:lineRule="auto"/>
        <w:tabs>
          <w:tab w:leader="none" w:pos="925"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Maintain insurance with insurance companies or associations acceptable to FCW in such amounts and covering such risks as are</w:t>
      </w:r>
      <w:r>
        <w:rPr>
          <w:rFonts w:ascii="Arial" w:cs="Arial" w:eastAsia="Arial" w:hAnsi="Arial"/>
          <w:sz w:val="18"/>
          <w:szCs w:val="18"/>
          <w:b w:val="1"/>
          <w:bCs w:val="1"/>
          <w:color w:val="auto"/>
        </w:rPr>
        <w:t xml:space="preserve"> </w:t>
      </w:r>
      <w:r>
        <w:rPr>
          <w:rFonts w:ascii="Arial" w:cs="Arial" w:eastAsia="Arial" w:hAnsi="Arial"/>
          <w:sz w:val="18"/>
          <w:szCs w:val="18"/>
          <w:color w:val="auto"/>
        </w:rPr>
        <w:t>usually carried by companies engaged in the same or similar business and similarly situated, and make such increases in the type or amount of coverage as FCW may request. At FCW’s request, all policies (or such other proof of compliance with this Subsection as may be satisfactory to FCW) shall be delivered to FCW.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Page 6</w:t>
      </w:r>
    </w:p>
    <w:p>
      <w:pPr>
        <w:spacing w:after="0" w:line="194" w:lineRule="exact"/>
        <w:rPr>
          <w:sz w:val="20"/>
          <w:szCs w:val="20"/>
          <w:color w:val="auto"/>
        </w:rPr>
      </w:pPr>
    </w:p>
    <w:p>
      <w:pPr>
        <w:ind w:right="760" w:firstLine="458"/>
        <w:spacing w:after="0" w:line="282" w:lineRule="auto"/>
        <w:tabs>
          <w:tab w:leader="none" w:pos="925"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Property Maintenance. </w:t>
      </w:r>
      <w:r>
        <w:rPr>
          <w:rFonts w:ascii="Arial" w:cs="Arial" w:eastAsia="Arial" w:hAnsi="Arial"/>
          <w:sz w:val="18"/>
          <w:szCs w:val="18"/>
          <w:color w:val="auto"/>
        </w:rPr>
        <w:t>Maintain all of its property that is necessary to or useful in the proper conduct of its business in good working</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ordinary wear and tear excepted.</w:t>
      </w:r>
    </w:p>
    <w:p>
      <w:pPr>
        <w:spacing w:after="0" w:line="53" w:lineRule="exact"/>
        <w:rPr>
          <w:rFonts w:ascii="Arial" w:cs="Arial" w:eastAsia="Arial" w:hAnsi="Arial"/>
          <w:sz w:val="18"/>
          <w:szCs w:val="18"/>
          <w:b w:val="1"/>
          <w:bCs w:val="1"/>
          <w:color w:val="auto"/>
        </w:rPr>
      </w:pPr>
    </w:p>
    <w:p>
      <w:pPr>
        <w:ind w:right="40" w:firstLine="458"/>
        <w:spacing w:after="0" w:line="282" w:lineRule="auto"/>
        <w:tabs>
          <w:tab w:leader="none" w:pos="915"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Books and Records. </w:t>
      </w:r>
      <w:r>
        <w:rPr>
          <w:rFonts w:ascii="Arial" w:cs="Arial" w:eastAsia="Arial" w:hAnsi="Arial"/>
          <w:sz w:val="18"/>
          <w:szCs w:val="18"/>
          <w:color w:val="auto"/>
        </w:rPr>
        <w:t>Keep adequate records and books of account in which complete entries will be made in accordance with generally accepted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principles (“GAAP”) consistently applied.</w:t>
      </w:r>
    </w:p>
    <w:p>
      <w:pPr>
        <w:spacing w:after="0" w:line="53" w:lineRule="exact"/>
        <w:rPr>
          <w:rFonts w:ascii="Arial" w:cs="Arial" w:eastAsia="Arial" w:hAnsi="Arial"/>
          <w:sz w:val="18"/>
          <w:szCs w:val="18"/>
          <w:b w:val="1"/>
          <w:bCs w:val="1"/>
          <w:color w:val="auto"/>
        </w:rPr>
      </w:pPr>
    </w:p>
    <w:p>
      <w:pPr>
        <w:ind w:right="140" w:firstLine="458"/>
        <w:spacing w:after="0" w:line="266" w:lineRule="auto"/>
        <w:tabs>
          <w:tab w:leader="none" w:pos="905"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Inspection. </w:t>
      </w:r>
      <w:r>
        <w:rPr>
          <w:rFonts w:ascii="Arial" w:cs="Arial" w:eastAsia="Arial" w:hAnsi="Arial"/>
          <w:sz w:val="18"/>
          <w:szCs w:val="18"/>
          <w:color w:val="auto"/>
        </w:rPr>
        <w:t>Permit FCW or its agents, upon reasonable notice and during normal business hours or at such other times as the parties may agree,</w:t>
      </w:r>
      <w:r>
        <w:rPr>
          <w:rFonts w:ascii="Arial" w:cs="Arial" w:eastAsia="Arial" w:hAnsi="Arial"/>
          <w:sz w:val="18"/>
          <w:szCs w:val="18"/>
          <w:b w:val="1"/>
          <w:bCs w:val="1"/>
          <w:color w:val="auto"/>
        </w:rPr>
        <w:t xml:space="preserve"> </w:t>
      </w:r>
      <w:r>
        <w:rPr>
          <w:rFonts w:ascii="Arial" w:cs="Arial" w:eastAsia="Arial" w:hAnsi="Arial"/>
          <w:sz w:val="18"/>
          <w:szCs w:val="18"/>
          <w:color w:val="auto"/>
        </w:rPr>
        <w:t>to examine its properties, books, and records, and to discuss its affairs, finances, and accounts, with its respective officers, directors, employees, and independent certified public accountants.</w:t>
      </w:r>
    </w:p>
    <w:p>
      <w:pPr>
        <w:spacing w:after="0" w:line="68" w:lineRule="exact"/>
        <w:rPr>
          <w:rFonts w:ascii="Arial" w:cs="Arial" w:eastAsia="Arial" w:hAnsi="Arial"/>
          <w:sz w:val="18"/>
          <w:szCs w:val="18"/>
          <w:b w:val="1"/>
          <w:bCs w:val="1"/>
          <w:color w:val="auto"/>
        </w:rPr>
      </w:pPr>
    </w:p>
    <w:p>
      <w:pPr>
        <w:ind w:left="940" w:hanging="482"/>
        <w:spacing w:after="0"/>
        <w:tabs>
          <w:tab w:leader="none" w:pos="9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Reports and Notices. </w:t>
      </w:r>
      <w:r>
        <w:rPr>
          <w:rFonts w:ascii="Arial" w:cs="Arial" w:eastAsia="Arial" w:hAnsi="Arial"/>
          <w:sz w:val="18"/>
          <w:szCs w:val="18"/>
          <w:color w:val="auto"/>
        </w:rPr>
        <w:t>Furnish to FCW:</w:t>
      </w:r>
    </w:p>
    <w:p>
      <w:pPr>
        <w:spacing w:after="0" w:line="117" w:lineRule="exact"/>
        <w:rPr>
          <w:rFonts w:ascii="Arial" w:cs="Arial" w:eastAsia="Arial" w:hAnsi="Arial"/>
          <w:sz w:val="18"/>
          <w:szCs w:val="18"/>
          <w:b w:val="1"/>
          <w:bCs w:val="1"/>
          <w:color w:val="auto"/>
        </w:rPr>
      </w:pPr>
    </w:p>
    <w:p>
      <w:pPr>
        <w:ind w:right="40" w:firstLine="683"/>
        <w:spacing w:after="0" w:line="256" w:lineRule="auto"/>
        <w:tabs>
          <w:tab w:leader="none" w:pos="1110"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Financial Statements. </w:t>
      </w:r>
      <w:r>
        <w:rPr>
          <w:rFonts w:ascii="Arial" w:cs="Arial" w:eastAsia="Arial" w:hAnsi="Arial"/>
          <w:sz w:val="18"/>
          <w:szCs w:val="18"/>
          <w:color w:val="auto"/>
        </w:rPr>
        <w:t>As soon as available, but in no event more than 90 days after the end of each fiscal year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occurring during the term hereof, annual consolidated and consolidating financial statements of the Company and its consolidated Subsidiaries, if any, prepared in accordance with GAAP consistently applied. Such financial statements shall: (a) be audited by independent certified public accountants selected by the Company and acceptable to FCW; (b) be accompanied by a report of such accountants containing an opinion thereon acceptable to FCW; (c) be prepared in reasonable detail and in comparative form; and (d) include a balance sheet, a statement of income, a statement of retained earnings, a statement of cash flows, and all notes and schedules relating thereto.</w:t>
      </w:r>
    </w:p>
    <w:p>
      <w:pPr>
        <w:spacing w:after="0" w:line="79" w:lineRule="exact"/>
        <w:rPr>
          <w:rFonts w:ascii="Arial" w:cs="Arial" w:eastAsia="Arial" w:hAnsi="Arial"/>
          <w:sz w:val="18"/>
          <w:szCs w:val="18"/>
          <w:b w:val="1"/>
          <w:bCs w:val="1"/>
          <w:color w:val="auto"/>
        </w:rPr>
      </w:pPr>
    </w:p>
    <w:p>
      <w:pPr>
        <w:ind w:right="20" w:firstLine="683"/>
        <w:spacing w:after="0" w:line="258" w:lineRule="auto"/>
        <w:tabs>
          <w:tab w:leader="none" w:pos="1110"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Statements. </w:t>
      </w:r>
      <w:r>
        <w:rPr>
          <w:rFonts w:ascii="Arial" w:cs="Arial" w:eastAsia="Arial" w:hAnsi="Arial"/>
          <w:sz w:val="18"/>
          <w:szCs w:val="18"/>
          <w:color w:val="auto"/>
        </w:rPr>
        <w:t>As soon as available, but in no event more than 45 days after the end of each fiscal quarter, a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balance sheet of the Company and its consolidated Subsidiaries, if any, as of the end of such quarter, a consolidated statement of income for the Company and its consolidated Subsidiaries, if any, for such period and for the period year to date, and such other interim statements as FCW may specifically request, all prepared in reasonable detail and in comparative form in accordance with GAAP consistently applied and certified by an authorized officer or employee of the Company acceptable to FCW.</w:t>
      </w:r>
    </w:p>
    <w:p>
      <w:pPr>
        <w:spacing w:after="0" w:line="75" w:lineRule="exact"/>
        <w:rPr>
          <w:rFonts w:ascii="Arial" w:cs="Arial" w:eastAsia="Arial" w:hAnsi="Arial"/>
          <w:sz w:val="18"/>
          <w:szCs w:val="18"/>
          <w:b w:val="1"/>
          <w:bCs w:val="1"/>
          <w:color w:val="auto"/>
        </w:rPr>
      </w:pPr>
    </w:p>
    <w:p>
      <w:pPr>
        <w:ind w:left="1120" w:hanging="437"/>
        <w:spacing w:after="0"/>
        <w:tabs>
          <w:tab w:leader="none" w:pos="1120"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Default. </w:t>
      </w:r>
      <w:r>
        <w:rPr>
          <w:rFonts w:ascii="Arial" w:cs="Arial" w:eastAsia="Arial" w:hAnsi="Arial"/>
          <w:sz w:val="18"/>
          <w:szCs w:val="18"/>
          <w:color w:val="auto"/>
        </w:rPr>
        <w:t>Promptly after becoming aware thereof, notice of the occurrence of an Event of Default or a Potential Default.</w:t>
      </w:r>
    </w:p>
    <w:p>
      <w:pPr>
        <w:spacing w:after="0" w:line="117" w:lineRule="exact"/>
        <w:rPr>
          <w:rFonts w:ascii="Arial" w:cs="Arial" w:eastAsia="Arial" w:hAnsi="Arial"/>
          <w:sz w:val="18"/>
          <w:szCs w:val="18"/>
          <w:b w:val="1"/>
          <w:bCs w:val="1"/>
          <w:color w:val="auto"/>
        </w:rPr>
      </w:pPr>
    </w:p>
    <w:p>
      <w:pPr>
        <w:jc w:val="both"/>
        <w:ind w:right="80" w:firstLine="683"/>
        <w:spacing w:after="0" w:line="261" w:lineRule="auto"/>
        <w:tabs>
          <w:tab w:leader="none" w:pos="1110" w:val="left"/>
        </w:tabs>
        <w:numPr>
          <w:ilvl w:val="1"/>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Non-Environmental Litigation. </w:t>
      </w:r>
      <w:r>
        <w:rPr>
          <w:rFonts w:ascii="Arial" w:cs="Arial" w:eastAsia="Arial" w:hAnsi="Arial"/>
          <w:sz w:val="18"/>
          <w:szCs w:val="18"/>
          <w:color w:val="auto"/>
        </w:rPr>
        <w:t>Promptly after the commencement thereof, notice of the commencement of all actions, suits, or</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before any court, arbitrator, or governmental department, commission, board, bureau, agency, or instrumentality affecting the Company or any Subsidiary which, if determined adversely to the Company or any such Subsidiary, could have a material adverse effect on the financial condition, properties, profits, or operations of the Company or any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Page 7</w:t>
      </w:r>
    </w:p>
    <w:p>
      <w:pPr>
        <w:spacing w:after="0" w:line="194" w:lineRule="exact"/>
        <w:rPr>
          <w:sz w:val="20"/>
          <w:szCs w:val="20"/>
          <w:color w:val="auto"/>
        </w:rPr>
      </w:pPr>
    </w:p>
    <w:p>
      <w:pPr>
        <w:ind w:right="120" w:firstLine="683"/>
        <w:spacing w:after="0" w:line="281" w:lineRule="auto"/>
        <w:tabs>
          <w:tab w:leader="none" w:pos="1110" w:val="left"/>
        </w:tabs>
        <w:numPr>
          <w:ilvl w:val="1"/>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of Environmental Litigation. </w:t>
      </w:r>
      <w:r>
        <w:rPr>
          <w:rFonts w:ascii="Arial" w:cs="Arial" w:eastAsia="Arial" w:hAnsi="Arial"/>
          <w:sz w:val="17"/>
          <w:szCs w:val="17"/>
          <w:color w:val="auto"/>
        </w:rPr>
        <w:t>Promptly after receipt thereof, notice of the receipt of all pleadings, orders, complaints, indictments, or</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communication alleging a condition that may require the Company or any Subsidiary to undertake or to contribute to a cleanup or other response under environmental Laws, or which seek penalties, damages, injunctive relief, or criminal sanctions related to alleged violations of such Laws, or which claim personal injury or property damage to any person as a result of environmental factors or conditions.</w:t>
      </w:r>
    </w:p>
    <w:p>
      <w:pPr>
        <w:spacing w:after="0" w:line="56" w:lineRule="exact"/>
        <w:rPr>
          <w:rFonts w:ascii="Arial" w:cs="Arial" w:eastAsia="Arial" w:hAnsi="Arial"/>
          <w:sz w:val="17"/>
          <w:szCs w:val="17"/>
          <w:b w:val="1"/>
          <w:bCs w:val="1"/>
          <w:color w:val="auto"/>
        </w:rPr>
      </w:pPr>
    </w:p>
    <w:p>
      <w:pPr>
        <w:ind w:right="140" w:firstLine="683"/>
        <w:spacing w:after="0" w:line="282" w:lineRule="auto"/>
        <w:tabs>
          <w:tab w:leader="none" w:pos="1110"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Bylaws and Articles. </w:t>
      </w:r>
      <w:r>
        <w:rPr>
          <w:rFonts w:ascii="Arial" w:cs="Arial" w:eastAsia="Arial" w:hAnsi="Arial"/>
          <w:sz w:val="18"/>
          <w:szCs w:val="18"/>
          <w:color w:val="auto"/>
        </w:rPr>
        <w:t>Promptly after any change in the Company’s bylaws or articles of incorporation (or like documents), copies of all such</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certified by the Company’s Secretary.</w:t>
      </w:r>
    </w:p>
    <w:p>
      <w:pPr>
        <w:spacing w:after="0" w:line="53" w:lineRule="exact"/>
        <w:rPr>
          <w:rFonts w:ascii="Arial" w:cs="Arial" w:eastAsia="Arial" w:hAnsi="Arial"/>
          <w:sz w:val="18"/>
          <w:szCs w:val="18"/>
          <w:b w:val="1"/>
          <w:bCs w:val="1"/>
          <w:color w:val="auto"/>
        </w:rPr>
      </w:pPr>
    </w:p>
    <w:p>
      <w:pPr>
        <w:ind w:right="160" w:firstLine="683"/>
        <w:spacing w:after="0" w:line="266" w:lineRule="auto"/>
        <w:tabs>
          <w:tab w:leader="none" w:pos="1110"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Information. </w:t>
      </w:r>
      <w:r>
        <w:rPr>
          <w:rFonts w:ascii="Arial" w:cs="Arial" w:eastAsia="Arial" w:hAnsi="Arial"/>
          <w:sz w:val="18"/>
          <w:szCs w:val="18"/>
          <w:color w:val="auto"/>
        </w:rPr>
        <w:t>Such other information regarding the condition or operations, financial or otherwise, of the Company or any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as FCW may from time to time reasonably request, including but not limited to copies of all pleadings, notices, and communications referred to in Subsections 15(G)(4) and (5) above.</w:t>
      </w:r>
    </w:p>
    <w:p>
      <w:pPr>
        <w:spacing w:after="0" w:line="68" w:lineRule="exact"/>
        <w:rPr>
          <w:rFonts w:ascii="Arial" w:cs="Arial" w:eastAsia="Arial" w:hAnsi="Arial"/>
          <w:sz w:val="18"/>
          <w:szCs w:val="18"/>
          <w:b w:val="1"/>
          <w:bCs w:val="1"/>
          <w:color w:val="auto"/>
        </w:rPr>
      </w:pPr>
    </w:p>
    <w:p>
      <w:pPr>
        <w:ind w:right="460" w:firstLine="683"/>
        <w:spacing w:after="0" w:line="303" w:lineRule="auto"/>
        <w:tabs>
          <w:tab w:leader="none" w:pos="1110" w:val="left"/>
        </w:tabs>
        <w:numPr>
          <w:ilvl w:val="1"/>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Certificate. </w:t>
      </w:r>
      <w:r>
        <w:rPr>
          <w:rFonts w:ascii="Arial" w:cs="Arial" w:eastAsia="Arial" w:hAnsi="Arial"/>
          <w:sz w:val="16"/>
          <w:szCs w:val="16"/>
          <w:color w:val="auto"/>
        </w:rPr>
        <w:t>Together with each set of financial statements furnished to FCW pursuant to Section 15(G)(1), and each quarterly</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submitted pursuant to Section 15(G)(2) for a period corresponding to a period for which one or more of the financial covenants set forth in Section 17 hereof are required to be tested, a certificate of an officer or employee of the Company acceptable to FCW setting forth calculations showing compliance with each of the financial covenants that require compliance at the end of the period for which the statements are being furnished.</w:t>
      </w:r>
    </w:p>
    <w:p>
      <w:pPr>
        <w:spacing w:after="0" w:line="43" w:lineRule="exact"/>
        <w:rPr>
          <w:rFonts w:ascii="Arial" w:cs="Arial" w:eastAsia="Arial" w:hAnsi="Arial"/>
          <w:sz w:val="16"/>
          <w:szCs w:val="16"/>
          <w:b w:val="1"/>
          <w:bCs w:val="1"/>
          <w:color w:val="auto"/>
        </w:rPr>
      </w:pPr>
    </w:p>
    <w:p>
      <w:pPr>
        <w:ind w:right="240" w:firstLine="458"/>
        <w:spacing w:after="0" w:line="261" w:lineRule="auto"/>
        <w:tabs>
          <w:tab w:leader="none" w:pos="93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Organizational Changes. </w:t>
      </w:r>
      <w:r>
        <w:rPr>
          <w:rFonts w:ascii="Arial" w:cs="Arial" w:eastAsia="Arial" w:hAnsi="Arial"/>
          <w:sz w:val="18"/>
          <w:szCs w:val="18"/>
          <w:color w:val="auto"/>
        </w:rPr>
        <w:t>Provide FCW with prior notice (and as early as practicable) of any merger, consolidation reorganization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under a different provision of law, acquisition of all or a material part of the assets of another organization, change of name, adoption of any trade name, or creation of any Subsidiary, affiliate or material joint venture(s). For purposes of this covenant, joint venture transaction(s), which alone or in the aggregate exceed $1,000,000, are considered material</w:t>
      </w:r>
      <w:r>
        <w:rPr>
          <w:rFonts w:ascii="Arial" w:cs="Arial" w:eastAsia="Arial" w:hAnsi="Arial"/>
          <w:sz w:val="18"/>
          <w:szCs w:val="18"/>
          <w:b w:val="1"/>
          <w:bCs w:val="1"/>
          <w:color w:val="auto"/>
        </w:rPr>
        <w:t>.</w:t>
      </w:r>
    </w:p>
    <w:p>
      <w:pPr>
        <w:spacing w:after="0" w:line="72" w:lineRule="exact"/>
        <w:rPr>
          <w:sz w:val="20"/>
          <w:szCs w:val="20"/>
          <w:color w:val="auto"/>
        </w:rPr>
      </w:pPr>
    </w:p>
    <w:p>
      <w:pPr>
        <w:ind w:left="240"/>
        <w:spacing w:after="0"/>
        <w:tabs>
          <w:tab w:leader="none" w:pos="152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color w:val="auto"/>
        </w:rPr>
        <w:t xml:space="preserve">Negative Covenants. </w:t>
      </w:r>
      <w:r>
        <w:rPr>
          <w:rFonts w:ascii="Arial" w:cs="Arial" w:eastAsia="Arial" w:hAnsi="Arial"/>
          <w:sz w:val="16"/>
          <w:szCs w:val="16"/>
          <w:color w:val="auto"/>
        </w:rPr>
        <w:t>Unless otherwise agreed to in writing by FCW, which agreement will not be unreasonably withheld, while this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Line of Credit Agreement is in effect, the Company will not:</w:t>
      </w:r>
    </w:p>
    <w:p>
      <w:pPr>
        <w:spacing w:after="0" w:line="99" w:lineRule="exact"/>
        <w:rPr>
          <w:sz w:val="20"/>
          <w:szCs w:val="20"/>
          <w:color w:val="auto"/>
        </w:rPr>
      </w:pPr>
    </w:p>
    <w:p>
      <w:pPr>
        <w:ind w:right="120" w:firstLine="458"/>
        <w:spacing w:after="0" w:line="293" w:lineRule="auto"/>
        <w:tabs>
          <w:tab w:leader="none" w:pos="925" w:val="left"/>
        </w:tabs>
        <w:numPr>
          <w:ilvl w:val="1"/>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Borrowings. </w:t>
      </w:r>
      <w:r>
        <w:rPr>
          <w:rFonts w:ascii="Arial" w:cs="Arial" w:eastAsia="Arial" w:hAnsi="Arial"/>
          <w:sz w:val="16"/>
          <w:szCs w:val="16"/>
          <w:color w:val="auto"/>
        </w:rPr>
        <w:t>Create, incur, assume, or allow to exist, directly or indirectly, any indebtedness or liability for borrowed money (including trade or</w:t>
      </w:r>
      <w:r>
        <w:rPr>
          <w:rFonts w:ascii="Arial" w:cs="Arial" w:eastAsia="Arial" w:hAnsi="Arial"/>
          <w:sz w:val="16"/>
          <w:szCs w:val="16"/>
          <w:b w:val="1"/>
          <w:bCs w:val="1"/>
          <w:color w:val="auto"/>
        </w:rPr>
        <w:t xml:space="preserve"> </w:t>
      </w:r>
      <w:r>
        <w:rPr>
          <w:rFonts w:ascii="Arial" w:cs="Arial" w:eastAsia="Arial" w:hAnsi="Arial"/>
          <w:sz w:val="16"/>
          <w:szCs w:val="16"/>
          <w:color w:val="auto"/>
        </w:rPr>
        <w:t>bankers’ acceptances), letters of credit, or the deferred purchase price of property or services (including capitalized leases), except for: (i) debt to FCW;</w:t>
      </w:r>
    </w:p>
    <w:p>
      <w:pPr>
        <w:spacing w:after="0" w:line="1" w:lineRule="exact"/>
        <w:rPr>
          <w:rFonts w:ascii="Arial" w:cs="Arial" w:eastAsia="Arial" w:hAnsi="Arial"/>
          <w:sz w:val="16"/>
          <w:szCs w:val="16"/>
          <w:b w:val="1"/>
          <w:bCs w:val="1"/>
          <w:color w:val="auto"/>
        </w:rPr>
      </w:pPr>
    </w:p>
    <w:p>
      <w:pPr>
        <w:jc w:val="both"/>
        <w:ind w:right="420" w:firstLine="8"/>
        <w:spacing w:after="0" w:line="277" w:lineRule="auto"/>
        <w:tabs>
          <w:tab w:leader="none" w:pos="265"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accounts payable to trade creditors incurred in the ordinary course of business; and (iii) current operating liabilities (other than for borrowed money) incurred in the ordinary course of business; (iv) debt of the Company to Bank of America in an amount not to exceed $12,000,000.00 and all extensions, renewals, and refinancings thereof; (v) (vi) letters of credit issued by any bank for the account of the Company in an aggregate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Page 8</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amount not to exceed $5,000,000.00 at any one time outstanding; and (vii) capitalized leases existing on the date hereof existing from time to time.</w:t>
      </w:r>
    </w:p>
    <w:p>
      <w:pPr>
        <w:spacing w:after="0" w:line="125" w:lineRule="exact"/>
        <w:rPr>
          <w:sz w:val="20"/>
          <w:szCs w:val="20"/>
          <w:color w:val="auto"/>
        </w:rPr>
      </w:pPr>
    </w:p>
    <w:p>
      <w:pPr>
        <w:ind w:right="20" w:firstLine="458"/>
        <w:spacing w:after="0" w:line="286" w:lineRule="auto"/>
        <w:tabs>
          <w:tab w:leader="none" w:pos="915" w:val="left"/>
        </w:tabs>
        <w:numPr>
          <w:ilvl w:val="1"/>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Liens. </w:t>
      </w:r>
      <w:r>
        <w:rPr>
          <w:rFonts w:ascii="Arial" w:cs="Arial" w:eastAsia="Arial" w:hAnsi="Arial"/>
          <w:sz w:val="16"/>
          <w:szCs w:val="16"/>
          <w:color w:val="auto"/>
        </w:rPr>
        <w:t>Create, incur, assume, or allow to exist any mortgage, deed of trust, pledge, lien (including the lien of an attachment, judgment, or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security interest, or other encumbrance of any kind upon any of its property, real or personal (collectively, “Liens”). The foregoing restrictions shall not apply to: (i) Liens in favor of FCW or CoBank; (ii) Liens for taxes, assessments, or governmental charges that are not past due; (iii) Liens and deposits under workers’ compensation, unemployment insurance, and social security Laws; (iv) Liens and deposits to secure the performance of bids, tenders, contracts (other than contracts for the payment of money), and like obligations arising in the ordinary course of business as conducted on the date hereof;</w:t>
      </w:r>
    </w:p>
    <w:p>
      <w:pPr>
        <w:spacing w:after="0" w:line="2" w:lineRule="exact"/>
        <w:rPr>
          <w:rFonts w:ascii="Arial" w:cs="Arial" w:eastAsia="Arial" w:hAnsi="Arial"/>
          <w:sz w:val="16"/>
          <w:szCs w:val="16"/>
          <w:b w:val="1"/>
          <w:bCs w:val="1"/>
          <w:color w:val="auto"/>
        </w:rPr>
      </w:pPr>
    </w:p>
    <w:p>
      <w:pPr>
        <w:ind w:left="260" w:hanging="252"/>
        <w:spacing w:after="0"/>
        <w:tabs>
          <w:tab w:leader="none" w:pos="2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Liens imposed by Law in favor of mechanics, materialmen, warehousemen, and like persons that secure obligations that are not past due; and</w:t>
      </w:r>
    </w:p>
    <w:p>
      <w:pPr>
        <w:spacing w:after="0" w:line="20" w:lineRule="exact"/>
        <w:rPr>
          <w:rFonts w:ascii="Arial" w:cs="Arial" w:eastAsia="Arial" w:hAnsi="Arial"/>
          <w:sz w:val="17"/>
          <w:szCs w:val="17"/>
          <w:color w:val="auto"/>
        </w:rPr>
      </w:pPr>
    </w:p>
    <w:p>
      <w:pPr>
        <w:ind w:right="200" w:firstLine="8"/>
        <w:spacing w:after="0" w:line="323" w:lineRule="auto"/>
        <w:tabs>
          <w:tab w:leader="none" w:pos="305"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easements, rights-of-way, restrictions, and other similar encumbrances which, in the aggregate, do not materially interfere with the occupation, use, and enjoyment of the property or assets encumbered thereby in the normal course of its business or materially impair the value of the property subject thereto.</w:t>
      </w:r>
    </w:p>
    <w:p>
      <w:pPr>
        <w:spacing w:after="0" w:line="26" w:lineRule="exact"/>
        <w:rPr>
          <w:rFonts w:ascii="Arial" w:cs="Arial" w:eastAsia="Arial" w:hAnsi="Arial"/>
          <w:sz w:val="16"/>
          <w:szCs w:val="16"/>
          <w:color w:val="auto"/>
        </w:rPr>
      </w:pPr>
    </w:p>
    <w:p>
      <w:pPr>
        <w:ind w:left="940" w:hanging="482"/>
        <w:spacing w:after="0"/>
        <w:tabs>
          <w:tab w:leader="none" w:pos="940" w:val="left"/>
        </w:tabs>
        <w:numPr>
          <w:ilvl w:val="1"/>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of Assets. </w:t>
      </w:r>
      <w:r>
        <w:rPr>
          <w:rFonts w:ascii="Arial" w:cs="Arial" w:eastAsia="Arial" w:hAnsi="Arial"/>
          <w:sz w:val="18"/>
          <w:szCs w:val="18"/>
          <w:color w:val="auto"/>
        </w:rPr>
        <w:t>Sell, transfer, lease, or otherwise dispose of any of its assets, except in the ordinary course of business.</w:t>
      </w:r>
    </w:p>
    <w:p>
      <w:pPr>
        <w:spacing w:after="0" w:line="117" w:lineRule="exact"/>
        <w:rPr>
          <w:rFonts w:ascii="Arial" w:cs="Arial" w:eastAsia="Arial" w:hAnsi="Arial"/>
          <w:sz w:val="18"/>
          <w:szCs w:val="18"/>
          <w:b w:val="1"/>
          <w:bCs w:val="1"/>
          <w:color w:val="auto"/>
        </w:rPr>
      </w:pPr>
    </w:p>
    <w:p>
      <w:pPr>
        <w:ind w:right="40" w:firstLine="458"/>
        <w:spacing w:after="0" w:line="281" w:lineRule="auto"/>
        <w:tabs>
          <w:tab w:leader="none" w:pos="925" w:val="left"/>
        </w:tabs>
        <w:numPr>
          <w:ilvl w:val="1"/>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Contingent Liabilities. </w:t>
      </w:r>
      <w:r>
        <w:rPr>
          <w:rFonts w:ascii="Arial" w:cs="Arial" w:eastAsia="Arial" w:hAnsi="Arial"/>
          <w:sz w:val="17"/>
          <w:szCs w:val="17"/>
          <w:color w:val="auto"/>
        </w:rPr>
        <w:t>Assume, guarantee, become liable as a surety, endorse, contingently agree to purchase, or otherwise be or become liable,</w:t>
      </w:r>
      <w:r>
        <w:rPr>
          <w:rFonts w:ascii="Arial" w:cs="Arial" w:eastAsia="Arial" w:hAnsi="Arial"/>
          <w:sz w:val="17"/>
          <w:szCs w:val="17"/>
          <w:b w:val="1"/>
          <w:bCs w:val="1"/>
          <w:color w:val="auto"/>
        </w:rPr>
        <w:t xml:space="preserve"> </w:t>
      </w:r>
      <w:r>
        <w:rPr>
          <w:rFonts w:ascii="Arial" w:cs="Arial" w:eastAsia="Arial" w:hAnsi="Arial"/>
          <w:sz w:val="17"/>
          <w:szCs w:val="17"/>
          <w:color w:val="auto"/>
        </w:rPr>
        <w:t>directly or indirectly (including, but not limited to, by means of a maintenance agreement, an asset or stock purchase agreement, or any other agreement designed to ensure any creditor against loss), for or on account of the obligation of any person or entity, except by the endorsement of negotiable instruments for deposit or collection or similar transactions in the ordinary course of the Company’s business.</w:t>
      </w:r>
    </w:p>
    <w:p>
      <w:pPr>
        <w:spacing w:after="0" w:line="56" w:lineRule="exact"/>
        <w:rPr>
          <w:rFonts w:ascii="Arial" w:cs="Arial" w:eastAsia="Arial" w:hAnsi="Arial"/>
          <w:sz w:val="17"/>
          <w:szCs w:val="17"/>
          <w:b w:val="1"/>
          <w:bCs w:val="1"/>
          <w:color w:val="auto"/>
        </w:rPr>
      </w:pPr>
    </w:p>
    <w:p>
      <w:pPr>
        <w:ind w:right="100" w:firstLine="458"/>
        <w:spacing w:after="0" w:line="282" w:lineRule="auto"/>
        <w:tabs>
          <w:tab w:leader="none" w:pos="915" w:val="left"/>
        </w:tabs>
        <w:numPr>
          <w:ilvl w:val="1"/>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Business. </w:t>
      </w:r>
      <w:r>
        <w:rPr>
          <w:rFonts w:ascii="Arial" w:cs="Arial" w:eastAsia="Arial" w:hAnsi="Arial"/>
          <w:sz w:val="18"/>
          <w:szCs w:val="18"/>
          <w:color w:val="auto"/>
        </w:rPr>
        <w:t>Engage in any business activities or operations substantially different from or unrelated to the Company’s present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or operations.</w:t>
      </w:r>
    </w:p>
    <w:p>
      <w:pPr>
        <w:spacing w:after="0" w:line="54" w:lineRule="exact"/>
        <w:rPr>
          <w:sz w:val="20"/>
          <w:szCs w:val="20"/>
          <w:color w:val="auto"/>
        </w:rPr>
      </w:pPr>
    </w:p>
    <w:p>
      <w:pPr>
        <w:ind w:left="240"/>
        <w:spacing w:after="0"/>
        <w:tabs>
          <w:tab w:leader="none" w:pos="152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6"/>
          <w:szCs w:val="16"/>
          <w:b w:val="1"/>
          <w:bCs w:val="1"/>
          <w:color w:val="auto"/>
        </w:rPr>
        <w:t xml:space="preserve">Financial Covenants. </w:t>
      </w:r>
      <w:r>
        <w:rPr>
          <w:rFonts w:ascii="Arial" w:cs="Arial" w:eastAsia="Arial" w:hAnsi="Arial"/>
          <w:sz w:val="16"/>
          <w:szCs w:val="16"/>
          <w:color w:val="auto"/>
        </w:rPr>
        <w:t>Unless otherwise agreed to in writing, while this Line of Credit Agreement is in effect:</w:t>
      </w:r>
    </w:p>
    <w:p>
      <w:pPr>
        <w:spacing w:after="0" w:line="117" w:lineRule="exact"/>
        <w:rPr>
          <w:sz w:val="20"/>
          <w:szCs w:val="20"/>
          <w:color w:val="auto"/>
        </w:rPr>
      </w:pPr>
    </w:p>
    <w:p>
      <w:pPr>
        <w:ind w:right="200" w:firstLine="458"/>
        <w:spacing w:after="0" w:line="282" w:lineRule="auto"/>
        <w:tabs>
          <w:tab w:leader="none" w:pos="925"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Working Capital. </w:t>
      </w:r>
      <w:r>
        <w:rPr>
          <w:rFonts w:ascii="Arial" w:cs="Arial" w:eastAsia="Arial" w:hAnsi="Arial"/>
          <w:sz w:val="18"/>
          <w:szCs w:val="18"/>
          <w:color w:val="auto"/>
        </w:rPr>
        <w:t>The Company will maintain, on a consolidated basis, current assets in excess of current liabilities of at least Fifteen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($15,000,000), measured on a quarterly basis.</w:t>
      </w:r>
    </w:p>
    <w:p>
      <w:pPr>
        <w:spacing w:after="0" w:line="53" w:lineRule="exact"/>
        <w:rPr>
          <w:rFonts w:ascii="Arial" w:cs="Arial" w:eastAsia="Arial" w:hAnsi="Arial"/>
          <w:sz w:val="18"/>
          <w:szCs w:val="18"/>
          <w:b w:val="1"/>
          <w:bCs w:val="1"/>
          <w:color w:val="auto"/>
        </w:rPr>
      </w:pPr>
    </w:p>
    <w:p>
      <w:pPr>
        <w:ind w:right="140" w:firstLine="458"/>
        <w:spacing w:after="0" w:line="261" w:lineRule="auto"/>
        <w:tabs>
          <w:tab w:leader="none" w:pos="915"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Tangible Net Worth. </w:t>
      </w:r>
      <w:r>
        <w:rPr>
          <w:rFonts w:ascii="Arial" w:cs="Arial" w:eastAsia="Arial" w:hAnsi="Arial"/>
          <w:sz w:val="18"/>
          <w:szCs w:val="18"/>
          <w:color w:val="auto"/>
        </w:rPr>
        <w:t>The Company will maintain, on a consolidated basis, a “Tangible Net Worth” equal to at least Thirty-Two Million Five</w:t>
      </w:r>
      <w:r>
        <w:rPr>
          <w:rFonts w:ascii="Arial" w:cs="Arial" w:eastAsia="Arial" w:hAnsi="Arial"/>
          <w:sz w:val="18"/>
          <w:szCs w:val="18"/>
          <w:b w:val="1"/>
          <w:bCs w:val="1"/>
          <w:color w:val="auto"/>
        </w:rPr>
        <w:t xml:space="preserve"> </w:t>
      </w:r>
      <w:r>
        <w:rPr>
          <w:rFonts w:ascii="Arial" w:cs="Arial" w:eastAsia="Arial" w:hAnsi="Arial"/>
          <w:sz w:val="18"/>
          <w:szCs w:val="18"/>
          <w:color w:val="auto"/>
        </w:rPr>
        <w:t>Hundred Thousand Dollars ($32,500,000.00), measured on a quarterly basis. “Tangible Net Worth” means the value of total assets (including leaseholds and leasehold improvements and reserves against assets but excluding goodwill, patents, trademarks, trade names, organization expense, unamortized debt discount and expense, capitalized or deferred research and development costs, 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0" w:name="page71"/>
    <w:bookmarkEnd w:id="70"/>
    <w:p>
      <w:pPr>
        <w:ind w:left="10940"/>
        <w:spacing w:after="0"/>
        <w:rPr>
          <w:sz w:val="20"/>
          <w:szCs w:val="20"/>
          <w:color w:val="auto"/>
        </w:rPr>
      </w:pPr>
      <w:r>
        <w:rPr>
          <w:rFonts w:ascii="Arial" w:cs="Arial" w:eastAsia="Arial" w:hAnsi="Arial"/>
          <w:sz w:val="15"/>
          <w:szCs w:val="15"/>
          <w:color w:val="auto"/>
        </w:rPr>
        <w:t>Page 9</w:t>
      </w:r>
    </w:p>
    <w:p>
      <w:pPr>
        <w:spacing w:after="0" w:line="233"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 xml:space="preserve">marketing expenses, and other like intangibles, and monies due from affiliates, officers, directors, employees, shareholders, members or managers)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total liabilities, including but not limited to accrued and deferred income taxes, but excluding the non-current portion of Subordinated Liabilities. “Subordinated Liabilities” means liabilities subordinated to the Borrower’s obligations to FCW in a manner acceptable to FCW in its sole discretion.</w:t>
      </w:r>
    </w:p>
    <w:p>
      <w:pPr>
        <w:spacing w:after="0" w:line="53" w:lineRule="exact"/>
        <w:rPr>
          <w:sz w:val="20"/>
          <w:szCs w:val="20"/>
          <w:color w:val="auto"/>
        </w:rPr>
      </w:pPr>
    </w:p>
    <w:p>
      <w:pPr>
        <w:ind w:right="60" w:firstLine="458"/>
        <w:spacing w:after="0" w:line="258" w:lineRule="auto"/>
        <w:tabs>
          <w:tab w:leader="none" w:pos="925"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The Company will maintain an “EBITDA” of at least Seven Million Five Hundred Thousand Dollars ($7,500,000.00). “EBITDA”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means net income, less income or plus loss from discontinued operations and extraordinary items,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income taxes, plus interest expense, plus depreciation, depletion, and amortization. This covenant will be calculated at the end of each reporting period for which FCW requires financial statements, using the results of the twelve-month period ending with that reporting period. The current portion of long-term liabilities will be measured as of the last day of the calculation period.</w:t>
      </w:r>
    </w:p>
    <w:p>
      <w:pPr>
        <w:spacing w:after="0" w:line="76" w:lineRule="exact"/>
        <w:rPr>
          <w:sz w:val="20"/>
          <w:szCs w:val="20"/>
          <w:color w:val="auto"/>
        </w:rPr>
      </w:pPr>
    </w:p>
    <w:p>
      <w:pPr>
        <w:ind w:left="240"/>
        <w:spacing w:after="0"/>
        <w:tabs>
          <w:tab w:leader="none" w:pos="152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6"/>
          <w:szCs w:val="16"/>
          <w:b w:val="1"/>
          <w:bCs w:val="1"/>
          <w:color w:val="auto"/>
        </w:rPr>
        <w:t xml:space="preserve">Events of Default. </w:t>
      </w:r>
      <w:r>
        <w:rPr>
          <w:rFonts w:ascii="Arial" w:cs="Arial" w:eastAsia="Arial" w:hAnsi="Arial"/>
          <w:sz w:val="16"/>
          <w:szCs w:val="16"/>
          <w:color w:val="auto"/>
        </w:rPr>
        <w:t>Each of the following shall constitute an “Event of Default” under this Line of Credit Agreement:</w:t>
      </w:r>
    </w:p>
    <w:p>
      <w:pPr>
        <w:spacing w:after="0" w:line="117" w:lineRule="exact"/>
        <w:rPr>
          <w:sz w:val="20"/>
          <w:szCs w:val="20"/>
          <w:color w:val="auto"/>
        </w:rPr>
      </w:pPr>
    </w:p>
    <w:p>
      <w:pPr>
        <w:ind w:left="940" w:hanging="482"/>
        <w:spacing w:after="0"/>
        <w:tabs>
          <w:tab w:leader="none" w:pos="9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Default. </w:t>
      </w:r>
      <w:r>
        <w:rPr>
          <w:rFonts w:ascii="Arial" w:cs="Arial" w:eastAsia="Arial" w:hAnsi="Arial"/>
          <w:sz w:val="18"/>
          <w:szCs w:val="18"/>
          <w:color w:val="auto"/>
        </w:rPr>
        <w:t>The Company should fail to make any payment when due.</w:t>
      </w:r>
    </w:p>
    <w:p>
      <w:pPr>
        <w:spacing w:after="0" w:line="117" w:lineRule="exact"/>
        <w:rPr>
          <w:rFonts w:ascii="Arial" w:cs="Arial" w:eastAsia="Arial" w:hAnsi="Arial"/>
          <w:sz w:val="18"/>
          <w:szCs w:val="18"/>
          <w:b w:val="1"/>
          <w:bCs w:val="1"/>
          <w:color w:val="auto"/>
        </w:rPr>
      </w:pPr>
    </w:p>
    <w:p>
      <w:pPr>
        <w:ind w:right="120" w:firstLine="458"/>
        <w:spacing w:after="0" w:line="266" w:lineRule="auto"/>
        <w:tabs>
          <w:tab w:leader="none" w:pos="91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Any representation or warranty made or deemed made by the Company herein or in the Note, application,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certificate, or other document related to or furnished in connection with this Line of Credit Agreement or the Note, shall prove to have been false or misleading in any material respect on or as of the date made or deemed made.</w:t>
      </w:r>
    </w:p>
    <w:p>
      <w:pPr>
        <w:spacing w:after="0" w:line="68" w:lineRule="exact"/>
        <w:rPr>
          <w:rFonts w:ascii="Arial" w:cs="Arial" w:eastAsia="Arial" w:hAnsi="Arial"/>
          <w:sz w:val="18"/>
          <w:szCs w:val="18"/>
          <w:b w:val="1"/>
          <w:bCs w:val="1"/>
          <w:color w:val="auto"/>
        </w:rPr>
      </w:pPr>
    </w:p>
    <w:p>
      <w:pPr>
        <w:ind w:right="280" w:firstLine="458"/>
        <w:spacing w:after="0" w:line="266" w:lineRule="auto"/>
        <w:tabs>
          <w:tab w:leader="none" w:pos="92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Affirmative Covenants. </w:t>
      </w:r>
      <w:r>
        <w:rPr>
          <w:rFonts w:ascii="Arial" w:cs="Arial" w:eastAsia="Arial" w:hAnsi="Arial"/>
          <w:sz w:val="18"/>
          <w:szCs w:val="18"/>
          <w:color w:val="auto"/>
        </w:rPr>
        <w:t>The Company or, to the extent required hereunder, any Subsidiary should fail to perform or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Sections 15(A) through 15(G)(2), and 15(G)(6) and such failure continues for 15 days after written notice thereof shall have been delivered by FCW to the Company.</w:t>
      </w:r>
    </w:p>
    <w:p>
      <w:pPr>
        <w:spacing w:after="0" w:line="68" w:lineRule="exact"/>
        <w:rPr>
          <w:rFonts w:ascii="Arial" w:cs="Arial" w:eastAsia="Arial" w:hAnsi="Arial"/>
          <w:sz w:val="18"/>
          <w:szCs w:val="18"/>
          <w:b w:val="1"/>
          <w:bCs w:val="1"/>
          <w:color w:val="auto"/>
        </w:rPr>
      </w:pPr>
    </w:p>
    <w:p>
      <w:pPr>
        <w:ind w:right="260" w:firstLine="458"/>
        <w:spacing w:after="0" w:line="347" w:lineRule="auto"/>
        <w:tabs>
          <w:tab w:leader="none" w:pos="925"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Covenants and Agreements. </w:t>
      </w:r>
      <w:r>
        <w:rPr>
          <w:rFonts w:ascii="Arial" w:cs="Arial" w:eastAsia="Arial" w:hAnsi="Arial"/>
          <w:sz w:val="16"/>
          <w:szCs w:val="16"/>
          <w:color w:val="auto"/>
        </w:rPr>
        <w:t>The Company or, to the extent required hereunder, any Subsidiary should fail to perform or comply with</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covenant or agreement contained herein or in any other Loan Document or shall use the proceeds of any loan for an unauthorized purpose.</w:t>
      </w:r>
    </w:p>
    <w:p>
      <w:pPr>
        <w:spacing w:after="0" w:line="8" w:lineRule="exact"/>
        <w:rPr>
          <w:rFonts w:ascii="Arial" w:cs="Arial" w:eastAsia="Arial" w:hAnsi="Arial"/>
          <w:sz w:val="16"/>
          <w:szCs w:val="16"/>
          <w:b w:val="1"/>
          <w:bCs w:val="1"/>
          <w:color w:val="auto"/>
        </w:rPr>
      </w:pPr>
    </w:p>
    <w:p>
      <w:pPr>
        <w:ind w:right="120" w:firstLine="458"/>
        <w:spacing w:after="0" w:line="282" w:lineRule="auto"/>
        <w:tabs>
          <w:tab w:leader="none" w:pos="91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Cross-Default. </w:t>
      </w:r>
      <w:r>
        <w:rPr>
          <w:rFonts w:ascii="Arial" w:cs="Arial" w:eastAsia="Arial" w:hAnsi="Arial"/>
          <w:sz w:val="18"/>
          <w:szCs w:val="18"/>
          <w:color w:val="auto"/>
        </w:rPr>
        <w:t>The Company should, after any applicable grace period, breach or be in default under the terms of any other agreement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FCW.</w:t>
      </w:r>
    </w:p>
    <w:p>
      <w:pPr>
        <w:spacing w:after="0" w:line="53" w:lineRule="exact"/>
        <w:rPr>
          <w:rFonts w:ascii="Arial" w:cs="Arial" w:eastAsia="Arial" w:hAnsi="Arial"/>
          <w:sz w:val="18"/>
          <w:szCs w:val="18"/>
          <w:b w:val="1"/>
          <w:bCs w:val="1"/>
          <w:color w:val="auto"/>
        </w:rPr>
      </w:pPr>
    </w:p>
    <w:p>
      <w:pPr>
        <w:ind w:right="140" w:firstLine="458"/>
        <w:spacing w:after="0" w:line="258" w:lineRule="auto"/>
        <w:tabs>
          <w:tab w:leader="none" w:pos="90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Indebtedness. </w:t>
      </w:r>
      <w:r>
        <w:rPr>
          <w:rFonts w:ascii="Arial" w:cs="Arial" w:eastAsia="Arial" w:hAnsi="Arial"/>
          <w:sz w:val="18"/>
          <w:szCs w:val="18"/>
          <w:color w:val="auto"/>
        </w:rPr>
        <w:t>The Company or any Subsidiary should fail to pay when due any indebtedness to any other person or entity for borrowed</w:t>
      </w:r>
      <w:r>
        <w:rPr>
          <w:rFonts w:ascii="Arial" w:cs="Arial" w:eastAsia="Arial" w:hAnsi="Arial"/>
          <w:sz w:val="18"/>
          <w:szCs w:val="18"/>
          <w:b w:val="1"/>
          <w:bCs w:val="1"/>
          <w:color w:val="auto"/>
        </w:rPr>
        <w:t xml:space="preserve"> </w:t>
      </w:r>
      <w:r>
        <w:rPr>
          <w:rFonts w:ascii="Arial" w:cs="Arial" w:eastAsia="Arial" w:hAnsi="Arial"/>
          <w:sz w:val="18"/>
          <w:szCs w:val="18"/>
          <w:color w:val="auto"/>
        </w:rPr>
        <w:t>money or any long-term obligation for the deferred purchase price of property (including any capitalized lease), or any other event occurs which, under any agreement or instrument relating to such indebtedness or obligation, has the effect of accelerating or permitting the acceleration of such indebtedness or obligation, whether or not such indebtedness or obligation is actually accelerated or the right to accelerate is conditioned on the giving of notice, the passage of time,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Page 10</w:t>
      </w:r>
    </w:p>
    <w:p>
      <w:pPr>
        <w:spacing w:after="0" w:line="194" w:lineRule="exact"/>
        <w:rPr>
          <w:sz w:val="20"/>
          <w:szCs w:val="20"/>
          <w:color w:val="auto"/>
        </w:rPr>
      </w:pPr>
    </w:p>
    <w:p>
      <w:pPr>
        <w:ind w:left="940" w:hanging="482"/>
        <w:spacing w:after="0"/>
        <w:tabs>
          <w:tab w:leader="none" w:pos="940" w:val="left"/>
        </w:tabs>
        <w:numPr>
          <w:ilvl w:val="1"/>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Judgments. </w:t>
      </w:r>
      <w:r>
        <w:rPr>
          <w:rFonts w:ascii="Arial" w:cs="Arial" w:eastAsia="Arial" w:hAnsi="Arial"/>
          <w:sz w:val="17"/>
          <w:szCs w:val="17"/>
          <w:color w:val="auto"/>
        </w:rPr>
        <w:t>A judgment, decree, or order for the payment of money shall be rendered against the Company or any Subsidiary and either:</w:t>
      </w:r>
    </w:p>
    <w:p>
      <w:pPr>
        <w:spacing w:after="0" w:line="38" w:lineRule="exact"/>
        <w:rPr>
          <w:rFonts w:ascii="Arial" w:cs="Arial" w:eastAsia="Arial" w:hAnsi="Arial"/>
          <w:sz w:val="17"/>
          <w:szCs w:val="17"/>
          <w:b w:val="1"/>
          <w:bCs w:val="1"/>
          <w:color w:val="auto"/>
        </w:rPr>
      </w:pPr>
    </w:p>
    <w:p>
      <w:pPr>
        <w:ind w:right="180" w:firstLine="8"/>
        <w:spacing w:after="0" w:line="255" w:lineRule="auto"/>
        <w:tabs>
          <w:tab w:leader="none" w:pos="2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enforcement proceedings shall have been commenced; (ii) a Lien prohibited under Section 10(B) hereof shall have been obtained; or (iii) such judgment, decree, or order shall continue unsatisfied and in effect for a period of 20 consecutive days without being vacated, discharged, satisfied, or stayed pending appeal.</w:t>
      </w:r>
    </w:p>
    <w:p>
      <w:pPr>
        <w:spacing w:after="0" w:line="78" w:lineRule="exact"/>
        <w:rPr>
          <w:rFonts w:ascii="Arial" w:cs="Arial" w:eastAsia="Arial" w:hAnsi="Arial"/>
          <w:sz w:val="18"/>
          <w:szCs w:val="18"/>
          <w:color w:val="auto"/>
        </w:rPr>
      </w:pPr>
    </w:p>
    <w:p>
      <w:pPr>
        <w:ind w:right="20" w:firstLine="458"/>
        <w:spacing w:after="0" w:line="298" w:lineRule="auto"/>
        <w:tabs>
          <w:tab w:leader="none" w:pos="935" w:val="left"/>
        </w:tabs>
        <w:numPr>
          <w:ilvl w:val="1"/>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Insolvency. </w:t>
      </w:r>
      <w:r>
        <w:rPr>
          <w:rFonts w:ascii="Arial" w:cs="Arial" w:eastAsia="Arial" w:hAnsi="Arial"/>
          <w:sz w:val="16"/>
          <w:szCs w:val="16"/>
          <w:color w:val="auto"/>
        </w:rPr>
        <w:t>The Company or any Subsidiary shall: (i) become insolvent or shall generally not, or shall be unable to, or shall admit in writing its</w:t>
      </w:r>
      <w:r>
        <w:rPr>
          <w:rFonts w:ascii="Arial" w:cs="Arial" w:eastAsia="Arial" w:hAnsi="Arial"/>
          <w:sz w:val="16"/>
          <w:szCs w:val="16"/>
          <w:b w:val="1"/>
          <w:bCs w:val="1"/>
          <w:color w:val="auto"/>
        </w:rPr>
        <w:t xml:space="preserve"> </w:t>
      </w:r>
      <w:r>
        <w:rPr>
          <w:rFonts w:ascii="Arial" w:cs="Arial" w:eastAsia="Arial" w:hAnsi="Arial"/>
          <w:sz w:val="16"/>
          <w:szCs w:val="16"/>
          <w:color w:val="auto"/>
        </w:rPr>
        <w:t>inability to, pay its debts as they come due; or (ii) suspend its business operations or a material part thereof or make an assignment for the benefit of creditors; or (iii) apply for, consent to, or acquiesce in the appointment of a trustee, receiver, or other custodian for it or any of its property or, in the absence of such application, consent, or acquiescence, a trustee, receiver, or other custodian is so appointed; or (iv) commence or have commenced against it any proceeding under any bankruptcy, reorganization, arrangement, readjustment of debt, dissolution, or liquidation Law of any jurisdiction.</w:t>
      </w:r>
    </w:p>
    <w:p>
      <w:pPr>
        <w:spacing w:after="0" w:line="46" w:lineRule="exact"/>
        <w:rPr>
          <w:rFonts w:ascii="Arial" w:cs="Arial" w:eastAsia="Arial" w:hAnsi="Arial"/>
          <w:sz w:val="16"/>
          <w:szCs w:val="16"/>
          <w:b w:val="1"/>
          <w:bCs w:val="1"/>
          <w:color w:val="auto"/>
        </w:rPr>
      </w:pPr>
    </w:p>
    <w:p>
      <w:pPr>
        <w:ind w:right="500" w:firstLine="458"/>
        <w:spacing w:after="0" w:line="313" w:lineRule="auto"/>
        <w:tabs>
          <w:tab w:leader="none" w:pos="865" w:val="left"/>
        </w:tabs>
        <w:numPr>
          <w:ilvl w:val="1"/>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Material Adverse Change. </w:t>
      </w:r>
      <w:r>
        <w:rPr>
          <w:rFonts w:ascii="Arial" w:cs="Arial" w:eastAsia="Arial" w:hAnsi="Arial"/>
          <w:sz w:val="17"/>
          <w:szCs w:val="17"/>
          <w:color w:val="auto"/>
        </w:rPr>
        <w:t>Any material adverse change occurs, as reasonably determined by FCW, in the Company’s financial condition,</w:t>
      </w:r>
      <w:r>
        <w:rPr>
          <w:rFonts w:ascii="Arial" w:cs="Arial" w:eastAsia="Arial" w:hAnsi="Arial"/>
          <w:sz w:val="17"/>
          <w:szCs w:val="17"/>
          <w:b w:val="1"/>
          <w:bCs w:val="1"/>
          <w:color w:val="auto"/>
        </w:rPr>
        <w:t xml:space="preserve"> </w:t>
      </w:r>
      <w:r>
        <w:rPr>
          <w:rFonts w:ascii="Arial" w:cs="Arial" w:eastAsia="Arial" w:hAnsi="Arial"/>
          <w:sz w:val="17"/>
          <w:szCs w:val="17"/>
          <w:color w:val="auto"/>
        </w:rPr>
        <w:t>results of operation, or ability to perform its obligations hereunder or under any instrument or document contemplated hereby.</w:t>
      </w:r>
    </w:p>
    <w:p>
      <w:pPr>
        <w:spacing w:after="0" w:line="30" w:lineRule="exact"/>
        <w:rPr>
          <w:sz w:val="20"/>
          <w:szCs w:val="20"/>
          <w:color w:val="auto"/>
        </w:rPr>
      </w:pPr>
    </w:p>
    <w:p>
      <w:pPr>
        <w:ind w:right="160" w:firstLine="225"/>
        <w:spacing w:after="0" w:line="272" w:lineRule="auto"/>
        <w:rPr>
          <w:sz w:val="20"/>
          <w:szCs w:val="20"/>
          <w:color w:val="auto"/>
        </w:rPr>
      </w:pPr>
      <w:r>
        <w:rPr>
          <w:rFonts w:ascii="Arial" w:cs="Arial" w:eastAsia="Arial" w:hAnsi="Arial"/>
          <w:sz w:val="17"/>
          <w:szCs w:val="17"/>
          <w:b w:val="1"/>
          <w:bCs w:val="1"/>
          <w:color w:val="auto"/>
        </w:rPr>
        <w:t xml:space="preserve">SECTION 19. Remedies. </w:t>
      </w:r>
      <w:r>
        <w:rPr>
          <w:rFonts w:ascii="Arial" w:cs="Arial" w:eastAsia="Arial" w:hAnsi="Arial"/>
          <w:sz w:val="17"/>
          <w:szCs w:val="17"/>
          <w:color w:val="auto"/>
        </w:rPr>
        <w:t>Upon the occurrence and during the continuance of an Event of Default or any Potential Default, FCW shall have no</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 to continue to extend credit to the Company and may discontinue doing so at any time without prior notice. For all purposes hereof, the term “Potential Default” means the occurrence of any event which, with the passage of time or the giving of notice or both would become an Event of Default. In addition, upon the occurrence and during the continuance of any Event of Default, FCW may, upon notice to the Company, terminate any commitment and declare the entire unpaid principal balance of the loans, all accrued interest thereon, and all other amounts payable under this Line of Credit Agreement, all Supplements, and the other Loan Documents to be immediately due and payable. Upon such a declaration, the unpaid principal balance of the loans and all such other amounts shall become immediately due and payable, without protest, presentment, demand, or further notice of any kind, all of which are hereby expressly waived by the Company. In addition, upon such an acceleration:</w:t>
      </w:r>
    </w:p>
    <w:p>
      <w:pPr>
        <w:spacing w:after="0" w:line="64" w:lineRule="exact"/>
        <w:rPr>
          <w:sz w:val="20"/>
          <w:szCs w:val="20"/>
          <w:color w:val="auto"/>
        </w:rPr>
      </w:pPr>
    </w:p>
    <w:p>
      <w:pPr>
        <w:ind w:right="120" w:firstLine="458"/>
        <w:spacing w:after="0" w:line="258" w:lineRule="auto"/>
        <w:tabs>
          <w:tab w:leader="none" w:pos="925"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Enforcement. </w:t>
      </w:r>
      <w:r>
        <w:rPr>
          <w:rFonts w:ascii="Arial" w:cs="Arial" w:eastAsia="Arial" w:hAnsi="Arial"/>
          <w:sz w:val="18"/>
          <w:szCs w:val="18"/>
          <w:color w:val="auto"/>
        </w:rPr>
        <w:t>FCW may proceed to protect, exercise, and enforce such rights and remedies as may be provided by this Line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any other Loan Document or under Law. Each and every one of such rights and remedies shall be cumulative and may be exercised from time to time, and no failure on the part of FCW to exercise, and no delay in exercising, any right or remedy shall operate as a waiver thereof, and no single or partial exercise of any right or remedy shall preclude any other or future exercise thereof, or the exercise of any other right. Without limiting the foregoing, FCW may hold and/or set off and apply against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2" w:name="page73"/>
    <w:bookmarkEnd w:id="72"/>
    <w:p>
      <w:pPr>
        <w:ind w:left="10860"/>
        <w:spacing w:after="0"/>
        <w:rPr>
          <w:sz w:val="20"/>
          <w:szCs w:val="20"/>
          <w:color w:val="auto"/>
        </w:rPr>
      </w:pPr>
      <w:r>
        <w:rPr>
          <w:rFonts w:ascii="Arial" w:cs="Arial" w:eastAsia="Arial" w:hAnsi="Arial"/>
          <w:sz w:val="15"/>
          <w:szCs w:val="15"/>
          <w:color w:val="auto"/>
        </w:rPr>
        <w:t>Page 11</w:t>
      </w:r>
    </w:p>
    <w:p>
      <w:pPr>
        <w:spacing w:after="0" w:line="2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Company’s obligations to FCW any cash collateral held by FCW, or any balances held by FCW for the Company’s account (whether or not such balances are then due).</w:t>
      </w:r>
    </w:p>
    <w:p>
      <w:pPr>
        <w:spacing w:after="0" w:line="58" w:lineRule="exact"/>
        <w:rPr>
          <w:sz w:val="20"/>
          <w:szCs w:val="20"/>
          <w:color w:val="auto"/>
        </w:rPr>
      </w:pPr>
    </w:p>
    <w:p>
      <w:pPr>
        <w:ind w:right="120" w:firstLine="458"/>
        <w:spacing w:after="0" w:line="282" w:lineRule="auto"/>
        <w:tabs>
          <w:tab w:leader="none" w:pos="915"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 of Funds. </w:t>
      </w:r>
      <w:r>
        <w:rPr>
          <w:rFonts w:ascii="Arial" w:cs="Arial" w:eastAsia="Arial" w:hAnsi="Arial"/>
          <w:sz w:val="18"/>
          <w:szCs w:val="18"/>
          <w:color w:val="auto"/>
        </w:rPr>
        <w:t>CoBank may apply all payments received by it to the Company’s obligations to FCW in such order and manner as FCW</w:t>
      </w:r>
      <w:r>
        <w:rPr>
          <w:rFonts w:ascii="Arial" w:cs="Arial" w:eastAsia="Arial" w:hAnsi="Arial"/>
          <w:sz w:val="18"/>
          <w:szCs w:val="18"/>
          <w:b w:val="1"/>
          <w:bCs w:val="1"/>
          <w:color w:val="auto"/>
        </w:rPr>
        <w:t xml:space="preserve"> </w:t>
      </w:r>
      <w:r>
        <w:rPr>
          <w:rFonts w:ascii="Arial" w:cs="Arial" w:eastAsia="Arial" w:hAnsi="Arial"/>
          <w:sz w:val="18"/>
          <w:szCs w:val="18"/>
          <w:color w:val="auto"/>
        </w:rPr>
        <w:t>may elect in its sole discretion.</w:t>
      </w:r>
    </w:p>
    <w:p>
      <w:pPr>
        <w:spacing w:after="0" w:line="58" w:lineRule="exact"/>
        <w:rPr>
          <w:sz w:val="20"/>
          <w:szCs w:val="20"/>
          <w:color w:val="auto"/>
        </w:rPr>
      </w:pPr>
    </w:p>
    <w:p>
      <w:pPr>
        <w:ind w:right="40" w:firstLine="450"/>
        <w:spacing w:after="0" w:line="297" w:lineRule="auto"/>
        <w:rPr>
          <w:sz w:val="20"/>
          <w:szCs w:val="20"/>
          <w:color w:val="auto"/>
        </w:rPr>
      </w:pPr>
      <w:r>
        <w:rPr>
          <w:rFonts w:ascii="Arial" w:cs="Arial" w:eastAsia="Arial" w:hAnsi="Arial"/>
          <w:sz w:val="16"/>
          <w:szCs w:val="16"/>
          <w:color w:val="auto"/>
        </w:rPr>
        <w:t>In addition to the rights and remedies set forth above: (i) if the Company fails to make any payment when due, then at FCW’s option in each instance, such payment shall bear interest from the date due to the date paid at 2% per annum in excess of the rate(s) of interest that would otherwise be in effect on that loan; and (ii) after the maturity of any loan (whether as a result of acceleration or otherwise), the unpaid principal balance of such loan (including without limitation, principal, interest, fees and expenses) shall automatically bear interest at 2% per annum in excess of the rate(s) of interest that would otherwise be in effect on that loan. All interest provided for herein shall be payable on demand and shall be calculated on the basis of a year consisting of 365 days.</w:t>
      </w:r>
    </w:p>
    <w:p>
      <w:pPr>
        <w:spacing w:after="0" w:line="46"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b w:val="1"/>
          <w:bCs w:val="1"/>
          <w:color w:val="auto"/>
        </w:rPr>
        <w:t xml:space="preserve">SECTION 20. Broken Funding Surcharge. </w:t>
      </w:r>
      <w:r>
        <w:rPr>
          <w:rFonts w:ascii="Arial" w:cs="Arial" w:eastAsia="Arial" w:hAnsi="Arial"/>
          <w:sz w:val="16"/>
          <w:szCs w:val="16"/>
          <w:color w:val="auto"/>
        </w:rPr>
        <w:t>Notwithstanding any provision contained in the Note giving the Company the right to repay any loan prior</w:t>
      </w:r>
      <w:r>
        <w:rPr>
          <w:rFonts w:ascii="Arial" w:cs="Arial" w:eastAsia="Arial" w:hAnsi="Arial"/>
          <w:sz w:val="16"/>
          <w:szCs w:val="16"/>
          <w:b w:val="1"/>
          <w:bCs w:val="1"/>
          <w:color w:val="auto"/>
        </w:rPr>
        <w:t xml:space="preserve"> </w:t>
      </w:r>
      <w:r>
        <w:rPr>
          <w:rFonts w:ascii="Arial" w:cs="Arial" w:eastAsia="Arial" w:hAnsi="Arial"/>
          <w:sz w:val="16"/>
          <w:szCs w:val="16"/>
          <w:color w:val="auto"/>
        </w:rPr>
        <w:t>to the date it would otherwise be due and payable, the Company agrees to provide three Business Days’ prior written notice for any prepayment of a fixed rate balance and that in the event it repays any fixed rate balance prior to its scheduled due date or prior to the last day of the fixed rate period applicable thereto (whether such payment is made voluntarily, as a result of an acceleration, or otherwise), the Company will pay to CoBank a surcharge in an amount equal to the greater of: (i) an amount which would result in FCW being made whole (on a present value basis) for the actual or imputed funding losses incurred by FCW as a result thereof; or (ii) $300.00. Notwithstanding the foregoing, in the event any fixed rate balance is repaid as a result of the Company refinancing the loan with another lender or by other means, then in lieu of the foregoing, the Company shall pay to CoBank a surcharge in an amount sufficient (on a present value basis) to enable FCW to maintain the yield it would have earned during the fixed rate period on the amount repaid. Such surcharges will be calculated in accordance with methodology established by FCW (a copy of which will be made available to the Company upon request).</w:t>
      </w:r>
    </w:p>
    <w:p>
      <w:pPr>
        <w:spacing w:after="0" w:line="52"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b w:val="1"/>
          <w:bCs w:val="1"/>
          <w:color w:val="auto"/>
        </w:rPr>
        <w:t xml:space="preserve">SECTION 21. Complete Agreement, Amendments. </w:t>
      </w:r>
      <w:r>
        <w:rPr>
          <w:rFonts w:ascii="Arial" w:cs="Arial" w:eastAsia="Arial" w:hAnsi="Arial"/>
          <w:sz w:val="18"/>
          <w:szCs w:val="18"/>
          <w:color w:val="auto"/>
        </w:rPr>
        <w:t>This Line of Credit Agreement, the Note, and all other instruments and documents contemplated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and thereby, are intended by the parties to be a complete and final expression of their agreement. No amendment, modification, or waiver of any provision hereof or thereof, and no consent to any departure by the Company herefrom or therefrom, shall be effective unless approved by FCW and contained in a writing signed by or on behalf of FCW, and then such waiver or consent shall be effective only in the specific instance and for the specific purpose for which given. Additionally, any headings used in this Line of Credit Agreement are inserted only as a matter of convenience and for reference, and in no way define, limit or describe the scope or intent of any term or provision. As used herein, the word “including” means “including without limitation” and/or “including but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3" w:name="page74"/>
    <w:bookmarkEnd w:id="73"/>
    <w:p>
      <w:pPr>
        <w:ind w:left="10840"/>
        <w:spacing w:after="0"/>
        <w:rPr>
          <w:sz w:val="20"/>
          <w:szCs w:val="20"/>
          <w:color w:val="auto"/>
        </w:rPr>
      </w:pPr>
      <w:r>
        <w:rPr>
          <w:rFonts w:ascii="Arial" w:cs="Arial" w:eastAsia="Arial" w:hAnsi="Arial"/>
          <w:sz w:val="15"/>
          <w:szCs w:val="15"/>
          <w:color w:val="auto"/>
        </w:rPr>
        <w:t>Page 12</w:t>
      </w:r>
    </w:p>
    <w:p>
      <w:pPr>
        <w:spacing w:after="0" w:line="229" w:lineRule="exact"/>
        <w:rPr>
          <w:sz w:val="20"/>
          <w:szCs w:val="20"/>
          <w:color w:val="auto"/>
        </w:rPr>
      </w:pPr>
    </w:p>
    <w:p>
      <w:pPr>
        <w:ind w:right="60" w:firstLine="225"/>
        <w:spacing w:after="0" w:line="282" w:lineRule="auto"/>
        <w:rPr>
          <w:sz w:val="20"/>
          <w:szCs w:val="20"/>
          <w:color w:val="auto"/>
        </w:rPr>
      </w:pPr>
      <w:r>
        <w:rPr>
          <w:rFonts w:ascii="Arial" w:cs="Arial" w:eastAsia="Arial" w:hAnsi="Arial"/>
          <w:sz w:val="18"/>
          <w:szCs w:val="18"/>
          <w:b w:val="1"/>
          <w:bCs w:val="1"/>
          <w:color w:val="auto"/>
        </w:rPr>
        <w:t xml:space="preserve">SECTION 22. Applicable Law. </w:t>
      </w:r>
      <w:r>
        <w:rPr>
          <w:rFonts w:ascii="Arial" w:cs="Arial" w:eastAsia="Arial" w:hAnsi="Arial"/>
          <w:sz w:val="18"/>
          <w:szCs w:val="18"/>
          <w:color w:val="auto"/>
        </w:rPr>
        <w:t>Except to the extent governed by applicable federal law, this Line of Credit Agreement and the Note shall be governed</w:t>
      </w:r>
      <w:r>
        <w:rPr>
          <w:rFonts w:ascii="Arial" w:cs="Arial" w:eastAsia="Arial" w:hAnsi="Arial"/>
          <w:sz w:val="18"/>
          <w:szCs w:val="18"/>
          <w:b w:val="1"/>
          <w:bCs w:val="1"/>
          <w:color w:val="auto"/>
        </w:rPr>
        <w:t xml:space="preserve"> </w:t>
      </w:r>
      <w:r>
        <w:rPr>
          <w:rFonts w:ascii="Arial" w:cs="Arial" w:eastAsia="Arial" w:hAnsi="Arial"/>
          <w:sz w:val="18"/>
          <w:szCs w:val="18"/>
          <w:color w:val="auto"/>
        </w:rPr>
        <w:t>by and construed in accordance with the laws of the State of California, without reference to choice of law doctrine.</w:t>
      </w:r>
    </w:p>
    <w:p>
      <w:pPr>
        <w:spacing w:after="0" w:line="54" w:lineRule="exact"/>
        <w:rPr>
          <w:sz w:val="20"/>
          <w:szCs w:val="20"/>
          <w:color w:val="auto"/>
        </w:rPr>
      </w:pPr>
    </w:p>
    <w:p>
      <w:pPr>
        <w:ind w:right="160" w:firstLine="225"/>
        <w:spacing w:after="0" w:line="266" w:lineRule="auto"/>
        <w:rPr>
          <w:sz w:val="20"/>
          <w:szCs w:val="20"/>
          <w:color w:val="auto"/>
        </w:rPr>
      </w:pPr>
      <w:r>
        <w:rPr>
          <w:rFonts w:ascii="Arial" w:cs="Arial" w:eastAsia="Arial" w:hAnsi="Arial"/>
          <w:sz w:val="18"/>
          <w:szCs w:val="18"/>
          <w:b w:val="1"/>
          <w:bCs w:val="1"/>
          <w:color w:val="auto"/>
        </w:rPr>
        <w:t xml:space="preserve">SECTION 23. Notices. </w:t>
      </w:r>
      <w:r>
        <w:rPr>
          <w:rFonts w:ascii="Arial" w:cs="Arial" w:eastAsia="Arial" w:hAnsi="Arial"/>
          <w:sz w:val="18"/>
          <w:szCs w:val="18"/>
          <w:color w:val="auto"/>
        </w:rPr>
        <w:t>All notices hereunder shall be in writing and shall be deemed to be duly given upon delivery if personally delivered or sent by</w:t>
      </w:r>
      <w:r>
        <w:rPr>
          <w:rFonts w:ascii="Arial" w:cs="Arial" w:eastAsia="Arial" w:hAnsi="Arial"/>
          <w:sz w:val="18"/>
          <w:szCs w:val="18"/>
          <w:b w:val="1"/>
          <w:bCs w:val="1"/>
          <w:color w:val="auto"/>
        </w:rPr>
        <w:t xml:space="preserve"> </w:t>
      </w:r>
      <w:r>
        <w:rPr>
          <w:rFonts w:ascii="Arial" w:cs="Arial" w:eastAsia="Arial" w:hAnsi="Arial"/>
          <w:sz w:val="18"/>
          <w:szCs w:val="18"/>
          <w:color w:val="auto"/>
        </w:rPr>
        <w:t>telegram or facsimile transmission, or 3 days after mailing if sent by express, certified or registered mail, to the parties at the following addresses (or such other address for a party as shall be specified by like notice):</w:t>
      </w:r>
    </w:p>
    <w:p>
      <w:pPr>
        <w:sectPr>
          <w:pgSz w:w="11900" w:h="16838" w:orient="portrait"/>
          <w:cols w:equalWidth="0" w:num="1">
            <w:col w:w="11420"/>
          </w:cols>
          <w:pgMar w:left="240" w:top="935" w:right="2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If to FCW, as follows: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If to the Company, as follows:</w:t>
      </w:r>
    </w:p>
    <w:p>
      <w:pPr>
        <w:spacing w:after="0" w:line="200" w:lineRule="exact"/>
        <w:rPr>
          <w:sz w:val="20"/>
          <w:szCs w:val="20"/>
          <w:color w:val="auto"/>
        </w:rPr>
      </w:pPr>
    </w:p>
    <w:p>
      <w:pPr>
        <w:sectPr>
          <w:pgSz w:w="11900" w:h="16838" w:orient="portrait"/>
          <w:cols w:equalWidth="0" w:num="2">
            <w:col w:w="5240" w:space="720"/>
            <w:col w:w="5460"/>
          </w:cols>
          <w:pgMar w:left="240" w:top="93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Farm Credit West, PCA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2929 W. Main Street, Suite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Visalia, CA 93291-5700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James Neeley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 No.: 559-627-4728</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Attn: Vice President-Finance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1141-A Cummings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Paula, CA 93060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(805) 921-3232</w:t>
      </w:r>
    </w:p>
    <w:p>
      <w:pPr>
        <w:spacing w:after="0" w:line="315" w:lineRule="exact"/>
        <w:rPr>
          <w:sz w:val="20"/>
          <w:szCs w:val="20"/>
          <w:color w:val="auto"/>
        </w:rPr>
      </w:pPr>
    </w:p>
    <w:p>
      <w:pPr>
        <w:sectPr>
          <w:pgSz w:w="11900" w:h="16838" w:orient="portrait"/>
          <w:cols w:equalWidth="0" w:num="2">
            <w:col w:w="5240" w:space="720"/>
            <w:col w:w="5460"/>
          </w:cols>
          <w:pgMar w:left="240" w:top="935" w:right="239" w:bottom="1440" w:gutter="0" w:footer="0" w:header="0"/>
          <w:type w:val="continuous"/>
        </w:sectPr>
      </w:pPr>
    </w:p>
    <w:p>
      <w:pPr>
        <w:ind w:right="300" w:firstLine="225"/>
        <w:spacing w:after="0" w:line="258" w:lineRule="auto"/>
        <w:rPr>
          <w:sz w:val="20"/>
          <w:szCs w:val="20"/>
          <w:color w:val="auto"/>
        </w:rPr>
      </w:pPr>
      <w:r>
        <w:rPr>
          <w:rFonts w:ascii="Arial" w:cs="Arial" w:eastAsia="Arial" w:hAnsi="Arial"/>
          <w:sz w:val="18"/>
          <w:szCs w:val="18"/>
          <w:b w:val="1"/>
          <w:bCs w:val="1"/>
          <w:color w:val="auto"/>
        </w:rPr>
        <w:t xml:space="preserve">SECTION 24. Taxes and Expenses. </w:t>
      </w:r>
      <w:r>
        <w:rPr>
          <w:rFonts w:ascii="Arial" w:cs="Arial" w:eastAsia="Arial" w:hAnsi="Arial"/>
          <w:sz w:val="18"/>
          <w:szCs w:val="18"/>
          <w:color w:val="auto"/>
        </w:rPr>
        <w:t>To the extent allowed by law, the Company agrees to pay all reasonable out-of-pocket costs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fees and expenses of counsel retained by FCW) incurred by FCW in connection with the administration, collection, and enforcement of this Line of Credit Agreement and the other Loan Documents, including, without limitation, all costs and expenses incurred in perfecting, maintaining, determining the priority of, and releasing any security for the Company’s obligations to FCW, and any stamp, intangible, transfer, or like tax payable in connection with this Line of Credit Agreement or any other Loan Document.</w:t>
      </w:r>
    </w:p>
    <w:p>
      <w:pPr>
        <w:spacing w:after="0" w:line="76" w:lineRule="exact"/>
        <w:rPr>
          <w:sz w:val="20"/>
          <w:szCs w:val="20"/>
          <w:color w:val="auto"/>
        </w:rPr>
      </w:pPr>
    </w:p>
    <w:p>
      <w:pPr>
        <w:ind w:right="20" w:firstLine="225"/>
        <w:spacing w:after="0" w:line="258" w:lineRule="auto"/>
        <w:rPr>
          <w:sz w:val="20"/>
          <w:szCs w:val="20"/>
          <w:color w:val="auto"/>
        </w:rPr>
      </w:pPr>
      <w:r>
        <w:rPr>
          <w:rFonts w:ascii="Arial" w:cs="Arial" w:eastAsia="Arial" w:hAnsi="Arial"/>
          <w:sz w:val="18"/>
          <w:szCs w:val="18"/>
          <w:b w:val="1"/>
          <w:bCs w:val="1"/>
          <w:color w:val="auto"/>
        </w:rPr>
        <w:t xml:space="preserve">SECTION 25. Effectiveness and Severability. </w:t>
      </w:r>
      <w:r>
        <w:rPr>
          <w:rFonts w:ascii="Arial" w:cs="Arial" w:eastAsia="Arial" w:hAnsi="Arial"/>
          <w:sz w:val="18"/>
          <w:szCs w:val="18"/>
          <w:color w:val="auto"/>
        </w:rPr>
        <w:t>This Line of Credit Agreement shall continue in effect until: (i) all indebtedness and obligations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this Line of Credit Agreement, the Note, and all other Loan Documents shall have been paid or satisfied; and (ii) FCW has no commitment to extend credit to or for the account of the Company hereunder. Any provision of this Line of Credit Agreement or any other Loan Document which is prohibited or unenforceable in any jurisdiction shall, as to such jurisdiction, be ineffective to the extent of such prohibition or unenforceability without invalidating the remaining provisions hereof or thereof.</w:t>
      </w:r>
    </w:p>
    <w:p>
      <w:pPr>
        <w:spacing w:after="0" w:line="76" w:lineRule="exact"/>
        <w:rPr>
          <w:sz w:val="20"/>
          <w:szCs w:val="20"/>
          <w:color w:val="auto"/>
        </w:rPr>
      </w:pPr>
    </w:p>
    <w:p>
      <w:pPr>
        <w:ind w:right="60" w:firstLine="225"/>
        <w:spacing w:after="0" w:line="289" w:lineRule="auto"/>
        <w:rPr>
          <w:sz w:val="20"/>
          <w:szCs w:val="20"/>
          <w:color w:val="auto"/>
        </w:rPr>
      </w:pPr>
      <w:r>
        <w:rPr>
          <w:rFonts w:ascii="Arial" w:cs="Arial" w:eastAsia="Arial" w:hAnsi="Arial"/>
          <w:sz w:val="17"/>
          <w:szCs w:val="17"/>
          <w:b w:val="1"/>
          <w:bCs w:val="1"/>
          <w:color w:val="auto"/>
        </w:rPr>
        <w:t xml:space="preserve">SECTION 26. Successors and Assigns. </w:t>
      </w:r>
      <w:r>
        <w:rPr>
          <w:rFonts w:ascii="Arial" w:cs="Arial" w:eastAsia="Arial" w:hAnsi="Arial"/>
          <w:sz w:val="17"/>
          <w:szCs w:val="17"/>
          <w:color w:val="auto"/>
        </w:rPr>
        <w:t>This Line of Credit Agreement, the Note, and the other Loan Documents shall be binding upon and inure to</w:t>
      </w:r>
      <w:r>
        <w:rPr>
          <w:rFonts w:ascii="Arial" w:cs="Arial" w:eastAsia="Arial" w:hAnsi="Arial"/>
          <w:sz w:val="17"/>
          <w:szCs w:val="17"/>
          <w:b w:val="1"/>
          <w:bCs w:val="1"/>
          <w:color w:val="auto"/>
        </w:rPr>
        <w:t xml:space="preserve"> </w:t>
      </w:r>
      <w:r>
        <w:rPr>
          <w:rFonts w:ascii="Arial" w:cs="Arial" w:eastAsia="Arial" w:hAnsi="Arial"/>
          <w:sz w:val="17"/>
          <w:szCs w:val="17"/>
          <w:color w:val="auto"/>
        </w:rPr>
        <w:t>the benefit of the Company and FCW and their respective successors and assigns, except that the Company may not assign or transfer its rights or obligations under this Line of Credit Agreement, the Note or any other Loan Document without the prior written consent of FCW.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74" w:name="page75"/>
    <w:bookmarkEnd w:id="74"/>
    <w:p>
      <w:pPr>
        <w:ind w:left="10840"/>
        <w:spacing w:after="0"/>
        <w:rPr>
          <w:sz w:val="20"/>
          <w:szCs w:val="20"/>
          <w:color w:val="auto"/>
        </w:rPr>
      </w:pPr>
      <w:r>
        <w:rPr>
          <w:rFonts w:ascii="Arial" w:cs="Arial" w:eastAsia="Arial" w:hAnsi="Arial"/>
          <w:sz w:val="15"/>
          <w:szCs w:val="15"/>
          <w:color w:val="auto"/>
        </w:rPr>
        <w:t>Page 13</w:t>
      </w:r>
    </w:p>
    <w:p>
      <w:pPr>
        <w:spacing w:after="0" w:line="229"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b w:val="1"/>
          <w:bCs w:val="1"/>
          <w:color w:val="auto"/>
        </w:rPr>
        <w:t xml:space="preserve">SECTION 27. Participations. </w:t>
      </w:r>
      <w:r>
        <w:rPr>
          <w:rFonts w:ascii="Arial" w:cs="Arial" w:eastAsia="Arial" w:hAnsi="Arial"/>
          <w:sz w:val="18"/>
          <w:szCs w:val="18"/>
          <w:color w:val="auto"/>
        </w:rPr>
        <w:t>From time to time, FCW may sell to one or more banks, financial institutions or other lenders a participation in all or a</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 Commitment or other extensions of credit made pursuant to this Line of Credit Agreement. However, no such participation shall relieve FCW of any commitment made to the Company hereunder, or any obligation FCW may have to pay patronage due the Company from FCW under the provisions of the bylaws of FCW and its practices and procedures related to patronage distribution. In connection with the foregoing, FCW may disclose information concerning the Company and its Subsidiaries to any participant or prospective participant, provided that such participant or prospective participant agrees to keep such information confidential. Accordingly, all interests in the Commitment that is included in a sale of participation interests shall not be entitled to patronage distributions. A sale of participation interest may include certain voting rights of the participants regarding the Commitment hereunder (including without limitation the administration, servicing and enforcement thereof). FCW agrees to give written notification to the Company of any sale of participation interests.</w:t>
      </w:r>
    </w:p>
    <w:p>
      <w:pPr>
        <w:spacing w:after="0" w:line="81" w:lineRule="exact"/>
        <w:rPr>
          <w:sz w:val="20"/>
          <w:szCs w:val="20"/>
          <w:color w:val="auto"/>
        </w:rPr>
      </w:pPr>
    </w:p>
    <w:p>
      <w:pPr>
        <w:ind w:right="500" w:firstLine="45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Line of Credit Agreement to be executed by their duly authorized officers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shown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FARM CREDIT WEST, PCA</w:t>
            </w:r>
          </w:p>
        </w:tc>
        <w:tc>
          <w:tcPr>
            <w:tcW w:w="7760" w:type="dxa"/>
            <w:vAlign w:val="bottom"/>
            <w:gridSpan w:val="2"/>
          </w:tcPr>
          <w:p>
            <w:pPr>
              <w:ind w:left="660"/>
              <w:spacing w:after="0"/>
              <w:rPr>
                <w:sz w:val="20"/>
                <w:szCs w:val="20"/>
                <w:color w:val="auto"/>
              </w:rPr>
            </w:pPr>
            <w:r>
              <w:rPr>
                <w:rFonts w:ascii="Arial" w:cs="Arial" w:eastAsia="Arial" w:hAnsi="Arial"/>
                <w:sz w:val="18"/>
                <w:szCs w:val="18"/>
                <w:b w:val="1"/>
                <w:bCs w:val="1"/>
                <w:color w:val="auto"/>
              </w:rPr>
              <w:t>CALAVO GROWERS, INC., a California</w:t>
            </w:r>
          </w:p>
        </w:tc>
      </w:tr>
      <w:tr>
        <w:trPr>
          <w:trHeight w:val="234"/>
        </w:trPr>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760" w:type="dxa"/>
            <w:vAlign w:val="bottom"/>
            <w:gridSpan w:val="2"/>
          </w:tcPr>
          <w:p>
            <w:pPr>
              <w:ind w:left="660"/>
              <w:spacing w:after="0"/>
              <w:rPr>
                <w:sz w:val="20"/>
                <w:szCs w:val="20"/>
                <w:color w:val="auto"/>
              </w:rPr>
            </w:pPr>
            <w:r>
              <w:rPr>
                <w:rFonts w:ascii="Arial" w:cs="Arial" w:eastAsia="Arial" w:hAnsi="Arial"/>
                <w:sz w:val="18"/>
                <w:szCs w:val="18"/>
                <w:b w:val="1"/>
                <w:bCs w:val="1"/>
                <w:color w:val="auto"/>
              </w:rPr>
              <w:t>Corporation</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rPr>
              <w:t>/s/James K. Neeley</w:t>
            </w:r>
          </w:p>
        </w:tc>
        <w:tc>
          <w:tcPr>
            <w:tcW w:w="1460" w:type="dxa"/>
            <w:vAlign w:val="bottom"/>
          </w:tcPr>
          <w:p>
            <w:pPr>
              <w:ind w:left="660"/>
              <w:spacing w:after="0"/>
              <w:rPr>
                <w:sz w:val="20"/>
                <w:szCs w:val="20"/>
                <w:color w:val="auto"/>
              </w:rPr>
            </w:pPr>
            <w:r>
              <w:rPr>
                <w:rFonts w:ascii="Arial" w:cs="Arial" w:eastAsia="Arial" w:hAnsi="Arial"/>
                <w:sz w:val="18"/>
                <w:szCs w:val="18"/>
                <w:color w:val="auto"/>
              </w:rPr>
              <w:t>By:</w:t>
            </w:r>
          </w:p>
        </w:tc>
        <w:tc>
          <w:tcPr>
            <w:tcW w:w="6300" w:type="dxa"/>
            <w:vAlign w:val="bottom"/>
          </w:tcPr>
          <w:p>
            <w:pPr>
              <w:spacing w:after="0"/>
              <w:rPr>
                <w:sz w:val="20"/>
                <w:szCs w:val="20"/>
                <w:color w:val="auto"/>
              </w:rPr>
            </w:pPr>
            <w:r>
              <w:rPr>
                <w:rFonts w:ascii="Arial" w:cs="Arial" w:eastAsia="Arial" w:hAnsi="Arial"/>
                <w:sz w:val="18"/>
                <w:szCs w:val="18"/>
                <w:color w:val="auto"/>
              </w:rPr>
              <w:t>/s/ Arthur J. Bruno</w:t>
            </w:r>
          </w:p>
        </w:tc>
      </w:tr>
      <w:tr>
        <w:trPr>
          <w:trHeight w:val="209"/>
        </w:trPr>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6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Arthur J. Bruno,</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rPr>
              <w:t>Vice-President</w:t>
            </w:r>
          </w:p>
        </w:tc>
        <w:tc>
          <w:tcPr>
            <w:tcW w:w="1460" w:type="dxa"/>
            <w:vAlign w:val="bottom"/>
          </w:tcPr>
          <w:p>
            <w:pPr>
              <w:ind w:left="660"/>
              <w:spacing w:after="0"/>
              <w:rPr>
                <w:sz w:val="20"/>
                <w:szCs w:val="20"/>
                <w:color w:val="auto"/>
              </w:rPr>
            </w:pPr>
            <w:r>
              <w:rPr>
                <w:rFonts w:ascii="Arial" w:cs="Arial" w:eastAsia="Arial" w:hAnsi="Arial"/>
                <w:sz w:val="18"/>
                <w:szCs w:val="18"/>
                <w:color w:val="auto"/>
              </w:rPr>
              <w:t>Title:</w:t>
            </w:r>
          </w:p>
        </w:tc>
        <w:tc>
          <w:tcPr>
            <w:tcW w:w="6300" w:type="dxa"/>
            <w:vAlign w:val="bottom"/>
          </w:tcPr>
          <w:p>
            <w:pPr>
              <w:spacing w:after="0"/>
              <w:rPr>
                <w:sz w:val="20"/>
                <w:szCs w:val="20"/>
                <w:color w:val="auto"/>
              </w:rPr>
            </w:pPr>
            <w:r>
              <w:rPr>
                <w:rFonts w:ascii="Arial" w:cs="Arial" w:eastAsia="Arial" w:hAnsi="Arial"/>
                <w:sz w:val="18"/>
                <w:szCs w:val="18"/>
                <w:color w:val="auto"/>
              </w:rPr>
              <w:t>Chief Financial Officer &amp; Secretary</w:t>
            </w:r>
          </w:p>
        </w:tc>
      </w:tr>
      <w:tr>
        <w:trPr>
          <w:trHeight w:val="439"/>
        </w:trPr>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tcBorders>
              <w:top w:val="single" w:sz="8" w:color="auto"/>
            </w:tcBorders>
          </w:tcPr>
          <w:p>
            <w:pPr>
              <w:spacing w:after="0"/>
              <w:rPr>
                <w:sz w:val="24"/>
                <w:szCs w:val="24"/>
                <w:color w:val="auto"/>
              </w:rPr>
            </w:pPr>
          </w:p>
        </w:tc>
        <w:tc>
          <w:tcPr>
            <w:tcW w:w="1460" w:type="dxa"/>
            <w:vAlign w:val="bottom"/>
          </w:tcPr>
          <w:p>
            <w:pPr>
              <w:ind w:left="660"/>
              <w:spacing w:after="0"/>
              <w:rPr>
                <w:sz w:val="20"/>
                <w:szCs w:val="20"/>
                <w:color w:val="auto"/>
              </w:rPr>
            </w:pPr>
            <w:r>
              <w:rPr>
                <w:rFonts w:ascii="Arial" w:cs="Arial" w:eastAsia="Arial" w:hAnsi="Arial"/>
                <w:sz w:val="18"/>
                <w:szCs w:val="18"/>
                <w:color w:val="auto"/>
              </w:rPr>
              <w:t>By:</w:t>
            </w: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H. Runge</w:t>
            </w:r>
          </w:p>
        </w:tc>
      </w:tr>
      <w:tr>
        <w:trPr>
          <w:trHeight w:val="209"/>
        </w:trPr>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Scott H. Runge,</w:t>
            </w:r>
          </w:p>
        </w:tc>
      </w:tr>
      <w:tr>
        <w:trPr>
          <w:trHeight w:val="230"/>
        </w:trPr>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60" w:type="dxa"/>
            <w:vAlign w:val="bottom"/>
          </w:tcPr>
          <w:p>
            <w:pPr>
              <w:ind w:left="660"/>
              <w:spacing w:after="0"/>
              <w:rPr>
                <w:sz w:val="20"/>
                <w:szCs w:val="20"/>
                <w:color w:val="auto"/>
              </w:rPr>
            </w:pPr>
            <w:r>
              <w:rPr>
                <w:rFonts w:ascii="Arial" w:cs="Arial" w:eastAsia="Arial" w:hAnsi="Arial"/>
                <w:sz w:val="18"/>
                <w:szCs w:val="18"/>
                <w:color w:val="auto"/>
              </w:rPr>
              <w:t>Title</w:t>
            </w:r>
          </w:p>
        </w:tc>
        <w:tc>
          <w:tcPr>
            <w:tcW w:w="6300" w:type="dxa"/>
            <w:vAlign w:val="bottom"/>
          </w:tcPr>
          <w:p>
            <w:pPr>
              <w:spacing w:after="0"/>
              <w:rPr>
                <w:sz w:val="20"/>
                <w:szCs w:val="20"/>
                <w:color w:val="auto"/>
              </w:rPr>
            </w:pPr>
            <w:r>
              <w:rPr>
                <w:rFonts w:ascii="Arial" w:cs="Arial" w:eastAsia="Arial" w:hAnsi="Arial"/>
                <w:sz w:val="18"/>
                <w:szCs w:val="18"/>
                <w:color w:val="auto"/>
              </w:rPr>
              <w:t>Treasurer</w:t>
            </w:r>
          </w:p>
        </w:tc>
      </w:tr>
    </w:tbl>
    <w:p>
      <w:pPr>
        <w:sectPr>
          <w:pgSz w:w="11900" w:h="16838" w:orient="portrait"/>
          <w:cols w:equalWidth="0" w:num="1">
            <w:col w:w="11420"/>
          </w:cols>
          <w:pgMar w:left="240" w:top="936"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10.16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18,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Arthur J. Bruno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1141A Cummings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Paula, California 93060</w:t>
      </w:r>
    </w:p>
    <w:p>
      <w:pPr>
        <w:spacing w:after="0" w:line="103" w:lineRule="exact"/>
        <w:rPr>
          <w:sz w:val="20"/>
          <w:szCs w:val="20"/>
          <w:color w:val="auto"/>
        </w:rPr>
      </w:pPr>
    </w:p>
    <w:p>
      <w:pPr>
        <w:ind w:left="700" w:right="4060"/>
        <w:spacing w:after="0" w:line="277" w:lineRule="auto"/>
        <w:rPr>
          <w:sz w:val="20"/>
          <w:szCs w:val="20"/>
          <w:color w:val="auto"/>
        </w:rPr>
      </w:pPr>
      <w:r>
        <w:rPr>
          <w:rFonts w:ascii="Arial" w:cs="Arial" w:eastAsia="Arial" w:hAnsi="Arial"/>
          <w:sz w:val="18"/>
          <w:szCs w:val="18"/>
          <w:color w:val="auto"/>
        </w:rPr>
        <w:t>Re: Renewal Notice for Business Loan Agreement, dated as of January 30, 2004, between Bank of America and Calavo Growers,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Pursuant to Section 1.2 of the above referenced Business Loan Agreement, the “Expiration Date” thereunder is hereby extended to April 1, 2008 or such earlier date as the availability may terminate as provided in such Business Loan Agreement.</w:t>
      </w:r>
    </w:p>
    <w:p>
      <w:pPr>
        <w:spacing w:after="0" w:line="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this is to confirm that the term “current liabilities” as used in Section 7.18 of such Business Loan Agreement includes amounts outstanding on revolving lines of credit without regard to the ultimate maturity of such line of credit.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Please acknowledge the foregoing by signing the enclosed copy of this letter at the place indicated and returning it to us.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Robert L. Munn, Jr.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Receipt of the foregoing letter on November 22, 2005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 hereby acknowledged: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Calavo Growers,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6220" w:type="dxa"/>
            <w:vAlign w:val="bottom"/>
          </w:tcPr>
          <w:p>
            <w:pPr>
              <w:spacing w:after="0"/>
              <w:rPr>
                <w:sz w:val="20"/>
                <w:szCs w:val="20"/>
                <w:color w:val="auto"/>
              </w:rPr>
            </w:pPr>
            <w:r>
              <w:rPr>
                <w:rFonts w:ascii="Arial" w:cs="Arial" w:eastAsia="Arial" w:hAnsi="Arial"/>
                <w:sz w:val="18"/>
                <w:szCs w:val="18"/>
                <w:color w:val="auto"/>
              </w:rPr>
              <w:t>/s/ Arthur J. Bruno</w:t>
            </w:r>
          </w:p>
        </w:tc>
        <w:tc>
          <w:tcPr>
            <w:tcW w:w="4800" w:type="dxa"/>
            <w:vAlign w:val="bottom"/>
            <w:gridSpan w:val="2"/>
          </w:tcPr>
          <w:p>
            <w:pPr>
              <w:ind w:left="620"/>
              <w:spacing w:after="0"/>
              <w:rPr>
                <w:sz w:val="20"/>
                <w:szCs w:val="20"/>
                <w:color w:val="auto"/>
              </w:rPr>
            </w:pPr>
            <w:r>
              <w:rPr>
                <w:rFonts w:ascii="Arial" w:cs="Arial" w:eastAsia="Arial" w:hAnsi="Arial"/>
                <w:sz w:val="18"/>
                <w:szCs w:val="18"/>
                <w:color w:val="auto"/>
              </w:rPr>
              <w:t>/s/ Scott H. Runge</w:t>
            </w:r>
          </w:p>
        </w:tc>
      </w:tr>
      <w:tr>
        <w:trPr>
          <w:trHeight w:val="223"/>
        </w:trPr>
        <w:tc>
          <w:tcPr>
            <w:tcW w:w="400" w:type="dxa"/>
            <w:vAlign w:val="bottom"/>
          </w:tcPr>
          <w:p>
            <w:pPr>
              <w:spacing w:after="0"/>
              <w:rPr>
                <w:sz w:val="20"/>
                <w:szCs w:val="20"/>
                <w:color w:val="auto"/>
              </w:rPr>
            </w:pPr>
            <w:r>
              <w:rPr>
                <w:rFonts w:ascii="Arial" w:cs="Arial" w:eastAsia="Arial" w:hAnsi="Arial"/>
                <w:sz w:val="18"/>
                <w:szCs w:val="18"/>
                <w:color w:val="auto"/>
              </w:rPr>
              <w:t>Its:</w:t>
            </w:r>
          </w:p>
        </w:tc>
        <w:tc>
          <w:tcPr>
            <w:tcW w:w="6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c>
          <w:tcPr>
            <w:tcW w:w="620" w:type="dxa"/>
            <w:vAlign w:val="bottom"/>
          </w:tcPr>
          <w:p>
            <w:pPr>
              <w:spacing w:after="0"/>
              <w:rPr>
                <w:sz w:val="19"/>
                <w:szCs w:val="19"/>
                <w:color w:val="auto"/>
              </w:rPr>
            </w:pPr>
          </w:p>
        </w:tc>
        <w:tc>
          <w:tcPr>
            <w:tcW w:w="4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Treasurer</w:t>
            </w:r>
          </w:p>
        </w:tc>
      </w:tr>
    </w:tbl>
    <w:p>
      <w:pPr>
        <w:sectPr>
          <w:pgSz w:w="11900" w:h="16838" w:orient="portrait"/>
          <w:cols w:equalWidth="0" w:num="1">
            <w:col w:w="11420"/>
          </w:cols>
          <w:pgMar w:left="240" w:top="936"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u w:val="single" w:color="auto"/>
          <w:color w:val="auto"/>
        </w:rPr>
        <w:t>Exhibit 10.17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OPTION AGREEMENT</w:t>
      </w:r>
    </w:p>
    <w:p>
      <w:pPr>
        <w:spacing w:after="0" w:line="117" w:lineRule="exact"/>
        <w:rPr>
          <w:sz w:val="20"/>
          <w:szCs w:val="20"/>
          <w:color w:val="auto"/>
        </w:rPr>
      </w:pPr>
    </w:p>
    <w:p>
      <w:pPr>
        <w:ind w:right="320" w:firstLine="222"/>
        <w:spacing w:after="0" w:line="282" w:lineRule="auto"/>
        <w:rPr>
          <w:sz w:val="20"/>
          <w:szCs w:val="20"/>
          <w:color w:val="auto"/>
        </w:rPr>
      </w:pPr>
      <w:r>
        <w:rPr>
          <w:rFonts w:ascii="Arial" w:cs="Arial" w:eastAsia="Arial" w:hAnsi="Arial"/>
          <w:sz w:val="18"/>
          <w:szCs w:val="18"/>
          <w:color w:val="auto"/>
        </w:rPr>
        <w:t>This Stock Option Agreement (the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entered into as of August 25, 2005 by and between Calavo Growers, Inc., a California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__________________________ (the “</w:t>
      </w:r>
      <w:r>
        <w:rPr>
          <w:rFonts w:ascii="Arial" w:cs="Arial" w:eastAsia="Arial" w:hAnsi="Arial"/>
          <w:sz w:val="18"/>
          <w:szCs w:val="18"/>
          <w:b w:val="1"/>
          <w:bCs w:val="1"/>
          <w:u w:val="single" w:color="auto"/>
          <w:color w:val="auto"/>
        </w:rPr>
        <w:t>Option Holder</w:t>
      </w:r>
      <w:r>
        <w:rPr>
          <w:rFonts w:ascii="Arial" w:cs="Arial" w:eastAsia="Arial" w:hAnsi="Arial"/>
          <w:sz w:val="18"/>
          <w:szCs w:val="18"/>
          <w:color w:val="auto"/>
        </w:rPr>
        <w: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17" w:lineRule="exact"/>
        <w:rPr>
          <w:sz w:val="20"/>
          <w:szCs w:val="20"/>
          <w:color w:val="auto"/>
        </w:rPr>
      </w:pPr>
    </w:p>
    <w:p>
      <w:pPr>
        <w:ind w:left="620" w:hanging="397"/>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has adopted the 2005 Stock Incentive Plan (the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The Option Holder has had an opportunity to review the Plan.</w:t>
      </w:r>
    </w:p>
    <w:p>
      <w:pPr>
        <w:spacing w:after="0" w:line="121" w:lineRule="exact"/>
        <w:rPr>
          <w:rFonts w:ascii="Arial" w:cs="Arial" w:eastAsia="Arial" w:hAnsi="Arial"/>
          <w:sz w:val="18"/>
          <w:szCs w:val="18"/>
          <w:color w:val="auto"/>
        </w:rPr>
      </w:pPr>
    </w:p>
    <w:p>
      <w:pPr>
        <w:ind w:right="440" w:firstLine="233"/>
        <w:spacing w:after="0" w:line="342" w:lineRule="auto"/>
        <w:tabs>
          <w:tab w:leader="none" w:pos="61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Option Holder is a director, officer and/or employee of the Company and, therefore, is eligible to receive option grants under the Plan. This Agreement is intended by the parties to evidence the Company’s grant to the Option Holder of an option to purchase shares of its common stock.</w:t>
      </w:r>
    </w:p>
    <w:p>
      <w:pPr>
        <w:spacing w:after="0" w:line="16"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NOW, THEREFORE, in consideration of the foregoing and other good and valuable consideration, the receipt and sufficiency of which hereby are acknowledged, the Company and the Option Holder hereby agree as follows:</w:t>
      </w:r>
    </w:p>
    <w:p>
      <w:pPr>
        <w:spacing w:after="0" w:line="58" w:lineRule="exact"/>
        <w:rPr>
          <w:sz w:val="20"/>
          <w:szCs w:val="20"/>
          <w:color w:val="auto"/>
        </w:rPr>
      </w:pPr>
    </w:p>
    <w:p>
      <w:pPr>
        <w:ind w:left="600" w:hanging="367"/>
        <w:spacing w:after="0"/>
        <w:tabs>
          <w:tab w:leader="none" w:pos="6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Grant and Exercise Price</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20" w:firstLine="458"/>
        <w:spacing w:after="0" w:line="302" w:lineRule="auto"/>
        <w:tabs>
          <w:tab w:leader="none" w:pos="885" w:val="left"/>
        </w:tabs>
        <w:numPr>
          <w:ilvl w:val="1"/>
          <w:numId w:val="50"/>
        </w:numPr>
        <w:rPr>
          <w:rFonts w:ascii="Arial" w:cs="Arial" w:eastAsia="Arial" w:hAnsi="Arial"/>
          <w:sz w:val="16"/>
          <w:szCs w:val="16"/>
          <w:b w:val="1"/>
          <w:bCs w:val="1"/>
          <w:color w:val="auto"/>
        </w:rPr>
      </w:pPr>
      <w:r>
        <w:rPr>
          <w:rFonts w:ascii="Arial" w:cs="Arial" w:eastAsia="Arial" w:hAnsi="Arial"/>
          <w:sz w:val="16"/>
          <w:szCs w:val="16"/>
          <w:color w:val="auto"/>
        </w:rPr>
        <w:t>Effective as of the date set forth in the first paragraph of this Agreement, the Company hereby grants to the Option Holder the right and option (the “</w:t>
      </w:r>
      <w:r>
        <w:rPr>
          <w:rFonts w:ascii="Arial" w:cs="Arial" w:eastAsia="Arial" w:hAnsi="Arial"/>
          <w:sz w:val="16"/>
          <w:szCs w:val="16"/>
          <w:b w:val="1"/>
          <w:bCs w:val="1"/>
          <w:u w:val="single" w:color="auto"/>
          <w:color w:val="auto"/>
        </w:rPr>
        <w:t>Option</w:t>
      </w:r>
      <w:r>
        <w:rPr>
          <w:rFonts w:ascii="Arial" w:cs="Arial" w:eastAsia="Arial" w:hAnsi="Arial"/>
          <w:sz w:val="16"/>
          <w:szCs w:val="16"/>
          <w:color w:val="auto"/>
        </w:rPr>
        <w:t>”) to purchase, on the terms and conditions set forth in this Agreement and in the Plan, ___________________ (________) shares of its common stock, par value $0.001 per share (“</w:t>
      </w: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 at an exercise price of Nine Dollars and Ten Cents ($9.10) per share. The Option exercise price is equal to or in excess of the fair market value of the Common Stock on the Option grant date as determined in accordance with Section 6.1.9 of the Plan.</w:t>
      </w:r>
    </w:p>
    <w:p>
      <w:pPr>
        <w:spacing w:after="0" w:line="46" w:lineRule="exact"/>
        <w:rPr>
          <w:rFonts w:ascii="Arial" w:cs="Arial" w:eastAsia="Arial" w:hAnsi="Arial"/>
          <w:sz w:val="16"/>
          <w:szCs w:val="16"/>
          <w:b w:val="1"/>
          <w:bCs w:val="1"/>
          <w:color w:val="auto"/>
        </w:rPr>
      </w:pPr>
    </w:p>
    <w:p>
      <w:pPr>
        <w:ind w:right="460" w:firstLine="458"/>
        <w:spacing w:after="0" w:line="277" w:lineRule="auto"/>
        <w:tabs>
          <w:tab w:leader="none" w:pos="892" w:val="left"/>
        </w:tabs>
        <w:numPr>
          <w:ilvl w:val="1"/>
          <w:numId w:val="50"/>
        </w:numPr>
        <w:rPr>
          <w:rFonts w:ascii="Arial" w:cs="Arial" w:eastAsia="Arial" w:hAnsi="Arial"/>
          <w:sz w:val="18"/>
          <w:szCs w:val="18"/>
          <w:b w:val="1"/>
          <w:bCs w:val="1"/>
          <w:color w:val="auto"/>
        </w:rPr>
      </w:pPr>
      <w:r>
        <w:rPr>
          <w:rFonts w:ascii="Arial" w:cs="Arial" w:eastAsia="Arial" w:hAnsi="Arial"/>
          <w:sz w:val="18"/>
          <w:szCs w:val="18"/>
          <w:color w:val="auto"/>
        </w:rPr>
        <w:t>The Option is not intended by the Company and the Option Holder to be an incentive stock option within the meaning of Section 422 of the Internal Revenue Code of 1986, as amended.</w:t>
      </w:r>
    </w:p>
    <w:p>
      <w:pPr>
        <w:spacing w:after="0" w:line="58" w:lineRule="exact"/>
        <w:rPr>
          <w:rFonts w:ascii="Arial" w:cs="Arial" w:eastAsia="Arial" w:hAnsi="Arial"/>
          <w:sz w:val="18"/>
          <w:szCs w:val="18"/>
          <w:b w:val="1"/>
          <w:bCs w:val="1"/>
          <w:color w:val="auto"/>
        </w:rPr>
      </w:pPr>
    </w:p>
    <w:p>
      <w:pPr>
        <w:ind w:left="600" w:hanging="367"/>
        <w:spacing w:after="0"/>
        <w:tabs>
          <w:tab w:leader="none" w:pos="6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and Term of the Option</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900" w:hanging="442"/>
        <w:spacing w:after="0"/>
        <w:tabs>
          <w:tab w:leader="none" w:pos="900" w:val="left"/>
        </w:tabs>
        <w:numPr>
          <w:ilvl w:val="1"/>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and conditions of this Agreement, the Option shall fully vest and become exercisable as to all</w:t>
      </w:r>
    </w:p>
    <w:p>
      <w:pPr>
        <w:spacing w:after="0" w:line="27" w:lineRule="exact"/>
        <w:rPr>
          <w:rFonts w:ascii="Arial" w:cs="Arial" w:eastAsia="Arial" w:hAnsi="Arial"/>
          <w:sz w:val="18"/>
          <w:szCs w:val="18"/>
          <w:b w:val="1"/>
          <w:bCs w:val="1"/>
          <w:color w:val="auto"/>
        </w:rPr>
      </w:pPr>
    </w:p>
    <w:p>
      <w:pPr>
        <w:ind w:right="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_________________ (________) shares of Common Stock that are covered by the Option on August 25, 2006, but only if the closing price of the Common Stock on the Nasdaq National Market (or other principal market on which the Common Stock is traded) on August 25, 2006 is at least Eleven Dollars ($11.00) per share. If the closing price of the Common Stock is less than $11.00 per share on August 25, 2006, then the Option shall fully vest and become exercisable on the first date after August 25, 2006 on which the closing price of the Common Stock is at least $11.00 per share. The Option Holder shall at no time be allowed to exercise any portion of the Option prior to its vesting date.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7" w:name="page78"/>
    <w:bookmarkEnd w:id="77"/>
    <w:p>
      <w:pPr>
        <w:ind w:right="40" w:firstLine="458"/>
        <w:spacing w:after="0" w:line="282" w:lineRule="auto"/>
        <w:tabs>
          <w:tab w:leader="none" w:pos="895" w:val="left"/>
        </w:tabs>
        <w:numPr>
          <w:ilvl w:val="1"/>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Term</w:t>
      </w:r>
      <w:r>
        <w:rPr>
          <w:rFonts w:ascii="Arial" w:cs="Arial" w:eastAsia="Arial" w:hAnsi="Arial"/>
          <w:sz w:val="18"/>
          <w:szCs w:val="18"/>
          <w:color w:val="auto"/>
        </w:rPr>
        <w:t>. Subject to the possibility of earlier termination as described in Section 2(c), the Option shall terminate on August 25, 2010, and no</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 Option may be exercised on or after August 25, 2010.</w:t>
      </w:r>
    </w:p>
    <w:p>
      <w:pPr>
        <w:spacing w:after="0" w:line="53" w:lineRule="exact"/>
        <w:rPr>
          <w:rFonts w:ascii="Arial" w:cs="Arial" w:eastAsia="Arial" w:hAnsi="Arial"/>
          <w:sz w:val="18"/>
          <w:szCs w:val="18"/>
          <w:b w:val="1"/>
          <w:bCs w:val="1"/>
          <w:color w:val="auto"/>
        </w:rPr>
      </w:pPr>
    </w:p>
    <w:p>
      <w:pPr>
        <w:ind w:right="20" w:firstLine="458"/>
        <w:spacing w:after="0" w:line="274" w:lineRule="auto"/>
        <w:tabs>
          <w:tab w:leader="none" w:pos="875" w:val="left"/>
        </w:tabs>
        <w:numPr>
          <w:ilvl w:val="1"/>
          <w:numId w:val="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Early Option Termination</w:t>
      </w:r>
      <w:r>
        <w:rPr>
          <w:rFonts w:ascii="Arial" w:cs="Arial" w:eastAsia="Arial" w:hAnsi="Arial"/>
          <w:sz w:val="17"/>
          <w:szCs w:val="17"/>
          <w:color w:val="auto"/>
        </w:rPr>
        <w:t>. If for any reason the Option Holder ceases to be a director, officer or employee of the Company or of a subsidiary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any portion of the Option that has vested and is unexercised at the date of the termination of the Option Holder’s service may be exercised in whole or in part at any time within ninety days after the date of the Option Holder’s service termination but not thereafter, provided that the Option may in no event be exercised on or after the Option termination date described in Section 2(b). If the Option has not vested as of the date that the Option Holder’s service terminates, the Option shall not be exercisable by the Option Holder at any time after the termination of his service. The Option is also subject to early termination upon the occurrence of a “Corporate Transaction” that is described in Section 6.1.2 of the Plan.</w:t>
      </w:r>
    </w:p>
    <w:p>
      <w:pPr>
        <w:spacing w:after="0" w:line="65" w:lineRule="exact"/>
        <w:rPr>
          <w:rFonts w:ascii="Arial" w:cs="Arial" w:eastAsia="Arial" w:hAnsi="Arial"/>
          <w:sz w:val="17"/>
          <w:szCs w:val="17"/>
          <w:b w:val="1"/>
          <w:bCs w:val="1"/>
          <w:color w:val="auto"/>
        </w:rPr>
      </w:pPr>
    </w:p>
    <w:p>
      <w:pPr>
        <w:ind w:firstLine="233"/>
        <w:spacing w:after="0" w:line="273" w:lineRule="auto"/>
        <w:tabs>
          <w:tab w:leader="none" w:pos="585"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Manner of Exercising the Option</w:t>
      </w:r>
      <w:r>
        <w:rPr>
          <w:rFonts w:ascii="Arial" w:cs="Arial" w:eastAsia="Arial" w:hAnsi="Arial"/>
          <w:sz w:val="17"/>
          <w:szCs w:val="17"/>
          <w:color w:val="auto"/>
        </w:rPr>
        <w:t>. The Option Holder may exercise the vested Option in whole or in part prior to the Option’s termination,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a partial exercise of the Option may not be for fewer than one hundred (100) shares of Common Stock unless fewer than one hundred (100) shares subject to the vested Option remain unexercised, in which event the entire remaining portion of the Option must be exercised at one time. The Option shall not be exercisable with respect to a fraction of a share of Common Stock. The Option Holder may exercise the vested Option, in whole or in part, by delivering to the Company’s Controller written notice of exercise in the form of the notice attached to this Agreement. Such notice shall specify the number of shares of Common Stock to be purchased and shall be accompanied by payment of the purchase price of the shares. No shares shall be issued by the Company until full payment of the purchase price has been made.</w:t>
      </w:r>
    </w:p>
    <w:p>
      <w:pPr>
        <w:spacing w:after="0" w:line="64" w:lineRule="exact"/>
        <w:rPr>
          <w:rFonts w:ascii="Arial" w:cs="Arial" w:eastAsia="Arial" w:hAnsi="Arial"/>
          <w:sz w:val="17"/>
          <w:szCs w:val="17"/>
          <w:b w:val="1"/>
          <w:bCs w:val="1"/>
          <w:color w:val="auto"/>
        </w:rPr>
      </w:pPr>
    </w:p>
    <w:p>
      <w:pPr>
        <w:ind w:right="40" w:firstLine="233"/>
        <w:spacing w:after="0" w:line="277" w:lineRule="auto"/>
        <w:tabs>
          <w:tab w:leader="none" w:pos="585"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Payment of the Option Exercise Price</w:t>
      </w:r>
      <w:r>
        <w:rPr>
          <w:rFonts w:ascii="Arial" w:cs="Arial" w:eastAsia="Arial" w:hAnsi="Arial"/>
          <w:sz w:val="17"/>
          <w:szCs w:val="17"/>
          <w:color w:val="auto"/>
        </w:rPr>
        <w:t>. Unless the Company’s Board of Directors (the “</w:t>
      </w:r>
      <w:r>
        <w:rPr>
          <w:rFonts w:ascii="Arial" w:cs="Arial" w:eastAsia="Arial" w:hAnsi="Arial"/>
          <w:sz w:val="17"/>
          <w:szCs w:val="17"/>
          <w:b w:val="1"/>
          <w:bCs w:val="1"/>
          <w:u w:val="single" w:color="auto"/>
          <w:color w:val="auto"/>
        </w:rPr>
        <w:t>Board</w:t>
      </w:r>
      <w:r>
        <w:rPr>
          <w:rFonts w:ascii="Arial" w:cs="Arial" w:eastAsia="Arial" w:hAnsi="Arial"/>
          <w:sz w:val="17"/>
          <w:szCs w:val="17"/>
          <w:color w:val="auto"/>
        </w:rPr>
        <w:t>”) elects in its discretion to allow one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alternative methods of payment described in Section 6.1.6 of the Plan (including, without limitation, a so-called cashless Option exercise conducted through a broker), payment of the exercise price of the shares of Common Stock subject to the exercised portion of the Option shall be made by the Option Holder’s delivery to the Company of a check payable to the order of the Company. As provided in Section 6.1.7 of the Plan, the Company has the right to require the Option Holder to satisfy any applicable withholding obligations at the time of the exercise of the Option.</w:t>
      </w:r>
    </w:p>
    <w:p>
      <w:pPr>
        <w:spacing w:after="0" w:line="60" w:lineRule="exact"/>
        <w:rPr>
          <w:rFonts w:ascii="Arial" w:cs="Arial" w:eastAsia="Arial" w:hAnsi="Arial"/>
          <w:sz w:val="17"/>
          <w:szCs w:val="17"/>
          <w:b w:val="1"/>
          <w:bCs w:val="1"/>
          <w:color w:val="auto"/>
        </w:rPr>
      </w:pPr>
    </w:p>
    <w:p>
      <w:pPr>
        <w:ind w:left="600" w:hanging="367"/>
        <w:spacing w:after="0"/>
        <w:tabs>
          <w:tab w:leader="none" w:pos="6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 of the Option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60" w:firstLine="458"/>
        <w:spacing w:after="0" w:line="259" w:lineRule="auto"/>
        <w:tabs>
          <w:tab w:leader="none" w:pos="885" w:val="left"/>
        </w:tabs>
        <w:numPr>
          <w:ilvl w:val="1"/>
          <w:numId w:val="52"/>
        </w:numPr>
        <w:rPr>
          <w:rFonts w:ascii="Arial" w:cs="Arial" w:eastAsia="Arial" w:hAnsi="Arial"/>
          <w:sz w:val="18"/>
          <w:szCs w:val="18"/>
          <w:b w:val="1"/>
          <w:bCs w:val="1"/>
          <w:color w:val="auto"/>
        </w:rPr>
      </w:pPr>
      <w:r>
        <w:rPr>
          <w:rFonts w:ascii="Arial" w:cs="Arial" w:eastAsia="Arial" w:hAnsi="Arial"/>
          <w:sz w:val="18"/>
          <w:szCs w:val="18"/>
          <w:color w:val="auto"/>
        </w:rPr>
        <w:t>Except as provided in this Section 5, the Option Holder may not assign or otherwise transfer the Option, either voluntarily or by operation of law, other than by will or the laws of descent and distribution, and the Option shall be exercisable during the Option Holder’s lifetime only by the Option Holder or by the Option Holder’s legal representative. Following the death of the Option Holder, the Option shall be exercisable by the Option Holder’s legal representative, executor and beneficiaries.</w:t>
      </w:r>
    </w:p>
    <w:p>
      <w:pPr>
        <w:spacing w:after="0" w:line="78" w:lineRule="exact"/>
        <w:rPr>
          <w:rFonts w:ascii="Arial" w:cs="Arial" w:eastAsia="Arial" w:hAnsi="Arial"/>
          <w:sz w:val="18"/>
          <w:szCs w:val="18"/>
          <w:b w:val="1"/>
          <w:bCs w:val="1"/>
          <w:color w:val="auto"/>
        </w:rPr>
      </w:pPr>
    </w:p>
    <w:p>
      <w:pPr>
        <w:ind w:right="240" w:firstLine="458"/>
        <w:spacing w:after="0" w:line="277" w:lineRule="auto"/>
        <w:tabs>
          <w:tab w:leader="none" w:pos="892" w:val="left"/>
        </w:tabs>
        <w:numPr>
          <w:ilvl w:val="1"/>
          <w:numId w:val="52"/>
        </w:numPr>
        <w:rPr>
          <w:rFonts w:ascii="Arial" w:cs="Arial" w:eastAsia="Arial" w:hAnsi="Arial"/>
          <w:sz w:val="18"/>
          <w:szCs w:val="18"/>
          <w:b w:val="1"/>
          <w:bCs w:val="1"/>
          <w:color w:val="auto"/>
        </w:rPr>
      </w:pPr>
      <w:r>
        <w:rPr>
          <w:rFonts w:ascii="Arial" w:cs="Arial" w:eastAsia="Arial" w:hAnsi="Arial"/>
          <w:sz w:val="18"/>
          <w:szCs w:val="18"/>
          <w:color w:val="auto"/>
        </w:rPr>
        <w:t>The Option Holder may assign and transfer part or all of the Option to a family member or family trust during the Option Holder’s lifetime but only if: (i) the transfer is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8" w:name="page79"/>
    <w:bookmarkEnd w:id="78"/>
    <w:p>
      <w:pPr>
        <w:ind w:right="20"/>
        <w:spacing w:after="0" w:line="255" w:lineRule="auto"/>
        <w:rPr>
          <w:sz w:val="20"/>
          <w:szCs w:val="20"/>
          <w:color w:val="auto"/>
        </w:rPr>
      </w:pPr>
      <w:r>
        <w:rPr>
          <w:rFonts w:ascii="Arial" w:cs="Arial" w:eastAsia="Arial" w:hAnsi="Arial"/>
          <w:sz w:val="18"/>
          <w:szCs w:val="18"/>
          <w:color w:val="auto"/>
        </w:rPr>
        <w:t>made by a gift and not for consideration; (ii) the transferee is a “family member” (including, without limitation, a family trust) as defined in General Instruction A.1(a)(5) of Form S-8 under the Securities Act of 1933, as amended (the “</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(iii) the Option Holder gives the Company at least ten days’ prior written notice of the proposed transfer; and (iv) the transferee executes and delivers to the Company any documents requested by the Company (including, without limitation, a counterpart of this Agreement) in order to document the transfer. Any such transferee of all or part of the Option shall be bound by all of the terms and conditions of the Plan and this Agreement, and the Option Holder shall be personally liable to the Company for any breach by the transferee of any of the terms of the Plan or this Agreement.</w:t>
      </w:r>
    </w:p>
    <w:p>
      <w:pPr>
        <w:spacing w:after="0" w:line="81" w:lineRule="exact"/>
        <w:rPr>
          <w:sz w:val="20"/>
          <w:szCs w:val="20"/>
          <w:color w:val="auto"/>
        </w:rPr>
      </w:pPr>
    </w:p>
    <w:p>
      <w:pPr>
        <w:jc w:val="both"/>
        <w:ind w:right="100" w:firstLine="233"/>
        <w:spacing w:after="0" w:line="261" w:lineRule="auto"/>
        <w:tabs>
          <w:tab w:leader="none" w:pos="585"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Law Compliance</w:t>
      </w:r>
      <w:r>
        <w:rPr>
          <w:rFonts w:ascii="Arial" w:cs="Arial" w:eastAsia="Arial" w:hAnsi="Arial"/>
          <w:sz w:val="18"/>
          <w:szCs w:val="18"/>
          <w:color w:val="auto"/>
        </w:rPr>
        <w:t>. As provided in Section 10.1 of the Plan, no shares of Common Stock shall be issued or delivered upon exercise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unless and until the Board determines that the exercise of the Option and the issuance and delivery of such shares pursuant thereto will comply with all relevant provisions of law, including, without limitation, the Securities Act, applicable state and foreign securities laws and the requirements of any stock exchange or Nasdaq market system upon which the Common Stock may be listed.</w:t>
      </w:r>
    </w:p>
    <w:p>
      <w:pPr>
        <w:spacing w:after="0" w:line="71" w:lineRule="exact"/>
        <w:rPr>
          <w:rFonts w:ascii="Arial" w:cs="Arial" w:eastAsia="Arial" w:hAnsi="Arial"/>
          <w:sz w:val="18"/>
          <w:szCs w:val="18"/>
          <w:b w:val="1"/>
          <w:bCs w:val="1"/>
          <w:color w:val="auto"/>
        </w:rPr>
      </w:pPr>
    </w:p>
    <w:p>
      <w:pPr>
        <w:ind w:firstLine="233"/>
        <w:spacing w:after="0" w:line="256" w:lineRule="auto"/>
        <w:tabs>
          <w:tab w:leader="none" w:pos="585"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Incorporation by Reference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all of its terms and conditions, as amended from time to time, are incorporated by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into this Agreement. The Option Holder acknowledges that he has received and reviewed a copy of the Plan. This Agreement is not a complete restatement of all of the terms and conditions of the Plan. The Company and the Option Holder agree to be bound by the Plan, as amended from time to time, and agree that the terms and conditions of the Plan shall govern if and to the extent that there are any inconsistencies between the Plan and this Agreement. If the Plan is administered by a committee as permitted by Section 4.1 of the Plan, references in this Agreement to the Board shall, as appropriate, apply instead to such committee.</w:t>
      </w:r>
    </w:p>
    <w:p>
      <w:pPr>
        <w:spacing w:after="0" w:line="79" w:lineRule="exact"/>
        <w:rPr>
          <w:rFonts w:ascii="Arial" w:cs="Arial" w:eastAsia="Arial" w:hAnsi="Arial"/>
          <w:sz w:val="18"/>
          <w:szCs w:val="18"/>
          <w:b w:val="1"/>
          <w:bCs w:val="1"/>
          <w:color w:val="auto"/>
        </w:rPr>
      </w:pPr>
    </w:p>
    <w:p>
      <w:pPr>
        <w:ind w:firstLine="233"/>
        <w:spacing w:after="0" w:line="261" w:lineRule="auto"/>
        <w:tabs>
          <w:tab w:leader="none" w:pos="585"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Holder’s 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receipt of the Option pursuant to this Agreement and in contemplation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Holder’s purchase of shares of Common Stock upon exercise of the Option, the Option Holder hereby agrees, represents and warrants as follows; provided that all of the following agreements, representations and warranties shall be deemed to have been given again by the Option Holder as of the date that he exercises the Option:</w:t>
      </w:r>
    </w:p>
    <w:p>
      <w:pPr>
        <w:spacing w:after="0" w:line="71" w:lineRule="exact"/>
        <w:rPr>
          <w:rFonts w:ascii="Arial" w:cs="Arial" w:eastAsia="Arial" w:hAnsi="Arial"/>
          <w:sz w:val="18"/>
          <w:szCs w:val="18"/>
          <w:b w:val="1"/>
          <w:bCs w:val="1"/>
          <w:color w:val="auto"/>
        </w:rPr>
      </w:pPr>
    </w:p>
    <w:p>
      <w:pPr>
        <w:ind w:firstLine="458"/>
        <w:spacing w:after="0" w:line="258" w:lineRule="auto"/>
        <w:tabs>
          <w:tab w:leader="none" w:pos="885"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Access to Information</w:t>
      </w:r>
      <w:r>
        <w:rPr>
          <w:rFonts w:ascii="Arial" w:cs="Arial" w:eastAsia="Arial" w:hAnsi="Arial"/>
          <w:sz w:val="18"/>
          <w:szCs w:val="18"/>
          <w:color w:val="auto"/>
        </w:rPr>
        <w:t>. The Option Holder has had a sufficient opportunity to review (i) the Plan, (ii) the Prospectus that the Company has</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distributed regarding the Plan, and (iii) all registration statements, annual and periodic reports and proxy and information statements that the Company has filed with the Securities and Exchange Commission (the “</w:t>
      </w:r>
      <w:r>
        <w:rPr>
          <w:rFonts w:ascii="Arial" w:cs="Arial" w:eastAsia="Arial" w:hAnsi="Arial"/>
          <w:sz w:val="18"/>
          <w:szCs w:val="18"/>
          <w:b w:val="1"/>
          <w:bCs w:val="1"/>
          <w:u w:val="single" w:color="auto"/>
          <w:color w:val="auto"/>
        </w:rPr>
        <w:t>SEC</w:t>
      </w:r>
      <w:r>
        <w:rPr>
          <w:rFonts w:ascii="Arial" w:cs="Arial" w:eastAsia="Arial" w:hAnsi="Arial"/>
          <w:sz w:val="18"/>
          <w:szCs w:val="18"/>
          <w:color w:val="auto"/>
        </w:rPr>
        <w:t>”) during the preceding twelve months. Neither the Company nor any of its officers, directors, employees or other agents has made any representation or recommendation to the Option Holder about the advisability of the Option Holder’s purchase of the shares of Common Stock that are subject to the Option.</w:t>
      </w:r>
    </w:p>
    <w:p>
      <w:pPr>
        <w:spacing w:after="0" w:line="75" w:lineRule="exact"/>
        <w:rPr>
          <w:rFonts w:ascii="Arial" w:cs="Arial" w:eastAsia="Arial" w:hAnsi="Arial"/>
          <w:sz w:val="18"/>
          <w:szCs w:val="18"/>
          <w:b w:val="1"/>
          <w:bCs w:val="1"/>
          <w:color w:val="auto"/>
        </w:rPr>
      </w:pPr>
    </w:p>
    <w:p>
      <w:pPr>
        <w:ind w:right="120" w:firstLine="458"/>
        <w:spacing w:after="0" w:line="266" w:lineRule="auto"/>
        <w:tabs>
          <w:tab w:leader="none" w:pos="895"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Ability to Bear Investment Risk</w:t>
      </w:r>
      <w:r>
        <w:rPr>
          <w:rFonts w:ascii="Arial" w:cs="Arial" w:eastAsia="Arial" w:hAnsi="Arial"/>
          <w:sz w:val="18"/>
          <w:szCs w:val="18"/>
          <w:color w:val="auto"/>
        </w:rPr>
        <w:t>. The Option Holder is aware that any purchase of stock involves an element of risk. The Option Holder can</w:t>
      </w:r>
      <w:r>
        <w:rPr>
          <w:rFonts w:ascii="Arial" w:cs="Arial" w:eastAsia="Arial" w:hAnsi="Arial"/>
          <w:sz w:val="18"/>
          <w:szCs w:val="18"/>
          <w:b w:val="1"/>
          <w:bCs w:val="1"/>
          <w:color w:val="auto"/>
        </w:rPr>
        <w:t xml:space="preserve"> </w:t>
      </w:r>
      <w:r>
        <w:rPr>
          <w:rFonts w:ascii="Arial" w:cs="Arial" w:eastAsia="Arial" w:hAnsi="Arial"/>
          <w:sz w:val="18"/>
          <w:szCs w:val="18"/>
          <w:color w:val="auto"/>
        </w:rPr>
        <w:t>afford to bear the risks of an investment in the Company. The Option Holder has sufficient knowledge and experience in financial and investment matters to enable him to evaluate the merits and risks of the proposed</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9" w:name="page80"/>
    <w:bookmarkEnd w:id="79"/>
    <w:p>
      <w:pPr>
        <w:ind w:right="640"/>
        <w:spacing w:after="0" w:line="277" w:lineRule="auto"/>
        <w:rPr>
          <w:sz w:val="20"/>
          <w:szCs w:val="20"/>
          <w:color w:val="auto"/>
        </w:rPr>
      </w:pPr>
      <w:r>
        <w:rPr>
          <w:rFonts w:ascii="Arial" w:cs="Arial" w:eastAsia="Arial" w:hAnsi="Arial"/>
          <w:sz w:val="18"/>
          <w:szCs w:val="18"/>
          <w:color w:val="auto"/>
        </w:rPr>
        <w:t>purchase of the shares of Common Stock subject to the Option and to make an informed investment decision. The Option Holder has had a sufficient opportunity to consult with his advisers about the merits and legal implications of the proposed transaction.</w:t>
      </w:r>
    </w:p>
    <w:p>
      <w:pPr>
        <w:spacing w:after="0" w:line="58" w:lineRule="exact"/>
        <w:rPr>
          <w:sz w:val="20"/>
          <w:szCs w:val="20"/>
          <w:color w:val="auto"/>
        </w:rPr>
      </w:pPr>
    </w:p>
    <w:p>
      <w:pPr>
        <w:ind w:right="60" w:firstLine="458"/>
        <w:spacing w:after="0" w:line="256" w:lineRule="auto"/>
        <w:tabs>
          <w:tab w:leader="none" w:pos="875"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Resale Restrictions</w:t>
      </w:r>
      <w:r>
        <w:rPr>
          <w:rFonts w:ascii="Arial" w:cs="Arial" w:eastAsia="Arial" w:hAnsi="Arial"/>
          <w:sz w:val="18"/>
          <w:szCs w:val="18"/>
          <w:color w:val="auto"/>
        </w:rPr>
        <w:t>. The Option Holder understands that: (i) neither the SEC nor any state or other regulatory authority has made any</w:t>
      </w:r>
      <w:r>
        <w:rPr>
          <w:rFonts w:ascii="Arial" w:cs="Arial" w:eastAsia="Arial" w:hAnsi="Arial"/>
          <w:sz w:val="18"/>
          <w:szCs w:val="18"/>
          <w:b w:val="1"/>
          <w:bCs w:val="1"/>
          <w:color w:val="auto"/>
        </w:rPr>
        <w:t xml:space="preserve"> </w:t>
      </w:r>
      <w:r>
        <w:rPr>
          <w:rFonts w:ascii="Arial" w:cs="Arial" w:eastAsia="Arial" w:hAnsi="Arial"/>
          <w:sz w:val="18"/>
          <w:szCs w:val="18"/>
          <w:color w:val="auto"/>
        </w:rPr>
        <w:t>recommendation or finding concerning the value of the shares of Common Stock subject to the Option; and (ii) the shares may be offered, sold or otherwise transferred by the Option Holder only if the transaction is registered and qualified under the applicable provisions of federal and state securities laws or if the shares can be sold under Rule 144 of the Securities Act or if another exemption from such registration and qualification is available. The Option Holder agrees not to sell, pledge or otherwise transfer any of the shares of Common Stock acquired upon exercise of the Option except in full compliance with all applicable federal and state securities laws, rules and regulations.</w:t>
      </w:r>
    </w:p>
    <w:p>
      <w:pPr>
        <w:spacing w:after="0" w:line="79" w:lineRule="exact"/>
        <w:rPr>
          <w:rFonts w:ascii="Arial" w:cs="Arial" w:eastAsia="Arial" w:hAnsi="Arial"/>
          <w:sz w:val="18"/>
          <w:szCs w:val="18"/>
          <w:b w:val="1"/>
          <w:bCs w:val="1"/>
          <w:color w:val="auto"/>
        </w:rPr>
      </w:pPr>
    </w:p>
    <w:p>
      <w:pPr>
        <w:ind w:firstLine="458"/>
        <w:spacing w:after="0" w:line="303" w:lineRule="auto"/>
        <w:tabs>
          <w:tab w:leader="none" w:pos="895" w:val="left"/>
        </w:tabs>
        <w:numPr>
          <w:ilvl w:val="1"/>
          <w:numId w:val="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Applicability to Transferees</w:t>
      </w:r>
      <w:r>
        <w:rPr>
          <w:rFonts w:ascii="Arial" w:cs="Arial" w:eastAsia="Arial" w:hAnsi="Arial"/>
          <w:sz w:val="16"/>
          <w:szCs w:val="16"/>
          <w:color w:val="auto"/>
        </w:rPr>
        <w:t>. If the Option Holder transfers part or all of the Option to a family member or family trust pursuant to Section 5(b),</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transferee shall be deemed to have made all of the representations, warranties and agreements that are set forth in this Section 8, and the Option Holder shall be personally liable to the Company for any and all losses, damages, expenses and liabilities (including, but not limited to, court costs and reasonable attorneys’ fees) that the Company may incur as a result of any breach of such representations, warranties and agreements by the transferee.</w:t>
      </w:r>
    </w:p>
    <w:p>
      <w:pPr>
        <w:spacing w:after="0" w:line="43" w:lineRule="exact"/>
        <w:rPr>
          <w:rFonts w:ascii="Arial" w:cs="Arial" w:eastAsia="Arial" w:hAnsi="Arial"/>
          <w:sz w:val="16"/>
          <w:szCs w:val="16"/>
          <w:b w:val="1"/>
          <w:bCs w:val="1"/>
          <w:color w:val="auto"/>
        </w:rPr>
      </w:pPr>
    </w:p>
    <w:p>
      <w:pPr>
        <w:ind w:right="120" w:firstLine="458"/>
        <w:spacing w:after="0" w:line="266" w:lineRule="auto"/>
        <w:tabs>
          <w:tab w:leader="none" w:pos="875"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Continuing Employment Right</w:t>
      </w:r>
      <w:r>
        <w:rPr>
          <w:rFonts w:ascii="Arial" w:cs="Arial" w:eastAsia="Arial" w:hAnsi="Arial"/>
          <w:sz w:val="18"/>
          <w:szCs w:val="18"/>
          <w:color w:val="auto"/>
        </w:rPr>
        <w:t>. The Option Holder understands that nothing in the Plan or this Agreement gives the Option Holder a right</w:t>
      </w:r>
      <w:r>
        <w:rPr>
          <w:rFonts w:ascii="Arial" w:cs="Arial" w:eastAsia="Arial" w:hAnsi="Arial"/>
          <w:sz w:val="18"/>
          <w:szCs w:val="18"/>
          <w:b w:val="1"/>
          <w:bCs w:val="1"/>
          <w:color w:val="auto"/>
        </w:rPr>
        <w:t xml:space="preserve"> </w:t>
      </w:r>
      <w:r>
        <w:rPr>
          <w:rFonts w:ascii="Arial" w:cs="Arial" w:eastAsia="Arial" w:hAnsi="Arial"/>
          <w:sz w:val="18"/>
          <w:szCs w:val="18"/>
          <w:color w:val="auto"/>
        </w:rPr>
        <w:t>to continue in the employment of the Company or a subsidiary and that, if the Option Holder is a director, nothing in the Plan or this Agreement gives the Option Holder a right to continue to serve as a director of the Company.</w:t>
      </w:r>
    </w:p>
    <w:p>
      <w:pPr>
        <w:spacing w:after="0" w:line="68" w:lineRule="exact"/>
        <w:rPr>
          <w:rFonts w:ascii="Arial" w:cs="Arial" w:eastAsia="Arial" w:hAnsi="Arial"/>
          <w:sz w:val="18"/>
          <w:szCs w:val="18"/>
          <w:b w:val="1"/>
          <w:bCs w:val="1"/>
          <w:color w:val="auto"/>
        </w:rPr>
      </w:pPr>
    </w:p>
    <w:p>
      <w:pPr>
        <w:ind w:left="600" w:hanging="367"/>
        <w:spacing w:after="0"/>
        <w:tabs>
          <w:tab w:leader="none" w:pos="6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 Provisions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40" w:firstLine="458"/>
        <w:spacing w:after="0" w:line="282" w:lineRule="auto"/>
        <w:tabs>
          <w:tab w:leader="none" w:pos="885"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Further Instruments</w:t>
      </w:r>
      <w:r>
        <w:rPr>
          <w:rFonts w:ascii="Arial" w:cs="Arial" w:eastAsia="Arial" w:hAnsi="Arial"/>
          <w:sz w:val="18"/>
          <w:szCs w:val="18"/>
          <w:color w:val="auto"/>
        </w:rPr>
        <w:t>. The Company and the Option Holder agree to execute such further instruments and to take such further actions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necessary to carry out the intent of this Agreement.</w:t>
      </w:r>
    </w:p>
    <w:p>
      <w:pPr>
        <w:spacing w:after="0" w:line="53" w:lineRule="exact"/>
        <w:rPr>
          <w:rFonts w:ascii="Arial" w:cs="Arial" w:eastAsia="Arial" w:hAnsi="Arial"/>
          <w:sz w:val="18"/>
          <w:szCs w:val="18"/>
          <w:b w:val="1"/>
          <w:bCs w:val="1"/>
          <w:color w:val="auto"/>
        </w:rPr>
      </w:pPr>
    </w:p>
    <w:p>
      <w:pPr>
        <w:ind w:right="80" w:firstLine="458"/>
        <w:spacing w:after="0" w:line="266" w:lineRule="auto"/>
        <w:tabs>
          <w:tab w:leader="none" w:pos="895"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 Subject to Applicable Law</w:t>
      </w:r>
      <w:r>
        <w:rPr>
          <w:rFonts w:ascii="Arial" w:cs="Arial" w:eastAsia="Arial" w:hAnsi="Arial"/>
          <w:sz w:val="18"/>
          <w:szCs w:val="18"/>
          <w:color w:val="auto"/>
        </w:rPr>
        <w:t>. If any provision of this Agreement is held by an arbitrator or a court of competent jurisdiction to be</w:t>
      </w:r>
      <w:r>
        <w:rPr>
          <w:rFonts w:ascii="Arial" w:cs="Arial" w:eastAsia="Arial" w:hAnsi="Arial"/>
          <w:sz w:val="18"/>
          <w:szCs w:val="18"/>
          <w:b w:val="1"/>
          <w:bCs w:val="1"/>
          <w:color w:val="auto"/>
        </w:rPr>
        <w:t xml:space="preserve"> </w:t>
      </w:r>
      <w:r>
        <w:rPr>
          <w:rFonts w:ascii="Arial" w:cs="Arial" w:eastAsia="Arial" w:hAnsi="Arial"/>
          <w:sz w:val="18"/>
          <w:szCs w:val="18"/>
          <w:color w:val="auto"/>
        </w:rPr>
        <w:t>invalid, void or unenforceable, the remaining provisions shall nevertheless continue in full force and effect without being impaired or invalidated in any way and shall be construed in accordance with the purposes and intent of this Agreement.</w:t>
      </w:r>
    </w:p>
    <w:p>
      <w:pPr>
        <w:spacing w:after="0" w:line="68" w:lineRule="exact"/>
        <w:rPr>
          <w:rFonts w:ascii="Arial" w:cs="Arial" w:eastAsia="Arial" w:hAnsi="Arial"/>
          <w:sz w:val="18"/>
          <w:szCs w:val="18"/>
          <w:b w:val="1"/>
          <w:bCs w:val="1"/>
          <w:color w:val="auto"/>
        </w:rPr>
      </w:pPr>
    </w:p>
    <w:p>
      <w:pPr>
        <w:jc w:val="both"/>
        <w:ind w:right="320" w:firstLine="458"/>
        <w:spacing w:after="0" w:line="266" w:lineRule="auto"/>
        <w:tabs>
          <w:tab w:leader="none" w:pos="875"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Complete Agreement</w:t>
      </w:r>
      <w:r>
        <w:rPr>
          <w:rFonts w:ascii="Arial" w:cs="Arial" w:eastAsia="Arial" w:hAnsi="Arial"/>
          <w:sz w:val="18"/>
          <w:szCs w:val="18"/>
          <w:color w:val="auto"/>
        </w:rPr>
        <w:t>. This Agreement and the Plan constitute the complete and exclusive agreement between the Company and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Holder with respect to the subject matter herein and replace and supersede any and all other prior written and oral agreements or statements by the parties relating to such subject matter.</w:t>
      </w:r>
    </w:p>
    <w:p>
      <w:pPr>
        <w:spacing w:after="0" w:line="68" w:lineRule="exact"/>
        <w:rPr>
          <w:rFonts w:ascii="Arial" w:cs="Arial" w:eastAsia="Arial" w:hAnsi="Arial"/>
          <w:sz w:val="18"/>
          <w:szCs w:val="18"/>
          <w:b w:val="1"/>
          <w:bCs w:val="1"/>
          <w:color w:val="auto"/>
        </w:rPr>
      </w:pPr>
    </w:p>
    <w:p>
      <w:pPr>
        <w:ind w:right="180" w:firstLine="458"/>
        <w:spacing w:after="0" w:line="282" w:lineRule="auto"/>
        <w:tabs>
          <w:tab w:leader="none" w:pos="895"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Subject to the provisions of this Agreement and the Plan relating to the transferability of the Option and the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acquired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80" w:name="page81"/>
    <w:bookmarkEnd w:id="80"/>
    <w:p>
      <w:pPr>
        <w:ind w:right="140"/>
        <w:spacing w:after="0" w:line="264" w:lineRule="auto"/>
        <w:rPr>
          <w:sz w:val="20"/>
          <w:szCs w:val="20"/>
          <w:color w:val="auto"/>
        </w:rPr>
      </w:pPr>
      <w:r>
        <w:rPr>
          <w:rFonts w:ascii="Arial" w:cs="Arial" w:eastAsia="Arial" w:hAnsi="Arial"/>
          <w:sz w:val="18"/>
          <w:szCs w:val="18"/>
          <w:color w:val="auto"/>
        </w:rPr>
        <w:t>upon exercise of the Option, this Agreement shall be binding upon and inure to the benefit of the Company and the Option Holder and their respective successors and assigns. Whenever appropriate in this Agreement, references to the Company or the Option Holder shall be deemed to refer to such person’s legal representative, estate or other transferees, successors or assigns, as applicable.</w:t>
      </w:r>
    </w:p>
    <w:p>
      <w:pPr>
        <w:spacing w:after="0" w:line="69" w:lineRule="exact"/>
        <w:rPr>
          <w:sz w:val="20"/>
          <w:szCs w:val="20"/>
          <w:color w:val="auto"/>
        </w:rPr>
      </w:pPr>
    </w:p>
    <w:p>
      <w:pPr>
        <w:ind w:right="160" w:firstLine="458"/>
        <w:spacing w:after="0" w:line="287" w:lineRule="auto"/>
        <w:tabs>
          <w:tab w:leader="none" w:pos="875" w:val="left"/>
        </w:tabs>
        <w:numPr>
          <w:ilvl w:val="1"/>
          <w:numId w:val="5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Any notice required or permitted to be given to the Company or the Option Holder must be in writing and personally delivered or sent</w:t>
      </w:r>
      <w:r>
        <w:rPr>
          <w:rFonts w:ascii="Arial" w:cs="Arial" w:eastAsia="Arial" w:hAnsi="Arial"/>
          <w:sz w:val="16"/>
          <w:szCs w:val="16"/>
          <w:b w:val="1"/>
          <w:bCs w:val="1"/>
          <w:color w:val="auto"/>
        </w:rPr>
        <w:t xml:space="preserve"> </w:t>
      </w:r>
      <w:r>
        <w:rPr>
          <w:rFonts w:ascii="Arial" w:cs="Arial" w:eastAsia="Arial" w:hAnsi="Arial"/>
          <w:sz w:val="16"/>
          <w:szCs w:val="16"/>
          <w:color w:val="auto"/>
        </w:rPr>
        <w:t>by registered or certified United States mail (postage prepaid and return receipt requested), by overnight delivery service or by facsimile transmission, addressed to the address hereinafter shown below such party’s signature or to such other address as the party may designate in the foregoing manner to the other party. Any such notice that is sent by the Company or the Option Holder in the foregoing manner shall be deemed to have been delivered upon</w:t>
      </w:r>
    </w:p>
    <w:p>
      <w:pPr>
        <w:spacing w:after="0" w:line="2" w:lineRule="exact"/>
        <w:rPr>
          <w:rFonts w:ascii="Arial" w:cs="Arial" w:eastAsia="Arial" w:hAnsi="Arial"/>
          <w:sz w:val="16"/>
          <w:szCs w:val="16"/>
          <w:b w:val="1"/>
          <w:bCs w:val="1"/>
          <w:color w:val="auto"/>
        </w:rPr>
      </w:pPr>
    </w:p>
    <w:p>
      <w:pPr>
        <w:ind w:right="240" w:firstLine="8"/>
        <w:spacing w:after="0" w:line="261" w:lineRule="auto"/>
        <w:tabs>
          <w:tab w:leader="none" w:pos="2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personal delivery, (ii) actual receipt by facsimile transmission, (iii) three days after deposit in the United States mail, or (iv) one day after delivery to an overnight delivery service.</w:t>
      </w:r>
    </w:p>
    <w:p>
      <w:pPr>
        <w:spacing w:after="0" w:line="71" w:lineRule="exact"/>
        <w:rPr>
          <w:rFonts w:ascii="Arial" w:cs="Arial" w:eastAsia="Arial" w:hAnsi="Arial"/>
          <w:sz w:val="18"/>
          <w:szCs w:val="18"/>
          <w:color w:val="auto"/>
        </w:rPr>
      </w:pPr>
    </w:p>
    <w:p>
      <w:pPr>
        <w:ind w:left="860" w:hanging="402"/>
        <w:spacing w:after="0"/>
        <w:tabs>
          <w:tab w:leader="none" w:pos="860" w:val="left"/>
        </w:tabs>
        <w:numPr>
          <w:ilvl w:val="1"/>
          <w:numId w:val="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 and Termination</w:t>
      </w:r>
      <w:r>
        <w:rPr>
          <w:rFonts w:ascii="Arial" w:cs="Arial" w:eastAsia="Arial" w:hAnsi="Arial"/>
          <w:sz w:val="16"/>
          <w:szCs w:val="16"/>
          <w:color w:val="auto"/>
        </w:rPr>
        <w:t>. This Agreement may be amended or terminated only by a writing executed by both the Company and the Option</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Holder.</w:t>
      </w:r>
    </w:p>
    <w:p>
      <w:pPr>
        <w:spacing w:after="0" w:line="98" w:lineRule="exact"/>
        <w:rPr>
          <w:rFonts w:ascii="Arial" w:cs="Arial" w:eastAsia="Arial" w:hAnsi="Arial"/>
          <w:sz w:val="16"/>
          <w:szCs w:val="16"/>
          <w:b w:val="1"/>
          <w:bCs w:val="1"/>
          <w:color w:val="auto"/>
        </w:rPr>
      </w:pPr>
    </w:p>
    <w:p>
      <w:pPr>
        <w:ind w:right="240" w:firstLine="458"/>
        <w:spacing w:after="0" w:line="282" w:lineRule="auto"/>
        <w:tabs>
          <w:tab w:leader="none" w:pos="885" w:val="left"/>
        </w:tabs>
        <w:numPr>
          <w:ilvl w:val="1"/>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by facsimile and in two counterparts, each of which shall be deemed an original, but both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shall constitute one and the same instrument.</w:t>
      </w:r>
    </w:p>
    <w:p>
      <w:pPr>
        <w:spacing w:after="0" w:line="53" w:lineRule="exact"/>
        <w:rPr>
          <w:rFonts w:ascii="Arial" w:cs="Arial" w:eastAsia="Arial" w:hAnsi="Arial"/>
          <w:sz w:val="18"/>
          <w:szCs w:val="18"/>
          <w:b w:val="1"/>
          <w:bCs w:val="1"/>
          <w:color w:val="auto"/>
        </w:rPr>
      </w:pPr>
    </w:p>
    <w:p>
      <w:pPr>
        <w:ind w:left="900" w:hanging="442"/>
        <w:spacing w:after="0"/>
        <w:tabs>
          <w:tab w:leader="none" w:pos="900" w:val="left"/>
        </w:tabs>
        <w:numPr>
          <w:ilvl w:val="1"/>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Enforcement of this Agreement</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right="400" w:firstLine="683"/>
        <w:spacing w:after="0" w:line="277" w:lineRule="auto"/>
        <w:tabs>
          <w:tab w:leader="none" w:pos="1067"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and enforced in accordance with, the internal laws of the State of California without giving effect to such state’s conflict-of-law principles.</w:t>
      </w:r>
    </w:p>
    <w:p>
      <w:pPr>
        <w:spacing w:after="0" w:line="62" w:lineRule="exact"/>
        <w:rPr>
          <w:rFonts w:ascii="Arial" w:cs="Arial" w:eastAsia="Arial" w:hAnsi="Arial"/>
          <w:sz w:val="18"/>
          <w:szCs w:val="18"/>
          <w:color w:val="auto"/>
        </w:rPr>
      </w:pPr>
    </w:p>
    <w:p>
      <w:pPr>
        <w:ind w:right="100" w:firstLine="683"/>
        <w:spacing w:after="0" w:line="255" w:lineRule="auto"/>
        <w:tabs>
          <w:tab w:leader="none" w:pos="1117" w:val="left"/>
        </w:tabs>
        <w:numPr>
          <w:ilvl w:val="2"/>
          <w:numId w:val="57"/>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all disputes concerning the interpretation or enforcement of this Agreement shall be submitted to final and binding confidential arbitration, before one arbitrator, in accordance with the applicable Comprehensive Arbitration Rules and Procedures of JAMS in effect on the date of such arbitration including, without limitation, the discovery rights that are expressly provided by the Comprehensive Arbitration Rules and Procedures of JAMS. All arbitration proceedings shall be conducted in Los Angeles, California or Ventura, California and shall be administered by JAMS. Each party consents to such venue and jurisdiction and agrees that personal jurisdiction over such party for purposes of the arbitration proceeding or for any court action that is permitted by this Agreement may be effected by service of process addressed and delivered as provided above in Section 9(e).</w:t>
      </w:r>
    </w:p>
    <w:p>
      <w:pPr>
        <w:spacing w:after="0" w:line="81" w:lineRule="exact"/>
        <w:rPr>
          <w:rFonts w:ascii="Arial" w:cs="Arial" w:eastAsia="Arial" w:hAnsi="Arial"/>
          <w:sz w:val="18"/>
          <w:szCs w:val="18"/>
          <w:color w:val="auto"/>
        </w:rPr>
      </w:pPr>
    </w:p>
    <w:p>
      <w:pPr>
        <w:ind w:right="60" w:firstLine="683"/>
        <w:spacing w:after="0" w:line="259" w:lineRule="auto"/>
        <w:tabs>
          <w:tab w:leader="none" w:pos="1215" w:val="left"/>
        </w:tabs>
        <w:numPr>
          <w:ilvl w:val="2"/>
          <w:numId w:val="57"/>
        </w:numPr>
        <w:rPr>
          <w:rFonts w:ascii="Arial" w:cs="Arial" w:eastAsia="Arial" w:hAnsi="Arial"/>
          <w:sz w:val="18"/>
          <w:szCs w:val="18"/>
          <w:color w:val="auto"/>
        </w:rPr>
      </w:pPr>
      <w:r>
        <w:rPr>
          <w:rFonts w:ascii="Arial" w:cs="Arial" w:eastAsia="Arial" w:hAnsi="Arial"/>
          <w:sz w:val="18"/>
          <w:szCs w:val="18"/>
          <w:color w:val="auto"/>
        </w:rPr>
        <w:t>A party shall be entitled to initiate an arbitration proceeding if a dispute cannot be resolved amicably within thirty days after the other party has been notified in writing of the existence of the dispute. The parties shall attempt to agree upon the arbitrator, who shall be a retired California state or federal court judge who is on the JAMS panel of arbitrators. If the parties cannot agree upon an arbitrator within fifteen days after the matter is submitted for arbitration, a retired California state or federal court judge from the JAMS panel of</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81" w:name="page82"/>
    <w:bookmarkEnd w:id="81"/>
    <w:p>
      <w:pPr>
        <w:ind w:right="140"/>
        <w:spacing w:after="0" w:line="264" w:lineRule="auto"/>
        <w:rPr>
          <w:sz w:val="20"/>
          <w:szCs w:val="20"/>
          <w:color w:val="auto"/>
        </w:rPr>
      </w:pPr>
      <w:r>
        <w:rPr>
          <w:rFonts w:ascii="Arial" w:cs="Arial" w:eastAsia="Arial" w:hAnsi="Arial"/>
          <w:sz w:val="18"/>
          <w:szCs w:val="18"/>
          <w:color w:val="auto"/>
        </w:rPr>
        <w:t>arbitrators promptly shall be appointed in accordance with the applicable rules of JAMS to serve as the sole arbitrator. Each party shall have the right to be represented by counsel in the arbitration proceeding and, if required by JAMS, the arbitration proceeding shall comply with the JAMS “Minimum Standards of Procedural Fairness for Employment Arbitration.”</w:t>
      </w:r>
    </w:p>
    <w:p>
      <w:pPr>
        <w:spacing w:after="0" w:line="73" w:lineRule="exact"/>
        <w:rPr>
          <w:sz w:val="20"/>
          <w:szCs w:val="20"/>
          <w:color w:val="auto"/>
        </w:rPr>
      </w:pPr>
    </w:p>
    <w:p>
      <w:pPr>
        <w:ind w:firstLine="683"/>
        <w:spacing w:after="0" w:line="289" w:lineRule="auto"/>
        <w:tabs>
          <w:tab w:leader="none" w:pos="1157"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The arbitrator is instructed to interpret and enforce this Agreement in strict accordance with its terms, and the arbitrator shall not have the right or power to alter or amend any term of this Agreement except to the limited extent expressly provided above in Section 9(b), entitled Provisions Subject to Applicable Law. The arbitrator is required to apply applicable substantive law in making an award, and the arbitrator is required to issue a written decision that summarizes the findings and conclusions upon which the award is based. An award of the arbitrator that is in violation of the requirements of either of the two immediately preceding sentences shall constitute an action that exceeds the arbitrator’s power under this Agreement and, as such, may be vacated by a court of competent jurisdiction. The arbitrator’s award may be enforced in any court having jurisdiction over the matter. Notwithstanding the preceding provisions of this Section 9(h), each party is entitled to bring an action for temporary or preliminary injunctive relief at any time in any court of competent jurisdiction in order to prevent immeasurable and irreparable injury that might result from a breach of this Agreement. </w:t>
      </w:r>
      <w:r>
        <w:rPr>
          <w:rFonts w:ascii="Arial" w:cs="Arial" w:eastAsia="Arial" w:hAnsi="Arial"/>
          <w:sz w:val="16"/>
          <w:szCs w:val="16"/>
          <w:u w:val="single" w:color="auto"/>
          <w:color w:val="auto"/>
        </w:rPr>
        <w:t>Each party agrees that all rights to a</w:t>
      </w:r>
      <w:r>
        <w:rPr>
          <w:rFonts w:ascii="Arial" w:cs="Arial" w:eastAsia="Arial" w:hAnsi="Arial"/>
          <w:sz w:val="16"/>
          <w:szCs w:val="16"/>
          <w:color w:val="auto"/>
        </w:rPr>
        <w:t xml:space="preserve"> </w:t>
      </w:r>
      <w:r>
        <w:rPr>
          <w:rFonts w:ascii="Arial" w:cs="Arial" w:eastAsia="Arial" w:hAnsi="Arial"/>
          <w:sz w:val="16"/>
          <w:szCs w:val="16"/>
          <w:u w:val="single" w:color="auto"/>
          <w:color w:val="auto"/>
        </w:rPr>
        <w:t>trial by a jury of any claim arising out of or relating to this Agreement are forever and absolutely waived</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right="80" w:firstLine="683"/>
        <w:spacing w:after="0" w:line="273" w:lineRule="auto"/>
        <w:tabs>
          <w:tab w:leader="none" w:pos="1107" w:val="left"/>
        </w:tabs>
        <w:numPr>
          <w:ilvl w:val="0"/>
          <w:numId w:val="58"/>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the unsuccessful party to any arbitration proceeding or to any court action that is permitted by this Agreement shall pay to the prevailing party all costs and expenses, including, without limitation, reasonable attorneys’ fees, incurred in the arbitration proceeding or the court action by the successful party, all of which shall be included in and as a part of the award rendered in the proceeding or action. For purposes of this paragraph, attorneys’ fees shall include, without limitation, fees incurred in connection with post-judgment and post-award actions. Notwithstanding the preceding provisions of this paragraph, if required by applicable California law, the Company shall pay the fees of the arbitrator and all other fees that are charged by JAMS in connection with the arbitration proceeding.</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t>IN WITNESS WHEREOF, the Company and the Option Holder have executed and delivered this Agreement as of the day and year first written above.</w:t>
      </w:r>
    </w:p>
    <w:p>
      <w:pPr>
        <w:sectPr>
          <w:pgSz w:w="11900" w:h="16838" w:orient="portrait"/>
          <w:cols w:equalWidth="0" w:num="1">
            <w:col w:w="10880"/>
          </w:cols>
          <w:pgMar w:left="480" w:top="935" w:right="539" w:bottom="1440" w:gutter="0" w:footer="0" w:header="0"/>
        </w:sectPr>
      </w:pPr>
    </w:p>
    <w:p>
      <w:pPr>
        <w:spacing w:after="0" w:line="248"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CALAVO GROWERS, INC.</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3068955</wp:posOffset>
            </wp:positionH>
            <wp:positionV relativeFrom="paragraph">
              <wp:posOffset>-130810</wp:posOffset>
            </wp:positionV>
            <wp:extent cx="31642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3068955</wp:posOffset>
            </wp:positionH>
            <wp:positionV relativeFrom="paragraph">
              <wp:posOffset>-130810</wp:posOffset>
            </wp:positionV>
            <wp:extent cx="31642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3068955</wp:posOffset>
            </wp:positionH>
            <wp:positionV relativeFrom="paragraph">
              <wp:posOffset>-130810</wp:posOffset>
            </wp:positionV>
            <wp:extent cx="31642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0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1141A Cummings Road</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Santa Paula, CA 93060</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Attention: Controller</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Fax: (805) 921-3223</w:t>
      </w:r>
    </w:p>
    <w:p>
      <w:pPr>
        <w:spacing w:after="0" w:line="211"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46"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OPTION HOLDER</w:t>
      </w:r>
    </w:p>
    <w:p>
      <w:pPr>
        <w:spacing w:after="0" w:line="21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248"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248"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Fax: 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480" w:top="935" w:right="539" w:bottom="144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8"/>
          <w:szCs w:val="18"/>
          <w:b w:val="1"/>
          <w:bCs w:val="1"/>
          <w:u w:val="single" w:color="auto"/>
          <w:color w:val="auto"/>
        </w:rPr>
        <w:t>OPTION EXERCISE NOTICE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1141A Cummings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Paula, CA 93060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Controller</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 hereby notify Calavo Growers, Inc.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of my election to purchase _________shares of the Company’s common stock at a purchase price</w:t>
      </w:r>
    </w:p>
    <w:p>
      <w:pPr>
        <w:spacing w:after="0" w:line="5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of $9.10 per share pursuant to an option that was granted under the Stock Option Agreement dated as of August 25, 2005 (the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between the Company and ____________________________.</w:t>
      </w:r>
    </w:p>
    <w:p>
      <w:pPr>
        <w:spacing w:after="0" w:line="76"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If the Option Holder named above assigned part or all of the option to a family member or family trust pursuant to Section 5(b) of the Agreement, this Option Exercise Notice is being executed by the transferee instead of the Option Holder.</w:t>
      </w:r>
    </w:p>
    <w:p>
      <w:pPr>
        <w:spacing w:after="0" w:line="62"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Concurrently with the delivery to the Company of this notice, I have delivered to the Company the purchase price of the shares in the manner provided in the Agreement.</w:t>
      </w:r>
    </w:p>
    <w:p>
      <w:pPr>
        <w:spacing w:after="0" w:line="6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 agree to execute whatever additional documents are requested by the Company in order to complete the exercise of my option. All of the representations and warranties that I made in Section 8 of the Agreement remain accurate as of the date of this notice.</w:t>
      </w:r>
    </w:p>
    <w:p>
      <w:pPr>
        <w:sectPr>
          <w:pgSz w:w="11900" w:h="16838" w:orient="portrait"/>
          <w:cols w:equalWidth="0" w:num="1">
            <w:col w:w="11420"/>
          </w:cols>
          <w:pgMar w:left="240" w:top="958"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Dated:___________________________________</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__________________________________________________________________ Signature</w:t>
      </w:r>
    </w:p>
    <w:p>
      <w:pPr>
        <w:spacing w:after="0" w:line="124" w:lineRule="exact"/>
        <w:rPr>
          <w:sz w:val="20"/>
          <w:szCs w:val="20"/>
          <w:color w:val="auto"/>
        </w:rPr>
      </w:pPr>
    </w:p>
    <w:p>
      <w:pPr>
        <w:sectPr>
          <w:pgSz w:w="11900" w:h="16838" w:orient="portrait"/>
          <w:cols w:equalWidth="0" w:num="2">
            <w:col w:w="4760" w:space="720"/>
            <w:col w:w="5940"/>
          </w:cols>
          <w:pgMar w:left="240" w:top="958" w:right="239" w:bottom="1440" w:gutter="0" w:footer="0" w:header="0"/>
          <w:type w:val="continuous"/>
        </w:sectPr>
      </w:pPr>
    </w:p>
    <w:p>
      <w:pPr>
        <w:ind w:left="5480"/>
        <w:spacing w:after="0" w:line="342" w:lineRule="auto"/>
        <w:rPr>
          <w:sz w:val="20"/>
          <w:szCs w:val="20"/>
          <w:color w:val="auto"/>
        </w:rPr>
      </w:pPr>
      <w:r>
        <w:rPr>
          <w:rFonts w:ascii="Arial" w:cs="Arial" w:eastAsia="Arial" w:hAnsi="Arial"/>
          <w:sz w:val="16"/>
          <w:szCs w:val="16"/>
          <w:color w:val="auto"/>
        </w:rPr>
        <w:t>__________________________________________________________________ Print Name</w:t>
      </w:r>
    </w:p>
    <w:p>
      <w:pPr>
        <w:sectPr>
          <w:pgSz w:w="11900" w:h="16838" w:orient="portrait"/>
          <w:cols w:equalWidth="0" w:num="1">
            <w:col w:w="11420"/>
          </w:cols>
          <w:pgMar w:left="240" w:top="958" w:right="2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color w:val="auto"/>
        </w:rPr>
        <w:t>Exhibit 23.1</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incorporation by reference in Registration Statement No. 333-75378 on Form S-8 of our report dated January 31, 2006, relating to the financial statements and financial statement schedule of Calavo Growers, Inc., and of our report on internal control over financial reporting dated January 31, 2006 (which report expresses an adverse opinion on management’s assessment and on the effectiveness of the Calavo Growers, Inc.’s internal control over financial reporting because of a material weakness) appearing in the Annual Report on Form 10-K of Calavo Growers, Inc. for the year ended October 31,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31, 2006</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935" w:right="31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Lecil E. Cole, certify that:</w:t>
      </w:r>
    </w:p>
    <w:p>
      <w:pPr>
        <w:spacing w:after="0" w:line="117"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Calavo Growers,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20" w:hanging="452"/>
        <w:spacing w:after="0" w:line="308"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360" w:hanging="446"/>
        <w:spacing w:after="0" w:line="264"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380" w:hanging="452"/>
        <w:spacing w:after="0" w:line="277"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900" w:right="200" w:hanging="446"/>
        <w:spacing w:after="0" w:line="308" w:lineRule="auto"/>
        <w:tabs>
          <w:tab w:leader="none" w:pos="900" w:val="left"/>
        </w:tabs>
        <w:numPr>
          <w:ilvl w:val="1"/>
          <w:numId w:val="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160" w:hanging="446"/>
        <w:spacing w:after="0" w:line="277"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January 31, 2006</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Lecil E. Cole</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Lecil E. Cole</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05"/>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1420"/>
          </w:cols>
          <w:pgMar w:left="240" w:top="93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Arthur J. Bruno, certify that:</w:t>
      </w:r>
    </w:p>
    <w:p>
      <w:pPr>
        <w:spacing w:after="0" w:line="117"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Calavo Growers,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20" w:hanging="452"/>
        <w:spacing w:after="0" w:line="308" w:lineRule="auto"/>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360" w:hanging="446"/>
        <w:spacing w:after="0" w:line="264"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380" w:hanging="452"/>
        <w:spacing w:after="0" w:line="277"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900" w:right="200" w:hanging="446"/>
        <w:spacing w:after="0" w:line="308" w:lineRule="auto"/>
        <w:tabs>
          <w:tab w:leader="none" w:pos="900"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160" w:hanging="446"/>
        <w:spacing w:after="0" w:line="277"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January 31, 2006</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J. Bruno</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Arthur J. Bruno</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Operating Officer and Chief Financial</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Officer</w:t>
            </w:r>
          </w:p>
        </w:tc>
      </w:tr>
      <w:tr>
        <w:trPr>
          <w:trHeight w:val="405"/>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1420"/>
          </w:cols>
          <w:pgMar w:left="240" w:top="1368"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STATEMENT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CHIEF FINANCIAL OFFICER</w:t>
      </w:r>
    </w:p>
    <w:p>
      <w:pPr>
        <w:spacing w:after="0" w:line="103"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Each of the undersigned, the Chairman of the Board and Chief Executive Officer and Chief Operating Officer, Chief Financial Officer, and Corporate Secretary of Calavo Growers, Inc. (the Company), hereby certifies, pursuant to 18 U.S.C. Section 1350, as adopted pursuant to Section 906 of the Sarbanes-Oxley Act of 2002, that, to his knowledge, the Company’s Annual Report on Form 10-K for the year ended October 31, 2005,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31,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Lecil E. Cole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Lecil E. Cole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Arthur J. Bruno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Arthur J. Bruno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sectPr>
      <w:pgSz w:w="11900" w:h="16838" w:orient="portrait"/>
      <w:cols w:equalWidth="0" w:num="1">
        <w:col w:w="11420"/>
      </w:cols>
      <w:pgMar w:left="240" w:top="1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emdash "/>
      <w:numFmt w:val="bullet"/>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1)"/>
      <w:numFmt w:val="lowerLetter"/>
      <w:start w:val="1"/>
    </w:lvl>
  </w:abstractNum>
  <w:abstractNum w:abstractNumId="9">
    <w:nsid w:val="5577F8E1"/>
    <w:multiLevelType w:val="hybridMultilevel"/>
    <w:lvl w:ilvl="0">
      <w:lvlJc w:val="left"/>
      <w:lvlText w:val="(%1)"/>
      <w:numFmt w:val="decimal"/>
      <w:start w:val="2"/>
    </w:lvl>
  </w:abstractNum>
  <w:abstractNum w:abstractNumId="10">
    <w:nsid w:val="440BADFC"/>
    <w:multiLevelType w:val="hybridMultilevel"/>
    <w:lvl w:ilvl="0">
      <w:lvlJc w:val="left"/>
      <w:lvlText w:val="%1"/>
      <w:numFmt w:val="decimal"/>
      <w:start w:val="1"/>
    </w:lvl>
    <w:lvl w:ilvl="1">
      <w:lvlJc w:val="left"/>
      <w:lvlText w:val="%2"/>
      <w:numFmt w:val="decimal"/>
      <w:start w:val="32"/>
    </w:lvl>
  </w:abstractNum>
  <w:abstractNum w:abstractNumId="11">
    <w:nsid w:val="5072367"/>
    <w:multiLevelType w:val="hybridMultilevel"/>
    <w:lvl w:ilvl="0">
      <w:lvlJc w:val="left"/>
      <w:lvlText w:val="2"/>
      <w:numFmt w:val="bullet"/>
      <w:start w:val="1"/>
    </w:lvl>
  </w:abstractNum>
  <w:abstractNum w:abstractNumId="12">
    <w:nsid w:val="3804823E"/>
    <w:multiLevelType w:val="hybridMultilevel"/>
    <w:lvl w:ilvl="0">
      <w:lvlJc w:val="left"/>
      <w:lvlText w:val="3"/>
      <w:numFmt w:val="bullet"/>
      <w:start w:val="1"/>
    </w:lvl>
  </w:abstractNum>
  <w:abstractNum w:abstractNumId="13">
    <w:nsid w:val="77465F01"/>
    <w:multiLevelType w:val="hybridMultilevel"/>
    <w:lvl w:ilvl="0">
      <w:lvlJc w:val="left"/>
      <w:lvlText w:val="4"/>
      <w:numFmt w:val="bullet"/>
      <w:start w:val="1"/>
    </w:lvl>
  </w:abstractNum>
  <w:abstractNum w:abstractNumId="14">
    <w:nsid w:val="7724C67E"/>
    <w:multiLevelType w:val="hybridMultilevel"/>
    <w:lvl w:ilvl="0">
      <w:lvlJc w:val="left"/>
      <w:lvlText w:val="5"/>
      <w:numFmt w:val="bullet"/>
      <w:start w:val="1"/>
    </w:lvl>
  </w:abstractNum>
  <w:abstractNum w:abstractNumId="15">
    <w:nsid w:val="5C482A97"/>
    <w:multiLevelType w:val="hybridMultilevel"/>
    <w:lvl w:ilvl="0">
      <w:lvlJc w:val="left"/>
      <w:lvlText w:val="6"/>
      <w:numFmt w:val="bullet"/>
      <w:start w:val="1"/>
    </w:lvl>
  </w:abstractNum>
  <w:abstractNum w:abstractNumId="16">
    <w:nsid w:val="2463B9EA"/>
    <w:multiLevelType w:val="hybridMultilevel"/>
    <w:lvl w:ilvl="0">
      <w:lvlJc w:val="left"/>
      <w:lvlText w:val="7"/>
      <w:numFmt w:val="bullet"/>
      <w:start w:val="1"/>
    </w:lvl>
  </w:abstractNum>
  <w:abstractNum w:abstractNumId="17">
    <w:nsid w:val="5E884ADC"/>
    <w:multiLevelType w:val="hybridMultilevel"/>
    <w:lvl w:ilvl="0">
      <w:lvlJc w:val="left"/>
      <w:lvlText w:val="(%1)"/>
      <w:numFmt w:val="lowerLetter"/>
      <w:start w:val="3"/>
    </w:lvl>
  </w:abstractNum>
  <w:abstractNum w:abstractNumId="18">
    <w:nsid w:val="51EAD36B"/>
    <w:multiLevelType w:val="hybridMultilevel"/>
    <w:lvl w:ilvl="0">
      <w:lvlJc w:val="left"/>
      <w:lvlText w:val="(%1)"/>
      <w:numFmt w:val="decimal"/>
      <w:start w:val="1"/>
    </w:lvl>
  </w:abstractNum>
  <w:abstractNum w:abstractNumId="19">
    <w:nsid w:val="2D517796"/>
    <w:multiLevelType w:val="hybridMultilevel"/>
    <w:lvl w:ilvl="0">
      <w:lvlJc w:val="left"/>
      <w:lvlText w:val="%1"/>
      <w:numFmt w:val="decimal"/>
      <w:start w:val="32"/>
    </w:lvl>
  </w:abstractNum>
  <w:abstractNum w:abstractNumId="20">
    <w:nsid w:val="580BD78F"/>
    <w:multiLevelType w:val="hybridMultilevel"/>
    <w:lvl w:ilvl="0">
      <w:lvlJc w:val="left"/>
      <w:lvlText w:val="1"/>
      <w:numFmt w:val="bullet"/>
      <w:start w:val="1"/>
    </w:lvl>
  </w:abstractNum>
  <w:abstractNum w:abstractNumId="21">
    <w:nsid w:val="153EA438"/>
    <w:multiLevelType w:val="hybridMultilevel"/>
    <w:lvl w:ilvl="0">
      <w:lvlJc w:val="left"/>
      <w:lvlText w:val="2"/>
      <w:numFmt w:val="bullet"/>
      <w:start w:val="1"/>
    </w:lvl>
  </w:abstractNum>
  <w:abstractNum w:abstractNumId="22">
    <w:nsid w:val="3855585C"/>
    <w:multiLevelType w:val="hybridMultilevel"/>
    <w:lvl w:ilvl="0">
      <w:lvlJc w:val="left"/>
      <w:lvlText w:val="3"/>
      <w:numFmt w:val="bullet"/>
      <w:start w:val="1"/>
    </w:lvl>
  </w:abstractNum>
  <w:abstractNum w:abstractNumId="23">
    <w:nsid w:val="70A64E2A"/>
    <w:multiLevelType w:val="hybridMultilevel"/>
    <w:lvl w:ilvl="0">
      <w:lvlJc w:val="left"/>
      <w:lvlText w:val="4"/>
      <w:numFmt w:val="bullet"/>
      <w:start w:val="1"/>
    </w:lvl>
  </w:abstractNum>
  <w:abstractNum w:abstractNumId="24">
    <w:nsid w:val="6A2342EC"/>
    <w:multiLevelType w:val="hybridMultilevel"/>
    <w:lvl w:ilvl="0">
      <w:lvlJc w:val="left"/>
      <w:lvlText w:val="5"/>
      <w:numFmt w:val="bullet"/>
      <w:start w:val="1"/>
    </w:lvl>
  </w:abstractNum>
  <w:abstractNum w:abstractNumId="25">
    <w:nsid w:val="2A487CB0"/>
    <w:multiLevelType w:val="hybridMultilevel"/>
    <w:lvl w:ilvl="0">
      <w:lvlJc w:val="left"/>
      <w:lvlText w:val="6"/>
      <w:numFmt w:val="bullet"/>
      <w:start w:val="1"/>
    </w:lvl>
  </w:abstractNum>
  <w:abstractNum w:abstractNumId="26">
    <w:nsid w:val="1D4ED43B"/>
    <w:multiLevelType w:val="hybridMultilevel"/>
    <w:lvl w:ilvl="0">
      <w:lvlJc w:val="left"/>
      <w:lvlText w:val="7"/>
      <w:numFmt w:val="bullet"/>
      <w:start w:val="1"/>
    </w:lvl>
  </w:abstractNum>
  <w:abstractNum w:abstractNumId="27">
    <w:nsid w:val="725A06FB"/>
    <w:multiLevelType w:val="hybridMultilevel"/>
    <w:lvl w:ilvl="0">
      <w:lvlJc w:val="left"/>
      <w:lvlText w:val="(%1)"/>
      <w:numFmt w:val="upperLetter"/>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upperLetter"/>
      <w:start w:val="2"/>
    </w:lvl>
  </w:abstractNum>
  <w:abstractNum w:abstractNumId="30">
    <w:nsid w:val="7A6D8D3C"/>
    <w:multiLevelType w:val="hybridMultilevel"/>
    <w:lvl w:ilvl="0">
      <w:lvlJc w:val="left"/>
      <w:lvlText w:val="(%1)"/>
      <w:numFmt w:val="upperLetter"/>
      <w:start w:val="1"/>
    </w:lvl>
  </w:abstractNum>
  <w:abstractNum w:abstractNumId="31">
    <w:nsid w:val="4B588F54"/>
    <w:multiLevelType w:val="hybridMultilevel"/>
    <w:lvl w:ilvl="0">
      <w:lvlJc w:val="left"/>
      <w:lvlText w:val="(%1)"/>
      <w:numFmt w:val="upperLetter"/>
      <w:start w:val="1"/>
    </w:lvl>
  </w:abstractNum>
  <w:abstractNum w:abstractNumId="32">
    <w:nsid w:val="542289EC"/>
    <w:multiLevelType w:val="hybridMultilevel"/>
    <w:lvl w:ilvl="0">
      <w:lvlJc w:val="left"/>
      <w:lvlText w:val="(%1)"/>
      <w:numFmt w:val="decimal"/>
      <w:start w:val="2"/>
    </w:lvl>
  </w:abstractNum>
  <w:abstractNum w:abstractNumId="33">
    <w:nsid w:val="6DE91B18"/>
    <w:multiLevelType w:val="hybridMultilevel"/>
    <w:lvl w:ilvl="0">
      <w:lvlJc w:val="left"/>
      <w:lvlText w:val="(%1)"/>
      <w:numFmt w:val="upperLetter"/>
      <w:start w:val="1"/>
    </w:lvl>
  </w:abstractNum>
  <w:abstractNum w:abstractNumId="34">
    <w:nsid w:val="38437FDB"/>
    <w:multiLevelType w:val="hybridMultilevel"/>
    <w:lvl w:ilvl="0">
      <w:lvlJc w:val="left"/>
      <w:lvlText w:val="(%1)"/>
      <w:numFmt w:val="upperLetter"/>
      <w:start w:val="4"/>
    </w:lvl>
    <w:lvl w:ilvl="1">
      <w:lvlJc w:val="left"/>
      <w:lvlText w:val="(%2)"/>
      <w:numFmt w:val="decimal"/>
      <w:start w:val="1"/>
    </w:lvl>
  </w:abstractNum>
  <w:abstractNum w:abstractNumId="35">
    <w:nsid w:val="7644A45C"/>
    <w:multiLevelType w:val="hybridMultilevel"/>
    <w:lvl w:ilvl="0">
      <w:lvlJc w:val="left"/>
      <w:lvlText w:val="%1"/>
      <w:numFmt w:val="upperLetter"/>
      <w:start w:val="1"/>
    </w:lvl>
    <w:lvl w:ilvl="1">
      <w:lvlJc w:val="left"/>
      <w:lvlText w:val="(%2)"/>
      <w:numFmt w:val="decimal"/>
      <w:start w:val="5"/>
    </w:lvl>
  </w:abstractNum>
  <w:abstractNum w:abstractNumId="36">
    <w:nsid w:val="32FFF902"/>
    <w:multiLevelType w:val="hybridMultilevel"/>
    <w:lvl w:ilvl="0">
      <w:lvlJc w:val="left"/>
      <w:lvlText w:val="(%1)"/>
      <w:numFmt w:val="upperLetter"/>
      <w:start w:val="8"/>
    </w:lvl>
    <w:lvl w:ilvl="1">
      <w:lvlJc w:val="left"/>
      <w:lvlText w:val="%2"/>
      <w:numFmt w:val="decimal"/>
      <w:start w:val="1"/>
    </w:lvl>
  </w:abstractNum>
  <w:abstractNum w:abstractNumId="37">
    <w:nsid w:val="684A481A"/>
    <w:multiLevelType w:val="hybridMultilevel"/>
    <w:lvl w:ilvl="0">
      <w:lvlJc w:val="left"/>
      <w:lvlText w:val="%1"/>
      <w:numFmt w:val="lowerRoman"/>
      <w:start w:val="1"/>
    </w:lvl>
    <w:lvl w:ilvl="1">
      <w:lvlJc w:val="left"/>
      <w:lvlText w:val="(%2)"/>
      <w:numFmt w:val="upperLetter"/>
      <w:start w:val="1"/>
    </w:lvl>
  </w:abstractNum>
  <w:abstractNum w:abstractNumId="38">
    <w:nsid w:val="579478FE"/>
    <w:multiLevelType w:val="hybridMultilevel"/>
    <w:lvl w:ilvl="0">
      <w:lvlJc w:val="left"/>
      <w:lvlText w:val="(%1)"/>
      <w:numFmt w:val="lowerRoman"/>
      <w:start w:val="2"/>
    </w:lvl>
    <w:lvl w:ilvl="1">
      <w:lvlJc w:val="left"/>
      <w:lvlText w:val="%2"/>
      <w:numFmt w:val="upperLetter"/>
      <w:start w:val="1"/>
    </w:lvl>
  </w:abstractNum>
  <w:abstractNum w:abstractNumId="39">
    <w:nsid w:val="749ABB43"/>
    <w:multiLevelType w:val="hybridMultilevel"/>
    <w:lvl w:ilvl="0">
      <w:lvlJc w:val="left"/>
      <w:lvlText w:val="%1"/>
      <w:numFmt w:val="lowerRoman"/>
      <w:start w:val="1"/>
    </w:lvl>
    <w:lvl w:ilvl="1">
      <w:lvlJc w:val="left"/>
      <w:lvlText w:val="(%2)"/>
      <w:numFmt w:val="upperLetter"/>
      <w:start w:val="2"/>
    </w:lvl>
  </w:abstractNum>
  <w:abstractNum w:abstractNumId="40">
    <w:nsid w:val="3DC240FB"/>
    <w:multiLevelType w:val="hybridMultilevel"/>
    <w:lvl w:ilvl="0">
      <w:lvlJc w:val="left"/>
      <w:lvlText w:val="(%1)"/>
      <w:numFmt w:val="lowerRoman"/>
      <w:start w:val="5"/>
    </w:lvl>
    <w:lvl w:ilvl="1">
      <w:lvlJc w:val="left"/>
      <w:lvlText w:val="(%2)"/>
      <w:numFmt w:val="upperLetter"/>
      <w:start w:val="3"/>
    </w:lvl>
  </w:abstractNum>
  <w:abstractNum w:abstractNumId="41">
    <w:nsid w:val="1BA026FA"/>
    <w:multiLevelType w:val="hybridMultilevel"/>
    <w:lvl w:ilvl="0">
      <w:lvlJc w:val="left"/>
      <w:lvlText w:val="(%1)"/>
      <w:numFmt w:val="upperLetter"/>
      <w:start w:val="1"/>
    </w:lvl>
  </w:abstractNum>
  <w:abstractNum w:abstractNumId="42">
    <w:nsid w:val="79A1DEAA"/>
    <w:multiLevelType w:val="hybridMultilevel"/>
    <w:lvl w:ilvl="0">
      <w:lvlJc w:val="left"/>
      <w:lvlText w:val="(%1)"/>
      <w:numFmt w:val="upperLetter"/>
      <w:start w:val="3"/>
    </w:lvl>
  </w:abstractNum>
  <w:abstractNum w:abstractNumId="43">
    <w:nsid w:val="75C6C33A"/>
    <w:multiLevelType w:val="hybridMultilevel"/>
    <w:lvl w:ilvl="0">
      <w:lvlJc w:val="left"/>
      <w:lvlText w:val="(%1)"/>
      <w:numFmt w:val="upperLetter"/>
      <w:start w:val="1"/>
    </w:lvl>
  </w:abstractNum>
  <w:abstractNum w:abstractNumId="44">
    <w:nsid w:val="12E685FB"/>
    <w:multiLevelType w:val="hybridMultilevel"/>
    <w:lvl w:ilvl="0">
      <w:lvlJc w:val="left"/>
      <w:lvlText w:val="%1"/>
      <w:numFmt w:val="lowerRoman"/>
      <w:start w:val="1"/>
    </w:lvl>
    <w:lvl w:ilvl="1">
      <w:lvlJc w:val="left"/>
      <w:lvlText w:val="(%2)"/>
      <w:numFmt w:val="upperLetter"/>
      <w:start w:val="7"/>
    </w:lvl>
  </w:abstractNum>
  <w:abstractNum w:abstractNumId="45">
    <w:nsid w:val="70C6A529"/>
    <w:multiLevelType w:val="hybridMultilevel"/>
    <w:lvl w:ilvl="0">
      <w:lvlJc w:val="left"/>
      <w:lvlText w:val="(%1)"/>
      <w:numFmt w:val="lowerRoman"/>
      <w:start w:val="1"/>
    </w:lvl>
    <w:lvl w:ilvl="1">
      <w:lvlJc w:val="left"/>
      <w:lvlText w:val="(%2)"/>
      <w:numFmt w:val="upperLetter"/>
      <w:start w:val="8"/>
    </w:lvl>
  </w:abstractNum>
  <w:abstractNum w:abstractNumId="46">
    <w:nsid w:val="520EEDD1"/>
    <w:multiLevelType w:val="hybridMultilevel"/>
    <w:lvl w:ilvl="0">
      <w:lvlJc w:val="left"/>
      <w:lvlText w:val="(%1)"/>
      <w:numFmt w:val="upperLetter"/>
      <w:start w:val="1"/>
    </w:lvl>
  </w:abstractNum>
  <w:abstractNum w:abstractNumId="47">
    <w:nsid w:val="374A3FE6"/>
    <w:multiLevelType w:val="hybridMultilevel"/>
    <w:lvl w:ilvl="0">
      <w:lvlJc w:val="left"/>
      <w:lvlText w:val="(%1)"/>
      <w:numFmt w:val="upperLetter"/>
      <w:start w:val="2"/>
    </w:lvl>
  </w:abstractNum>
  <w:abstractNum w:abstractNumId="48">
    <w:nsid w:val="4F4EF005"/>
    <w:multiLevelType w:val="hybridMultilevel"/>
    <w:lvl w:ilvl="0">
      <w:lvlJc w:val="left"/>
      <w:lvlText w:val="%1."/>
      <w:numFmt w:val="upperLetter"/>
      <w:start w:val="1"/>
    </w:lvl>
  </w:abstractNum>
  <w:abstractNum w:abstractNumId="49">
    <w:nsid w:val="23F9C13C"/>
    <w:multiLevelType w:val="hybridMultilevel"/>
    <w:lvl w:ilvl="0">
      <w:lvlJc w:val="left"/>
      <w:lvlText w:val="%1."/>
      <w:numFmt w:val="decimal"/>
      <w:start w:val="1"/>
    </w:lvl>
    <w:lvl w:ilvl="1">
      <w:lvlJc w:val="left"/>
      <w:lvlText w:val="(%2)"/>
      <w:numFmt w:val="lowerLetter"/>
      <w:start w:val="1"/>
    </w:lvl>
  </w:abstractNum>
  <w:abstractNum w:abstractNumId="50">
    <w:nsid w:val="649BB77C"/>
    <w:multiLevelType w:val="hybridMultilevel"/>
    <w:lvl w:ilvl="0">
      <w:lvlJc w:val="left"/>
      <w:lvlText w:val="%1"/>
      <w:numFmt w:val="decimal"/>
      <w:start w:val="1"/>
    </w:lvl>
    <w:lvl w:ilvl="1">
      <w:lvlJc w:val="left"/>
      <w:lvlText w:val="(%2)"/>
      <w:numFmt w:val="lowerLetter"/>
      <w:start w:val="2"/>
    </w:lvl>
  </w:abstractNum>
  <w:abstractNum w:abstractNumId="51">
    <w:nsid w:val="275AC794"/>
    <w:multiLevelType w:val="hybridMultilevel"/>
    <w:lvl w:ilvl="0">
      <w:lvlJc w:val="left"/>
      <w:lvlText w:val="%1."/>
      <w:numFmt w:val="decimal"/>
      <w:start w:val="3"/>
    </w:lvl>
    <w:lvl w:ilvl="1">
      <w:lvlJc w:val="left"/>
      <w:lvlText w:val="(%2)"/>
      <w:numFmt w:val="lowerLetter"/>
      <w:start w:val="1"/>
    </w:lvl>
  </w:abstractNum>
  <w:abstractNum w:abstractNumId="52">
    <w:nsid w:val="39386575"/>
    <w:multiLevelType w:val="hybridMultilevel"/>
    <w:lvl w:ilvl="0">
      <w:lvlJc w:val="left"/>
      <w:lvlText w:val="%1."/>
      <w:numFmt w:val="decimal"/>
      <w:start w:val="6"/>
    </w:lvl>
    <w:lvl w:ilvl="1">
      <w:lvlJc w:val="left"/>
      <w:lvlText w:val="(%2)"/>
      <w:numFmt w:val="lowerLetter"/>
      <w:start w:val="1"/>
    </w:lvl>
  </w:abstractNum>
  <w:abstractNum w:abstractNumId="53">
    <w:nsid w:val="1CF10FD8"/>
    <w:multiLevelType w:val="hybridMultilevel"/>
    <w:lvl w:ilvl="0">
      <w:lvlJc w:val="left"/>
      <w:lvlText w:val="%1"/>
      <w:numFmt w:val="decimal"/>
      <w:start w:val="1"/>
    </w:lvl>
    <w:lvl w:ilvl="1">
      <w:lvlJc w:val="left"/>
      <w:lvlText w:val="(%2)"/>
      <w:numFmt w:val="lowerLetter"/>
      <w:start w:val="3"/>
    </w:lvl>
  </w:abstractNum>
  <w:abstractNum w:abstractNumId="54">
    <w:nsid w:val="180115BE"/>
    <w:multiLevelType w:val="hybridMultilevel"/>
    <w:lvl w:ilvl="0">
      <w:lvlJc w:val="left"/>
      <w:lvlText w:val="%1."/>
      <w:numFmt w:val="decimal"/>
      <w:start w:val="9"/>
    </w:lvl>
    <w:lvl w:ilvl="1">
      <w:lvlJc w:val="left"/>
      <w:lvlText w:val="(%2)"/>
      <w:numFmt w:val="lowerLetter"/>
      <w:start w:val="1"/>
    </w:lvl>
  </w:abstractNum>
  <w:abstractNum w:abstractNumId="55">
    <w:nsid w:val="235BA861"/>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56">
    <w:nsid w:val="47398C89"/>
    <w:multiLevelType w:val="hybridMultilevel"/>
    <w:lvl w:ilvl="0">
      <w:lvlJc w:val="left"/>
      <w:lvlText w:val="(%1)"/>
      <w:numFmt w:val="lowerLetter"/>
      <w:start w:val="9"/>
    </w:lvl>
    <w:lvl w:ilvl="1">
      <w:lvlJc w:val="left"/>
      <w:lvlText w:val="(%2)"/>
      <w:numFmt w:val="lowerLetter"/>
      <w:start w:val="6"/>
    </w:lvl>
    <w:lvl w:ilvl="2">
      <w:lvlJc w:val="left"/>
      <w:lvlText w:val="(%3)"/>
      <w:numFmt w:val="lowerRoman"/>
      <w:start w:val="1"/>
    </w:lvl>
  </w:abstractNum>
  <w:abstractNum w:abstractNumId="57">
    <w:nsid w:val="354FE9F9"/>
    <w:multiLevelType w:val="hybridMultilevel"/>
    <w:lvl w:ilvl="0">
      <w:lvlJc w:val="left"/>
      <w:lvlText w:val="(%1)"/>
      <w:numFmt w:val="lowerRoman"/>
      <w:start w:val="4"/>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2020-02-05T22:04:07Z</dcterms:created>
  <dcterms:modified xsi:type="dcterms:W3CDTF">2020-02-05T22:04:07Z</dcterms:modified>
</cp:coreProperties>
</file>