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33-0945304</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241300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p>
      <w:pPr>
        <w:spacing w:after="0" w:line="200" w:lineRule="exact"/>
        <w:rPr>
          <w:sz w:val="24"/>
          <w:szCs w:val="24"/>
          <w:color w:val="auto"/>
        </w:rPr>
      </w:pPr>
    </w:p>
    <w:p>
      <w:pPr>
        <w:spacing w:after="0" w:line="351" w:lineRule="exact"/>
        <w:rPr>
          <w:sz w:val="24"/>
          <w:szCs w:val="24"/>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jc w:val="both"/>
        <w:ind w:left="420" w:right="3580" w:firstLine="8"/>
        <w:spacing w:after="0" w:line="287" w:lineRule="exact"/>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Written communications pursuant to Rule 425 under the Securities Act (17 CFR 230.425)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spacing w:after="0" w:line="7" w:lineRule="exact"/>
        <w:rPr>
          <w:rFonts w:ascii="MS PGothic" w:cs="MS PGothic" w:eastAsia="MS PGothic" w:hAnsi="MS PGothic"/>
          <w:sz w:val="18"/>
          <w:szCs w:val="18"/>
          <w:color w:val="auto"/>
        </w:rPr>
      </w:pPr>
    </w:p>
    <w:p>
      <w:pPr>
        <w:jc w:val="both"/>
        <w:ind w:left="420" w:right="1980"/>
        <w:spacing w:after="0" w:line="3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At a special meeting of the shareholders (the “Calavo Special Meeting”) held on April 28, 2026, the shareholders of Calavo Growers, Inc. (“Calavo”) voted to approve the proposals as set forth below. The proposals are described in detail in Calavo’s definitive proxy statement filed with the Securities and Exchange Commission (the “SEC”) on March 20, 2026. The voting results regarding each proposal, as determined by Calavo’s Inspector of Election, are set forth below.</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the close of business on March 16, 2026, the record date of the Calavo Special Meeting, there were 17,874,079 shares of common stock, par value $0.001 per share of Calavo (the “Calavo Common Stock”), outstanding, each of which was entitled to one vote on each proposal at the Calavo Special Meeting. At the Calavo Special Meeting, a total of 13,082,457 shares of Calavo Common Stock, representing approximately 73.19% of the outstanding shares of Calavo Common Stock entitled to vote, were present or represented by proxy, constituting a quorum to conduct business.</w:t>
      </w:r>
    </w:p>
    <w:p>
      <w:pPr>
        <w:spacing w:after="0" w:line="176"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To approve the Agreement and Plan of Merger, dated as of January 14, 2026 (the “Merger Agreement”), by and among Calavo,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Mission Produce, Inc., a Delaware corporation (“Mission Produce”), Cantaloupe Merger Sub I, Inc., a Delaware corporation and a wholly owned subsidiary of Mission Produce (“Merger Sub I”), and Cantaloupe Merger Sub II, LLC, a Delaware limited liability company and wholly owned subsidiary of Mission Produce (“Merger Sub II”), pursuant to which Merger Sub I will merge with and into Calavo (“First Merger”), with Calavo surviving the First Merger (the “Surviving Corporation”) (such proposal, the “Merger Agreement Proposal”).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Proposal was approved by the requisite vote of Calavo’s shareholders.</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980" w:type="dxa"/>
            <w:vAlign w:val="bottom"/>
          </w:tcPr>
          <w:p>
            <w:pPr>
              <w:spacing w:after="0"/>
              <w:rPr>
                <w:sz w:val="15"/>
                <w:szCs w:val="15"/>
                <w:color w:val="auto"/>
              </w:rPr>
            </w:pPr>
          </w:p>
        </w:tc>
        <w:tc>
          <w:tcPr>
            <w:tcW w:w="1740" w:type="dxa"/>
            <w:vAlign w:val="bottom"/>
            <w:gridSpan w:val="2"/>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316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5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12,110,759</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960,154</w:t>
            </w:r>
          </w:p>
        </w:tc>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11,544</w:t>
            </w:r>
          </w:p>
        </w:tc>
        <w:tc>
          <w:tcPr>
            <w:tcW w:w="7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jc w:val="both"/>
        <w:ind w:right="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Proposal No. 2: </w:t>
      </w:r>
      <w:r>
        <w:rPr>
          <w:rFonts w:ascii="Times New Roman" w:cs="Times New Roman" w:eastAsia="Times New Roman" w:hAnsi="Times New Roman"/>
          <w:sz w:val="17"/>
          <w:szCs w:val="17"/>
          <w:color w:val="auto"/>
        </w:rPr>
        <w:t>To approve, on a non-binding advisory basis, the compensation that will or may become payable by Calavo to its named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 in connection with the transactions contemplated by the Merger Agreement (such proposal, the “Merger-Related Compensation Proposal”).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Merger-Related Compensation Proposal was not approved by the requisite vote of Calavo’s shareholders.</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960" w:type="dxa"/>
            <w:vAlign w:val="bottom"/>
          </w:tcPr>
          <w:p>
            <w:pPr>
              <w:spacing w:after="0"/>
              <w:rPr>
                <w:sz w:val="15"/>
                <w:szCs w:val="15"/>
                <w:color w:val="auto"/>
              </w:rPr>
            </w:pPr>
          </w:p>
        </w:tc>
        <w:tc>
          <w:tcPr>
            <w:tcW w:w="1760" w:type="dxa"/>
            <w:vAlign w:val="bottom"/>
            <w:gridSpan w:val="2"/>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316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56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5,327,795</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7,724,865</w:t>
            </w:r>
          </w:p>
        </w:tc>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29,797</w:t>
            </w:r>
          </w:p>
        </w:tc>
        <w:tc>
          <w:tcPr>
            <w:tcW w:w="7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Adjournment of the Calavo Special Meeting was deemed unnecessary because there was a quorum present and there were sufficient votes at the time of the Calavo Special Meeting to approve the Merger Agreement Proposal.</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terms of the Merger Agreement, the completion of the proposed transaction remains subject to certain closing conditions including but not limited to Calavo and/or Mission Produce receiving the applicable regulatory approvals in Mexico and the expiration or termination of all applicable waiting periods (and any extensions thereof) applicable to the proposed transaction under the antitrust laws in Mexico, or Calavo and/or Mission having obtained all requisite clearances, consents and approvals pursuant thereto. Assuming timely satisfaction of the remaining customary closing conditions set forth in the Merger Agreement, the closing of the Mergers (as defined below) is expected to occur during the fiscal quarter ending July 31, 2026. Trading of Calavo’s Common Stock, $0.001 par value per share (“Calavo Common Stock”), on the Nasdaq Global Select Market is expected to be halted before the opening of the market on the closing date, and upon the closing of the Mergers, Calavo Common Stock will be delisted from the Nasdaq Global Select Market.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Information About the Proposed Transaction and Where to Find It</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March 9, 2026, Mission Produce filed a registration statement on Form S-4 (as amended, the “Registration Statement”) with the SEC, which includes a prospectus with respect to the shares of Mission Produce’s common</w:t>
      </w:r>
    </w:p>
    <w:p>
      <w:pPr>
        <w:sectPr>
          <w:pgSz w:w="11900" w:h="16838" w:orient="portrait"/>
          <w:cols w:equalWidth="0" w:num="1">
            <w:col w:w="10980"/>
          </w:cols>
          <w:pgMar w:left="440" w:top="266" w:right="47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to be issued in the First Merger and a joint proxy statement for Mission Produce’s stockholders and Calavo’s shareholders. On March 18, 2026, Mission Produce filed Amendment No. 1 to the Registration Statement. The Registration Statement was declared effective on March 20, 2026, and Mission Produce filed a final prospectus on March 20, 2026, and Calavo filed a definitive proxy statement on March 20, 2026 (together, the “Joint Proxy Statement/Prospectus”). Mission Produce commenced mailing the Joint Proxy Statement/Prospectus to its stockholders and Calavo commenced mailing the Joint Proxy Statement/Prospectus to its shareholders on or about March 25, 2026. Each of Calavo and Mission Produce may also file with or furnish to the SEC other relevant documents regarding the “Mergers,” which refer to, collectively, the First Merger and such other merger to be consummated immediately following the First Merger, in which the Surviving Corporation will merge with and into Merger Sub II (“Second Merger,” and together with the First Merger, the “Mergers”), with Merger Sub II surviving the Second Merger. This communication is not a substitute for the Registration Statement, the Joint Proxy Statement/Prospectus or any other document that Calavo may mail to its shareholders or Mission Produce may mail to its stockholders in connection with the Mergers.</w:t>
      </w:r>
    </w:p>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CALAVO AND MISSION PRODUCE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CONTAIN IMPORTANT INFORMATION REGARDING CALAVO, MISSION PRODUCE, THE MERGERS AND RELATED MATTERS.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Offer or Solicitation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Forward-Looking Statements</w:t>
      </w:r>
    </w:p>
    <w:p>
      <w:pPr>
        <w:spacing w:after="0" w:line="11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We refer to Calavo Growers, Inc. and its consolidated subsidiaries as “Calavo,” “we,” “our” and “us.”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likelihood of obtaining necessary regulatory approvals for the proposed transaction; the success and profitability of certain branded products; the seasonality of certain retail and foodservice opportunities; the benefits of the proposed transaction involving Calavo and Mission Produce, including future financial and operating results, Calavo’s and Mission Produce’s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20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Risks and uncertainties that may cause our actual results to be materially different from any future results expressed or implied by the forward-looking statements include, but are not limited to, the following: the risk that Calavo or Mission Produce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 Produce’s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Produce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w:t>
      </w:r>
    </w:p>
    <w:p>
      <w:pPr>
        <w:sectPr>
          <w:pgSz w:w="11900" w:h="16838" w:orient="portrait"/>
          <w:cols w:equalWidth="0" w:num="1">
            <w:col w:w="11000"/>
          </w:cols>
          <w:pgMar w:left="440" w:top="268" w:right="45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 and any subsequent updates that may be contained in our Quarterly Reports on Form 10-Q and other filings with the SEC. Forward-looking statements contained in this Current Report on Form 8-K are made only as of the date of this Current Report on Form 8-K, and we undertake no obligation to update or revise the forward-looking statements, whether because of new information, future events or otherwise.</w:t>
      </w:r>
    </w:p>
    <w:p>
      <w:pPr>
        <w:sectPr>
          <w:pgSz w:w="11900" w:h="16838" w:orient="portrait"/>
          <w:cols w:equalWidth="0" w:num="1">
            <w:col w:w="10980"/>
          </w:cols>
          <w:pgMar w:left="440" w:top="270" w:right="479" w:bottom="1440" w:gutter="0" w:footer="0" w:header="0"/>
        </w:sectPr>
      </w:pPr>
    </w:p>
    <w:bookmarkStart w:id="5" w:name="page6"/>
    <w:bookmarkEnd w:id="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7" w:lineRule="exact"/>
        <w:rPr>
          <w:sz w:val="20"/>
          <w:szCs w:val="20"/>
          <w:color w:val="auto"/>
        </w:rPr>
      </w:pPr>
    </w:p>
    <w:p>
      <w:pPr>
        <w:ind w:left="6180"/>
        <w:spacing w:after="0"/>
        <w:tabs>
          <w:tab w:leader="none" w:pos="6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 John Lindeman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Executive Officer)</w:t>
      </w:r>
    </w:p>
    <w:sectPr>
      <w:pgSz w:w="11900" w:h="16838" w:orient="portrait"/>
      <w:cols w:equalWidth="0" w:num="1">
        <w:col w:w="10780"/>
      </w:cols>
      <w:pgMar w:left="440" w:top="266"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2026-04-29T07:59:19Z</dcterms:created>
  <dcterms:modified xsi:type="dcterms:W3CDTF">2026-04-29T07:59:19Z</dcterms:modified>
</cp:coreProperties>
</file>