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Heading5"/>
        <w:spacing w:before="120" w:after="60"/>
        <w:jc w:val="left"/>
        <w:rPr/>
      </w:pPr>
      <w:hyperlink w:anchor="toc">
        <w:bookmarkStart w:id="0" w:name="v04466e8vk.htm"/>
        <w:bookmarkStart w:id="1" w:name="ksv04466e8vk"/>
        <w:bookmarkEnd w:id="0"/>
        <w:bookmarkEnd w:id="1"/>
        <w:r>
          <w:rPr>
            <w:rStyle w:val="InternetLink"/>
          </w:rPr>
          <w:t>Table of Contents</w:t>
        </w:r>
      </w:hyperlink>
    </w:p>
    <w:p>
      <w:pPr>
        <w:pStyle w:val="HorizontalLine"/>
        <w:pBdr>
          <w:bottom w:val="single" w:sz="24" w:space="0" w:color="000000"/>
        </w:pBdr>
        <w:rPr/>
      </w:pPr>
      <w:r>
        <w:rPr/>
      </w:r>
    </w:p>
    <w:p>
      <w:pPr>
        <w:pStyle w:val="HorizontalLine"/>
        <w:pBdr>
          <w:bottom w:val="single" w:sz="6" w:space="0" w:color="000000"/>
        </w:pBdr>
        <w:rPr/>
      </w:pPr>
      <w:r>
        <w:rPr/>
      </w:r>
    </w:p>
    <w:p>
      <w:pPr>
        <w:pStyle w:val="TextBody"/>
        <w:spacing w:before="0" w:after="0"/>
        <w:jc w:val="center"/>
        <w:rPr>
          <w:rFonts w:ascii="Times New Roman;Times;serif" w:hAnsi="Times New Roman;Times;serif"/>
          <w:sz w:val="23"/>
        </w:rPr>
      </w:pPr>
      <w:r>
        <w:rPr>
          <w:rFonts w:ascii="Times New Roman;Times;serif" w:hAnsi="Times New Roman;Times;serif"/>
          <w:b/>
          <w:sz w:val="23"/>
        </w:rPr>
        <w:t>UNITED STATES</w:t>
        <w:br/>
        <w:t>SECURITIES AND EXCHANGE COMMISSION</w:t>
      </w:r>
      <w:r>
        <w:rPr>
          <w:rFonts w:ascii="Times New Roman;Times;serif" w:hAnsi="Times New Roman;Times;serif"/>
          <w:sz w:val="23"/>
        </w:rPr>
        <w:t xml:space="preserve"> </w:t>
      </w:r>
    </w:p>
    <w:p>
      <w:pPr>
        <w:pStyle w:val="TextBody"/>
        <w:jc w:val="center"/>
        <w:rPr>
          <w:rFonts w:ascii="Times New Roman;Times;serif" w:hAnsi="Times New Roman;Times;serif"/>
          <w:sz w:val="20"/>
        </w:rPr>
      </w:pPr>
      <w:r>
        <w:rPr>
          <w:rFonts w:ascii="Times New Roman;Times;serif" w:hAnsi="Times New Roman;Times;serif"/>
          <w:b/>
          <w:sz w:val="20"/>
        </w:rPr>
        <w:t>WASHINGTON, DC 20549</w:t>
      </w:r>
      <w:r>
        <w:rPr>
          <w:rFonts w:ascii="Times New Roman;Times;serif" w:hAnsi="Times New Roman;Times;serif"/>
          <w:sz w:val="20"/>
        </w:rPr>
        <w:t xml:space="preserve"> </w:t>
      </w:r>
    </w:p>
    <w:p>
      <w:pPr>
        <w:pStyle w:val="TextBody"/>
        <w:jc w:val="center"/>
        <w:rPr>
          <w:rFonts w:ascii="Times New Roman;Times;serif" w:hAnsi="Times New Roman;Times;serif"/>
          <w:sz w:val="30"/>
        </w:rPr>
      </w:pPr>
      <w:r>
        <w:rPr>
          <w:rFonts w:ascii="Times New Roman;Times;serif" w:hAnsi="Times New Roman;Times;serif"/>
          <w:b/>
          <w:sz w:val="30"/>
        </w:rPr>
        <w:t>FORM 8-K</w:t>
      </w:r>
      <w:r>
        <w:rPr>
          <w:rFonts w:ascii="Times New Roman;Times;serif" w:hAnsi="Times New Roman;Times;serif"/>
          <w:sz w:val="30"/>
        </w:rPr>
        <w:t xml:space="preserve"> </w:t>
      </w:r>
    </w:p>
    <w:p>
      <w:pPr>
        <w:pStyle w:val="TextBody"/>
        <w:jc w:val="center"/>
        <w:rPr>
          <w:rFonts w:ascii="Times New Roman;Times;serif" w:hAnsi="Times New Roman;Times;serif"/>
          <w:sz w:val="20"/>
        </w:rPr>
      </w:pPr>
      <w:r>
        <w:rPr>
          <w:rFonts w:ascii="Times New Roman;Times;serif" w:hAnsi="Times New Roman;Times;serif"/>
          <w:sz w:val="20"/>
        </w:rPr>
        <w:t>CURRENT REPORT PURSUANT</w:t>
        <w:br/>
        <w:t>TO SECTION 13 OR 15(d) OF THE</w:t>
        <w:br/>
        <w:t xml:space="preserve">SECURITIES EXCHANGE ACT OF 1934 </w:t>
      </w:r>
    </w:p>
    <w:p>
      <w:pPr>
        <w:pStyle w:val="TextBody"/>
        <w:jc w:val="center"/>
        <w:rPr>
          <w:rFonts w:ascii="Times New Roman;Times;serif" w:hAnsi="Times New Roman;Times;serif"/>
          <w:sz w:val="17"/>
        </w:rPr>
      </w:pPr>
      <w:r>
        <w:rPr>
          <w:rFonts w:ascii="Times New Roman;Times;serif" w:hAnsi="Times New Roman;Times;serif"/>
          <w:sz w:val="17"/>
        </w:rPr>
        <w:t xml:space="preserve">Date of report: </w:t>
      </w:r>
      <w:r>
        <w:rPr>
          <w:rFonts w:ascii="Times New Roman;Times;serif" w:hAnsi="Times New Roman;Times;serif"/>
          <w:b/>
          <w:sz w:val="17"/>
        </w:rPr>
        <w:t>January 06, 2005</w:t>
      </w:r>
      <w:r>
        <w:rPr>
          <w:rFonts w:ascii="Times New Roman;Times;serif" w:hAnsi="Times New Roman;Times;serif"/>
          <w:sz w:val="17"/>
        </w:rPr>
        <w:br/>
        <w:t xml:space="preserve">Date of earliest event reported: </w:t>
      </w:r>
      <w:r>
        <w:rPr>
          <w:rFonts w:ascii="Times New Roman;Times;serif" w:hAnsi="Times New Roman;Times;serif"/>
          <w:b/>
          <w:sz w:val="17"/>
        </w:rPr>
        <w:t>January 05, 2005</w:t>
      </w:r>
      <w:r>
        <w:rPr>
          <w:rFonts w:ascii="Times New Roman;Times;serif" w:hAnsi="Times New Roman;Times;serif"/>
          <w:sz w:val="17"/>
        </w:rPr>
        <w:t xml:space="preserve"> </w:t>
      </w:r>
    </w:p>
    <w:p>
      <w:pPr>
        <w:pStyle w:val="TextBody"/>
        <w:jc w:val="center"/>
        <w:rPr>
          <w:rFonts w:ascii="Times New Roman;Times;serif" w:hAnsi="Times New Roman;Times;serif"/>
          <w:sz w:val="40"/>
        </w:rPr>
      </w:pPr>
      <w:r>
        <w:rPr>
          <w:rFonts w:ascii="Times New Roman;Times;serif" w:hAnsi="Times New Roman;Times;serif"/>
          <w:b/>
          <w:sz w:val="40"/>
        </w:rPr>
        <w:t>CALAVO GROWERS, INC.</w:t>
      </w:r>
      <w:r>
        <w:rPr>
          <w:rFonts w:ascii="Times New Roman;Times;serif" w:hAnsi="Times New Roman;Times;serif"/>
          <w:sz w:val="40"/>
        </w:rPr>
        <w:t xml:space="preserve"> </w:t>
      </w:r>
    </w:p>
    <w:p>
      <w:pPr>
        <w:pStyle w:val="TextBody"/>
        <w:spacing w:before="0" w:after="0"/>
        <w:jc w:val="center"/>
        <w:rPr>
          <w:rFonts w:ascii="Times New Roman;Times;serif" w:hAnsi="Times New Roman;Times;serif"/>
          <w:sz w:val="17"/>
        </w:rPr>
      </w:pPr>
      <w:r>
        <w:rPr>
          <w:rFonts w:ascii="Times New Roman;Times;serif" w:hAnsi="Times New Roman;Times;serif"/>
          <w:sz w:val="17"/>
        </w:rPr>
        <w:t xml:space="preserve">(Exact Name of Registrant as Specified in Charter) </w:t>
      </w:r>
    </w:p>
    <w:tbl>
      <w:tblPr>
        <w:tblW w:w="5000" w:type="pct"/>
        <w:jc w:val="center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3062"/>
        <w:gridCol w:w="509"/>
        <w:gridCol w:w="3062"/>
        <w:gridCol w:w="509"/>
        <w:gridCol w:w="3063"/>
      </w:tblGrid>
      <w:tr>
        <w:trPr/>
        <w:tc>
          <w:tcPr>
            <w:tcW w:w="3062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509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062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509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063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</w:tr>
      <w:tr>
        <w:trPr/>
        <w:tc>
          <w:tcPr>
            <w:tcW w:w="3062" w:type="dxa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b/>
              </w:rPr>
              <w:t>California</w:t>
            </w:r>
            <w:r>
              <w:rPr/>
              <w:t xml:space="preserve"> </w:t>
            </w:r>
          </w:p>
        </w:tc>
        <w:tc>
          <w:tcPr>
            <w:tcW w:w="509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062" w:type="dxa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b/>
              </w:rPr>
              <w:t>000-33385</w:t>
            </w:r>
            <w:r>
              <w:rPr/>
              <w:t xml:space="preserve"> </w:t>
            </w:r>
          </w:p>
        </w:tc>
        <w:tc>
          <w:tcPr>
            <w:tcW w:w="509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063" w:type="dxa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b/>
              </w:rPr>
            </w:pPr>
            <w:r>
              <w:rPr>
                <w:b/>
              </w:rPr>
              <w:t>33-0945304</w:t>
            </w:r>
          </w:p>
        </w:tc>
      </w:tr>
      <w:tr>
        <w:trPr/>
        <w:tc>
          <w:tcPr>
            <w:tcW w:w="3062" w:type="dxa"/>
            <w:tcBorders>
              <w:top w:val="single" w:sz="2" w:space="0" w:color="000000"/>
            </w:tcBorders>
            <w:shd w:fill="auto" w:val="clear"/>
            <w:tcMar>
              <w:top w:w="28" w:type="dxa"/>
            </w:tcMar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t xml:space="preserve">  </w:t>
            </w:r>
          </w:p>
        </w:tc>
        <w:tc>
          <w:tcPr>
            <w:tcW w:w="509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062" w:type="dxa"/>
            <w:tcBorders>
              <w:top w:val="single" w:sz="2" w:space="0" w:color="000000"/>
            </w:tcBorders>
            <w:shd w:fill="auto" w:val="clear"/>
            <w:tcMar>
              <w:top w:w="28" w:type="dxa"/>
            </w:tcMar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t xml:space="preserve">  </w:t>
            </w:r>
          </w:p>
        </w:tc>
        <w:tc>
          <w:tcPr>
            <w:tcW w:w="509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063" w:type="dxa"/>
            <w:tcBorders>
              <w:top w:val="single" w:sz="2" w:space="0" w:color="000000"/>
            </w:tcBorders>
            <w:shd w:fill="auto" w:val="clear"/>
            <w:tcMar>
              <w:top w:w="28" w:type="dxa"/>
            </w:tcMar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t> </w:t>
            </w:r>
          </w:p>
        </w:tc>
      </w:tr>
      <w:tr>
        <w:trPr/>
        <w:tc>
          <w:tcPr>
            <w:tcW w:w="3062" w:type="dxa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t>(State or Other</w:t>
              <w:br/>
              <w:t>Jurisdiction of</w:t>
              <w:br/>
              <w:t xml:space="preserve">Incorporation) </w:t>
            </w:r>
          </w:p>
        </w:tc>
        <w:tc>
          <w:tcPr>
            <w:tcW w:w="509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062" w:type="dxa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t>(Commission File</w:t>
              <w:br/>
              <w:t xml:space="preserve">Number) </w:t>
            </w:r>
          </w:p>
        </w:tc>
        <w:tc>
          <w:tcPr>
            <w:tcW w:w="509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063" w:type="dxa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t>(IRS Employer</w:t>
              <w:br/>
              <w:t>Identification No.)</w:t>
            </w:r>
          </w:p>
        </w:tc>
      </w:tr>
    </w:tbl>
    <w:p>
      <w:pPr>
        <w:pStyle w:val="TextBody"/>
        <w:spacing w:before="0" w:after="0"/>
        <w:jc w:val="center"/>
        <w:rPr>
          <w:rFonts w:ascii="Times New Roman;Times;serif" w:hAnsi="Times New Roman;Times;serif"/>
          <w:b/>
          <w:sz w:val="17"/>
        </w:rPr>
      </w:pPr>
      <w:r>
        <w:rPr>
          <w:rFonts w:ascii="Times New Roman;Times;serif" w:hAnsi="Times New Roman;Times;serif"/>
          <w:b/>
          <w:sz w:val="17"/>
        </w:rPr>
        <w:t>2530 Red Hill Avenue, Santa Ana, California 92705</w:t>
      </w:r>
    </w:p>
    <w:p>
      <w:pPr>
        <w:pStyle w:val="HorizontalLine"/>
        <w:pBdr>
          <w:bottom w:val="single" w:sz="6" w:space="0" w:color="000000"/>
        </w:pBdr>
        <w:rPr/>
      </w:pPr>
      <w:r>
        <w:rPr/>
      </w:r>
    </w:p>
    <w:p>
      <w:pPr>
        <w:pStyle w:val="TextBody"/>
        <w:jc w:val="center"/>
        <w:rPr>
          <w:rFonts w:ascii="Times New Roman;Times;serif" w:hAnsi="Times New Roman;Times;serif"/>
          <w:sz w:val="17"/>
        </w:rPr>
      </w:pPr>
      <w:r>
        <w:rPr>
          <w:rFonts w:ascii="Times New Roman;Times;serif" w:hAnsi="Times New Roman;Times;serif"/>
          <w:sz w:val="17"/>
        </w:rPr>
        <w:t>(Address of Principal Executive Offices) (Zip Code)</w:t>
      </w:r>
    </w:p>
    <w:p>
      <w:pPr>
        <w:pStyle w:val="TextBody"/>
        <w:jc w:val="center"/>
        <w:rPr>
          <w:rFonts w:ascii="Times New Roman;Times;serif" w:hAnsi="Times New Roman;Times;serif"/>
          <w:sz w:val="17"/>
        </w:rPr>
      </w:pPr>
      <w:r>
        <w:rPr>
          <w:rFonts w:ascii="Times New Roman;Times;serif" w:hAnsi="Times New Roman;Times;serif"/>
          <w:sz w:val="17"/>
        </w:rPr>
        <w:t xml:space="preserve">Registrants telephone number, including area code: </w:t>
      </w:r>
      <w:r>
        <w:rPr>
          <w:rFonts w:ascii="Times New Roman;Times;serif" w:hAnsi="Times New Roman;Times;serif"/>
          <w:b/>
          <w:sz w:val="17"/>
        </w:rPr>
        <w:t>(949) 223-1111</w:t>
      </w:r>
      <w:r>
        <w:rPr>
          <w:rFonts w:ascii="Times New Roman;Times;serif" w:hAnsi="Times New Roman;Times;serif"/>
          <w:sz w:val="17"/>
        </w:rPr>
        <w:t xml:space="preserve"> </w:t>
      </w:r>
    </w:p>
    <w:p>
      <w:pPr>
        <w:pStyle w:val="TextBody"/>
        <w:jc w:val="left"/>
        <w:rPr>
          <w:rFonts w:ascii="Times New Roman;Times;serif" w:hAnsi="Times New Roman;Times;serif"/>
          <w:sz w:val="17"/>
        </w:rPr>
      </w:pPr>
      <w:r>
        <w:rPr>
          <w:rFonts w:ascii="Times New Roman;Times;serif" w:hAnsi="Times New Roman;Times;serif"/>
          <w:sz w:val="17"/>
        </w:rPr>
        <w:t xml:space="preserve">Check the appropriate box below if the Form 8-K filing is intended to simultaneously satisfy the filing obligation of the registrant under any of the following provisions: </w:t>
      </w:r>
    </w:p>
    <w:tbl>
      <w:tblPr>
        <w:tblW w:w="5000" w:type="pct"/>
        <w:jc w:val="left"/>
        <w:tblInd w:w="0" w:type="dxa"/>
        <w:tblCellMar>
          <w:top w:w="30" w:type="dxa"/>
          <w:left w:w="30" w:type="dxa"/>
          <w:bottom w:w="30" w:type="dxa"/>
          <w:right w:w="30" w:type="dxa"/>
        </w:tblCellMar>
      </w:tblPr>
      <w:tblGrid>
        <w:gridCol w:w="605"/>
        <w:gridCol w:w="9600"/>
      </w:tblGrid>
      <w:tr>
        <w:trPr/>
        <w:tc>
          <w:tcPr>
            <w:tcW w:w="6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0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05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     </w:t>
            </w:r>
            <w:r>
              <w:rPr>
                <w:rFonts w:ascii="Wingdings" w:hAnsi="Wingdings"/>
              </w:rPr>
              <w:t>o</w:t>
            </w:r>
            <w:r>
              <w:rPr/>
              <w:t> </w:t>
            </w:r>
          </w:p>
        </w:tc>
        <w:tc>
          <w:tcPr>
            <w:tcW w:w="9600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Written communications pursuant to Rule 425 under the Securities Act (17 CFR 230.425)</w:t>
            </w:r>
          </w:p>
        </w:tc>
      </w:tr>
    </w:tbl>
    <w:tbl>
      <w:tblPr>
        <w:tblW w:w="5000" w:type="pct"/>
        <w:jc w:val="left"/>
        <w:tblInd w:w="0" w:type="dxa"/>
        <w:tblCellMar>
          <w:top w:w="30" w:type="dxa"/>
          <w:left w:w="30" w:type="dxa"/>
          <w:bottom w:w="30" w:type="dxa"/>
          <w:right w:w="30" w:type="dxa"/>
        </w:tblCellMar>
      </w:tblPr>
      <w:tblGrid>
        <w:gridCol w:w="612"/>
        <w:gridCol w:w="9593"/>
      </w:tblGrid>
      <w:tr>
        <w:trPr/>
        <w:tc>
          <w:tcPr>
            <w:tcW w:w="612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9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12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     </w:t>
            </w:r>
            <w:r>
              <w:rPr>
                <w:rFonts w:ascii="Wingdings" w:hAnsi="Wingdings"/>
              </w:rPr>
              <w:t>o</w:t>
            </w:r>
            <w:r>
              <w:rPr/>
              <w:t> </w:t>
            </w:r>
          </w:p>
        </w:tc>
        <w:tc>
          <w:tcPr>
            <w:tcW w:w="9593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Soliciting material pursuant to Rule 14a-12 under the Exchange Act (17 CFR 240.14a-12)</w:t>
            </w:r>
          </w:p>
        </w:tc>
      </w:tr>
    </w:tbl>
    <w:tbl>
      <w:tblPr>
        <w:tblW w:w="5000" w:type="pct"/>
        <w:jc w:val="left"/>
        <w:tblInd w:w="0" w:type="dxa"/>
        <w:tblCellMar>
          <w:top w:w="30" w:type="dxa"/>
          <w:left w:w="30" w:type="dxa"/>
          <w:bottom w:w="30" w:type="dxa"/>
          <w:right w:w="30" w:type="dxa"/>
        </w:tblCellMar>
      </w:tblPr>
      <w:tblGrid>
        <w:gridCol w:w="594"/>
        <w:gridCol w:w="9611"/>
      </w:tblGrid>
      <w:tr>
        <w:trPr/>
        <w:tc>
          <w:tcPr>
            <w:tcW w:w="594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94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     </w:t>
            </w:r>
            <w:r>
              <w:rPr>
                <w:rFonts w:ascii="Wingdings" w:hAnsi="Wingdings"/>
              </w:rPr>
              <w:t>o</w:t>
            </w:r>
            <w:r>
              <w:rPr/>
              <w:t> </w:t>
            </w:r>
          </w:p>
        </w:tc>
        <w:tc>
          <w:tcPr>
            <w:tcW w:w="9611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Pre-commencement communications pursuant to Rule 14d-2(b) under the Exchange Act (17 CFR 240.14d-2(b))</w:t>
            </w:r>
          </w:p>
        </w:tc>
      </w:tr>
    </w:tbl>
    <w:tbl>
      <w:tblPr>
        <w:tblW w:w="5000" w:type="pct"/>
        <w:jc w:val="left"/>
        <w:tblInd w:w="0" w:type="dxa"/>
        <w:tblCellMar>
          <w:top w:w="30" w:type="dxa"/>
          <w:left w:w="30" w:type="dxa"/>
          <w:bottom w:w="30" w:type="dxa"/>
          <w:right w:w="30" w:type="dxa"/>
        </w:tblCellMar>
      </w:tblPr>
      <w:tblGrid>
        <w:gridCol w:w="594"/>
        <w:gridCol w:w="9611"/>
      </w:tblGrid>
      <w:tr>
        <w:trPr/>
        <w:tc>
          <w:tcPr>
            <w:tcW w:w="594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94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     </w:t>
            </w:r>
            <w:r>
              <w:rPr>
                <w:rFonts w:ascii="Wingdings" w:hAnsi="Wingdings"/>
              </w:rPr>
              <w:t>o</w:t>
            </w:r>
            <w:r>
              <w:rPr/>
              <w:t> </w:t>
            </w:r>
          </w:p>
        </w:tc>
        <w:tc>
          <w:tcPr>
            <w:tcW w:w="9611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Pre-commencement communications pursuant to Rule 13e-4(c) under the Exchange Act (17 CFR 240.13e-4(c))</w:t>
            </w:r>
          </w:p>
        </w:tc>
      </w:tr>
    </w:tbl>
    <w:p>
      <w:pPr>
        <w:pStyle w:val="HorizontalLine"/>
        <w:pBdr>
          <w:bottom w:val="single" w:sz="6" w:space="0" w:color="000000"/>
        </w:pBdr>
        <w:rPr/>
      </w:pPr>
      <w:r>
        <w:rPr/>
      </w:r>
    </w:p>
    <w:p>
      <w:pPr>
        <w:pStyle w:val="HorizontalLine"/>
        <w:pBdr>
          <w:bottom w:val="single" w:sz="24" w:space="0" w:color="000000"/>
        </w:pBdr>
        <w:rPr/>
      </w:pPr>
      <w:r>
        <w:rPr/>
      </w:r>
    </w:p>
    <w:p>
      <w:pPr>
        <w:pStyle w:val="TextBody"/>
        <w:jc w:val="center"/>
        <w:rPr/>
      </w:pPr>
      <w:r>
        <w:rPr/>
        <w:t xml:space="preserve">  </w:t>
      </w:r>
    </w:p>
    <w:p>
      <w:pPr>
        <w:pStyle w:val="HorizontalLine"/>
        <w:pBdr>
          <w:bottom w:val="single" w:sz="20" w:space="0" w:color="808080"/>
        </w:pBdr>
        <w:rPr/>
      </w:pPr>
      <w:r>
        <w:rPr/>
      </w:r>
    </w:p>
    <w:p>
      <w:pPr>
        <w:pStyle w:val="TextBody"/>
        <w:jc w:val="center"/>
        <w:rPr>
          <w:rFonts w:ascii="Times New Roman;Times;serif" w:hAnsi="Times New Roman;Times;serif"/>
          <w:b/>
          <w:u w:val="single"/>
        </w:rPr>
      </w:pPr>
      <w:bookmarkStart w:id="2" w:name="toc"/>
      <w:bookmarkEnd w:id="2"/>
      <w:r>
        <w:rPr>
          <w:rFonts w:ascii="Times New Roman;Times;serif" w:hAnsi="Times New Roman;Times;serif"/>
          <w:b/>
          <w:u w:val="single"/>
        </w:rPr>
        <w:t>TABLE OF CONTENTS</w:t>
      </w:r>
    </w:p>
    <w:tbl>
      <w:tblPr>
        <w:tblW w:w="4500" w:type="pct"/>
        <w:jc w:val="center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265"/>
        <w:gridCol w:w="469"/>
        <w:gridCol w:w="315"/>
        <w:gridCol w:w="315"/>
        <w:gridCol w:w="315"/>
        <w:gridCol w:w="315"/>
        <w:gridCol w:w="315"/>
        <w:gridCol w:w="315"/>
        <w:gridCol w:w="6560"/>
      </w:tblGrid>
      <w:tr>
        <w:trPr/>
        <w:tc>
          <w:tcPr>
            <w:tcW w:w="26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9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6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19" w:type="dxa"/>
            <w:gridSpan w:val="8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hyperlink w:anchor="000">
              <w:r>
                <w:rPr>
                  <w:rStyle w:val="InternetLink"/>
                </w:rPr>
                <w:t>Item 2.02. Results of Operations and Financial Condition.</w:t>
              </w:r>
            </w:hyperlink>
          </w:p>
        </w:tc>
      </w:tr>
      <w:tr>
        <w:trPr/>
        <w:tc>
          <w:tcPr>
            <w:tcW w:w="26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19" w:type="dxa"/>
            <w:gridSpan w:val="8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hyperlink w:anchor="001">
              <w:r>
                <w:rPr>
                  <w:rStyle w:val="InternetLink"/>
                </w:rPr>
                <w:t>Item 9.01. Financial Statements and Exhibits.</w:t>
              </w:r>
            </w:hyperlink>
          </w:p>
        </w:tc>
      </w:tr>
      <w:tr>
        <w:trPr/>
        <w:tc>
          <w:tcPr>
            <w:tcW w:w="9184" w:type="dxa"/>
            <w:gridSpan w:val="9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hyperlink w:anchor="002">
              <w:r>
                <w:rPr>
                  <w:rStyle w:val="InternetLink"/>
                </w:rPr>
                <w:t>SIGNATURE</w:t>
              </w:r>
            </w:hyperlink>
          </w:p>
        </w:tc>
      </w:tr>
      <w:tr>
        <w:trPr/>
        <w:tc>
          <w:tcPr>
            <w:tcW w:w="9184" w:type="dxa"/>
            <w:gridSpan w:val="9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hyperlink w:anchor="v04466exv99w1.txt">
              <w:r>
                <w:rPr>
                  <w:rStyle w:val="InternetLink"/>
                </w:rPr>
                <w:t>Exhibit 99.1</w:t>
              </w:r>
            </w:hyperlink>
          </w:p>
        </w:tc>
      </w:tr>
    </w:tbl>
    <w:p>
      <w:pPr>
        <w:pStyle w:val="HorizontalLine"/>
        <w:pBdr>
          <w:bottom w:val="single" w:sz="20" w:space="0" w:color="808080"/>
        </w:pBdr>
        <w:rPr/>
      </w:pPr>
      <w:r>
        <w:rPr/>
      </w:r>
      <w:r>
        <w:br w:type="page"/>
      </w:r>
    </w:p>
    <w:p>
      <w:pPr>
        <w:pStyle w:val="Heading5"/>
        <w:jc w:val="left"/>
        <w:rPr/>
      </w:pPr>
      <w:hyperlink w:anchor="toc">
        <w:r>
          <w:rPr>
            <w:rStyle w:val="InternetLink"/>
            <w:rFonts w:ascii="Times New Roman;Times;serif" w:hAnsi="Times New Roman;Times;serif"/>
          </w:rPr>
          <w:t>Table of Contents</w:t>
        </w:r>
      </w:hyperlink>
    </w:p>
    <w:p>
      <w:pPr>
        <w:pStyle w:val="TextBody"/>
        <w:jc w:val="left"/>
        <w:rPr>
          <w:rFonts w:ascii="Times New Roman;Times;serif" w:hAnsi="Times New Roman;Times;serif"/>
          <w:sz w:val="17"/>
        </w:rPr>
      </w:pPr>
      <w:bookmarkStart w:id="3" w:name="000"/>
      <w:bookmarkEnd w:id="3"/>
      <w:r>
        <w:rPr>
          <w:rFonts w:ascii="Times New Roman;Times;serif" w:hAnsi="Times New Roman;Times;serif"/>
          <w:b/>
          <w:sz w:val="17"/>
        </w:rPr>
        <w:t>Item 2.02. Results of Operations and Financial Condition.</w:t>
      </w:r>
      <w:r>
        <w:rPr>
          <w:rFonts w:ascii="Times New Roman;Times;serif" w:hAnsi="Times New Roman;Times;serif"/>
          <w:sz w:val="17"/>
        </w:rPr>
        <w:t xml:space="preserve"> </w:t>
      </w:r>
    </w:p>
    <w:tbl>
      <w:tblPr>
        <w:tblW w:w="5000" w:type="pct"/>
        <w:jc w:val="left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508"/>
        <w:gridCol w:w="414"/>
        <w:gridCol w:w="9283"/>
      </w:tblGrid>
      <w:tr>
        <w:trPr/>
        <w:tc>
          <w:tcPr>
            <w:tcW w:w="508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414" w:type="dxa"/>
            <w:tcBorders/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(a)  </w:t>
            </w:r>
          </w:p>
        </w:tc>
        <w:tc>
          <w:tcPr>
            <w:tcW w:w="9283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On January 5, 2005, we issued a press release containing our financial results for the year and quarter ended October 31, 2004. A copy of our press release is attached hereto as Exhibit 99.1 and is incorporated by reference.</w:t>
            </w:r>
          </w:p>
        </w:tc>
      </w:tr>
    </w:tbl>
    <w:p>
      <w:pPr>
        <w:pStyle w:val="TextBody"/>
        <w:jc w:val="left"/>
        <w:rPr>
          <w:rFonts w:ascii="Times New Roman;Times;serif" w:hAnsi="Times New Roman;Times;serif"/>
          <w:sz w:val="17"/>
        </w:rPr>
      </w:pPr>
      <w:bookmarkStart w:id="4" w:name="001"/>
      <w:bookmarkEnd w:id="4"/>
      <w:r>
        <w:rPr>
          <w:rFonts w:ascii="Times New Roman;Times;serif" w:hAnsi="Times New Roman;Times;serif"/>
          <w:b/>
          <w:sz w:val="17"/>
        </w:rPr>
        <w:t>Item 9.01. Financial Statements and Exhibits.</w:t>
      </w:r>
      <w:r>
        <w:rPr>
          <w:rFonts w:ascii="Times New Roman;Times;serif" w:hAnsi="Times New Roman;Times;serif"/>
          <w:sz w:val="17"/>
        </w:rPr>
        <w:t xml:space="preserve"> </w:t>
      </w:r>
    </w:p>
    <w:tbl>
      <w:tblPr>
        <w:tblW w:w="5000" w:type="pct"/>
        <w:jc w:val="left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509"/>
        <w:gridCol w:w="422"/>
        <w:gridCol w:w="9274"/>
      </w:tblGrid>
      <w:tr>
        <w:trPr/>
        <w:tc>
          <w:tcPr>
            <w:tcW w:w="509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422" w:type="dxa"/>
            <w:tcBorders/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(b)  </w:t>
            </w:r>
          </w:p>
        </w:tc>
        <w:tc>
          <w:tcPr>
            <w:tcW w:w="9274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Exhibits</w:t>
            </w:r>
          </w:p>
        </w:tc>
      </w:tr>
    </w:tbl>
    <w:p>
      <w:pPr>
        <w:pStyle w:val="TextBody"/>
        <w:jc w:val="left"/>
        <w:rPr>
          <w:rFonts w:ascii="Times New Roman;Times;serif" w:hAnsi="Times New Roman;Times;serif"/>
          <w:sz w:val="17"/>
        </w:rPr>
      </w:pPr>
      <w:r>
        <w:rPr>
          <w:rFonts w:ascii="Times New Roman;Times;serif" w:hAnsi="Times New Roman;Times;serif"/>
          <w:sz w:val="17"/>
        </w:rPr>
        <w:t xml:space="preserve">99.1            Press Release dated January 5, 2005 of the Registrant. </w:t>
      </w:r>
    </w:p>
    <w:p>
      <w:pPr>
        <w:pStyle w:val="TextBody"/>
        <w:jc w:val="center"/>
        <w:rPr>
          <w:rFonts w:ascii="Times New Roman;Times;serif" w:hAnsi="Times New Roman;Times;serif"/>
          <w:sz w:val="17"/>
        </w:rPr>
      </w:pPr>
      <w:r>
        <w:rPr>
          <w:rFonts w:ascii="Times New Roman;Times;serif" w:hAnsi="Times New Roman;Times;serif"/>
          <w:sz w:val="17"/>
        </w:rPr>
        <w:t xml:space="preserve">2 </w:t>
      </w:r>
    </w:p>
    <w:p>
      <w:pPr>
        <w:pStyle w:val="HorizontalLine"/>
        <w:pBdr>
          <w:bottom w:val="single" w:sz="20" w:space="0" w:color="808080"/>
        </w:pBdr>
        <w:rPr/>
      </w:pPr>
      <w:r>
        <w:rPr/>
      </w:r>
      <w:r>
        <w:br w:type="page"/>
      </w:r>
    </w:p>
    <w:p>
      <w:pPr>
        <w:pStyle w:val="Heading5"/>
        <w:jc w:val="left"/>
        <w:rPr/>
      </w:pPr>
      <w:hyperlink w:anchor="toc">
        <w:r>
          <w:rPr>
            <w:rStyle w:val="InternetLink"/>
          </w:rPr>
          <w:t>Table of Contents</w:t>
        </w:r>
      </w:hyperlink>
    </w:p>
    <w:p>
      <w:pPr>
        <w:pStyle w:val="TextBody"/>
        <w:jc w:val="center"/>
        <w:rPr>
          <w:rFonts w:ascii="Times New Roman;Times;serif" w:hAnsi="Times New Roman;Times;serif"/>
          <w:sz w:val="17"/>
        </w:rPr>
      </w:pPr>
      <w:bookmarkStart w:id="5" w:name="002"/>
      <w:bookmarkEnd w:id="5"/>
      <w:r>
        <w:rPr>
          <w:rFonts w:ascii="Times New Roman;Times;serif" w:hAnsi="Times New Roman;Times;serif"/>
          <w:b/>
          <w:sz w:val="17"/>
        </w:rPr>
        <w:t>SIGNATURE</w:t>
      </w:r>
      <w:r>
        <w:rPr>
          <w:rFonts w:ascii="Times New Roman;Times;serif" w:hAnsi="Times New Roman;Times;serif"/>
          <w:sz w:val="17"/>
        </w:rPr>
        <w:t xml:space="preserve"> </w:t>
      </w:r>
    </w:p>
    <w:p>
      <w:pPr>
        <w:pStyle w:val="TextBody"/>
        <w:spacing w:before="0" w:after="0"/>
        <w:jc w:val="left"/>
        <w:rPr/>
      </w:pPr>
      <w:r>
        <w:rPr/>
        <w:t>     </w:t>
      </w:r>
      <w:r>
        <w:rPr>
          <w:rFonts w:ascii="Times New Roman;Times;serif" w:hAnsi="Times New Roman;Times;serif"/>
          <w:sz w:val="17"/>
        </w:rPr>
        <w:t xml:space="preserve">Pursuant to the requirements of the Securities Exchange Act of 1934, the Registrant has duly caused this report to be signed on its behalf by the undersigned hereunto duly authorized. </w:t>
      </w:r>
    </w:p>
    <w:tbl>
      <w:tblPr>
        <w:tblW w:w="5000" w:type="pct"/>
        <w:jc w:val="left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527"/>
        <w:gridCol w:w="664"/>
        <w:gridCol w:w="786"/>
        <w:gridCol w:w="2968"/>
        <w:gridCol w:w="1260"/>
      </w:tblGrid>
      <w:tr>
        <w:trPr/>
        <w:tc>
          <w:tcPr>
            <w:tcW w:w="4527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664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786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296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2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</w:tr>
      <w:tr>
        <w:trPr/>
        <w:tc>
          <w:tcPr>
            <w:tcW w:w="4527" w:type="dxa"/>
            <w:tcBorders/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418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Calavo Growers, Inc.</w:t>
              <w:br/>
              <w:t> </w:t>
            </w:r>
          </w:p>
        </w:tc>
        <w:tc>
          <w:tcPr>
            <w:tcW w:w="12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</w:tr>
      <w:tr>
        <w:trPr/>
        <w:tc>
          <w:tcPr>
            <w:tcW w:w="4527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January 6, 2005 </w:t>
            </w:r>
          </w:p>
        </w:tc>
        <w:tc>
          <w:tcPr>
            <w:tcW w:w="664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By:  </w:t>
            </w:r>
          </w:p>
        </w:tc>
        <w:tc>
          <w:tcPr>
            <w:tcW w:w="3754" w:type="dxa"/>
            <w:gridSpan w:val="2"/>
            <w:tcBorders>
              <w:bottom w:val="single" w:sz="2" w:space="0" w:color="000000"/>
            </w:tcBorders>
            <w:shd w:fill="auto" w:val="clear"/>
            <w:tcMar>
              <w:bottom w:w="28" w:type="dxa"/>
            </w:tcMar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/s/ Lecil E. Cole  </w:t>
            </w:r>
          </w:p>
        </w:tc>
        <w:tc>
          <w:tcPr>
            <w:tcW w:w="12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</w:tr>
      <w:tr>
        <w:trPr/>
        <w:tc>
          <w:tcPr>
            <w:tcW w:w="4527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64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754" w:type="dxa"/>
            <w:gridSpan w:val="2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Lecil E. Cole </w:t>
            </w:r>
          </w:p>
        </w:tc>
        <w:tc>
          <w:tcPr>
            <w:tcW w:w="12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</w:tr>
      <w:tr>
        <w:trPr/>
        <w:tc>
          <w:tcPr>
            <w:tcW w:w="4527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64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754" w:type="dxa"/>
            <w:gridSpan w:val="2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Chairman of the Board of Directors, Chief Executive Officer and President (Principal Executive Officer) </w:t>
            </w:r>
          </w:p>
        </w:tc>
        <w:tc>
          <w:tcPr>
            <w:tcW w:w="12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</w:tr>
      <w:tr>
        <w:trPr/>
        <w:tc>
          <w:tcPr>
            <w:tcW w:w="10205" w:type="dxa"/>
            <w:gridSpan w:val="5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</w:tr>
    </w:tbl>
    <w:p>
      <w:pPr>
        <w:pStyle w:val="TextBody"/>
        <w:jc w:val="center"/>
        <w:rPr>
          <w:rFonts w:ascii="Times New Roman;Times;serif" w:hAnsi="Times New Roman;Times;serif"/>
          <w:sz w:val="17"/>
        </w:rPr>
      </w:pPr>
      <w:r>
        <w:rPr>
          <w:rFonts w:ascii="Times New Roman;Times;serif" w:hAnsi="Times New Roman;Times;serif"/>
          <w:sz w:val="17"/>
        </w:rPr>
        <w:t xml:space="preserve">3 </w:t>
      </w:r>
      <w:r>
        <w:br w:type="page"/>
      </w:r>
    </w:p>
    <w:p>
      <w:pPr>
        <w:pStyle w:val="PreformattedText"/>
        <w:rPr/>
      </w:pPr>
      <w:r>
        <w:rPr/>
      </w:r>
      <w:bookmarkStart w:id="6" w:name="v04466exv99w1.txt"/>
      <w:bookmarkStart w:id="7" w:name="ksv04466exv99w1"/>
      <w:bookmarkStart w:id="8" w:name="v04466exv99w1.txt"/>
      <w:bookmarkStart w:id="9" w:name="ksv04466exv99w1"/>
      <w:bookmarkEnd w:id="8"/>
      <w:bookmarkEnd w:id="9"/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EXHIBIT 99.1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Calavo Growers,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Lee Cole (investors), Calavo Growers, Inc., (949) 223-1111</w:t>
      </w:r>
    </w:p>
    <w:p>
      <w:pPr>
        <w:pStyle w:val="PreformattedText"/>
        <w:rPr/>
      </w:pPr>
      <w:r>
        <w:rPr/>
        <w:t>or</w:t>
      </w:r>
    </w:p>
    <w:p>
      <w:pPr>
        <w:pStyle w:val="PreformattedText"/>
        <w:rPr/>
      </w:pPr>
      <w:r>
        <w:rPr/>
        <w:t>Jerry Freisleben (media, general information), Foley/Freisleben LLC,</w:t>
      </w:r>
    </w:p>
    <w:p>
      <w:pPr>
        <w:pStyle w:val="PreformattedText"/>
        <w:rPr/>
      </w:pPr>
      <w:r>
        <w:rPr/>
        <w:t>(213) 955-0020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CALAVO GROWERS POSTS RECORD REVENUES IN THE FOURTH QUARTER AND FISCAL</w:t>
      </w:r>
    </w:p>
    <w:p>
      <w:pPr>
        <w:pStyle w:val="PreformattedText"/>
        <w:rPr/>
      </w:pPr>
      <w:r>
        <w:rPr/>
        <w:t xml:space="preserve">       </w:t>
      </w:r>
      <w:r>
        <w:rPr/>
        <w:t>YEAR ENDED OCTOBER 31, 2004 WHILE MAINTAINING SOLID PROFITABILITY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</w:t>
      </w:r>
      <w:r>
        <w:rPr/>
        <w:t>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 Full-Year Sales Climb 11 Percent to $274 Million</w:t>
      </w:r>
    </w:p>
    <w:p>
      <w:pPr>
        <w:pStyle w:val="PreformattedText"/>
        <w:rPr/>
      </w:pPr>
      <w:r>
        <w:rPr/>
        <w:t>o Fourth-Period Revenues Edge Ahead 3 Percent to New Quarterly High</w:t>
      </w:r>
    </w:p>
    <w:p>
      <w:pPr>
        <w:pStyle w:val="PreformattedText"/>
        <w:rPr/>
      </w:pPr>
      <w:r>
        <w:rPr/>
        <w:t>o Results Driven by Strength in Core California Avocado Business</w:t>
      </w:r>
    </w:p>
    <w:p>
      <w:pPr>
        <w:pStyle w:val="PreformattedText"/>
        <w:rPr/>
      </w:pPr>
      <w:r>
        <w:rPr/>
        <w:t>o Processed Product Restructuring Completed</w:t>
      </w:r>
    </w:p>
    <w:p>
      <w:pPr>
        <w:pStyle w:val="PreformattedText"/>
        <w:rPr/>
      </w:pPr>
      <w:r>
        <w:rPr/>
        <w:t>o Maui Fresh Acquisition Makes "Solid Contribution" to Operating Results</w:t>
      </w:r>
    </w:p>
    <w:p>
      <w:pPr>
        <w:pStyle w:val="PreformattedText"/>
        <w:rPr/>
      </w:pPr>
      <w:r>
        <w:rPr/>
        <w:t>o Company Maintains Strong Balance Sheet and Liquidity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SANTA ANA, Calif. (Jan. 5, 2005) - Calavo Growers, Inc. (Nasdaq-NMS:</w:t>
      </w:r>
    </w:p>
    <w:p>
      <w:pPr>
        <w:pStyle w:val="PreformattedText"/>
        <w:rPr/>
      </w:pPr>
      <w:r>
        <w:rPr/>
        <w:t>CVGW) a worldwide leader in packing and distributing avocados, processed</w:t>
      </w:r>
    </w:p>
    <w:p>
      <w:pPr>
        <w:pStyle w:val="PreformattedText"/>
        <w:rPr/>
      </w:pPr>
      <w:r>
        <w:rPr/>
        <w:t>avocados and other perishable food products, today announced financial results</w:t>
      </w:r>
    </w:p>
    <w:p>
      <w:pPr>
        <w:pStyle w:val="PreformattedText"/>
        <w:rPr/>
      </w:pPr>
      <w:r>
        <w:rPr/>
        <w:t>for its fourth quarter and fiscal year ended October 31, 2004.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Record fourth quarter revenues totaled $65.4 million, an increase of</w:t>
      </w:r>
    </w:p>
    <w:p>
      <w:pPr>
        <w:pStyle w:val="PreformattedText"/>
        <w:rPr/>
      </w:pPr>
      <w:r>
        <w:rPr/>
        <w:t>three percent from $63.8 million in the corresponding quarter of fiscal 2003.</w:t>
      </w:r>
    </w:p>
    <w:p>
      <w:pPr>
        <w:pStyle w:val="PreformattedText"/>
        <w:rPr/>
      </w:pPr>
      <w:r>
        <w:rPr/>
        <w:t>Net income was $1.1 million, equal to $0.08 per fully diluted share, compared</w:t>
      </w:r>
    </w:p>
    <w:p>
      <w:pPr>
        <w:pStyle w:val="PreformattedText"/>
        <w:rPr/>
      </w:pPr>
      <w:r>
        <w:rPr/>
        <w:t>with $1.7 million, or $0.13 per fully diluted share in the fourth quarter of the</w:t>
      </w:r>
    </w:p>
    <w:p>
      <w:pPr>
        <w:pStyle w:val="PreformattedText"/>
        <w:rPr/>
      </w:pPr>
      <w:r>
        <w:rPr/>
        <w:t>prior year. The Company noted that fourth quarter operating results for fiscal</w:t>
      </w:r>
    </w:p>
    <w:p>
      <w:pPr>
        <w:pStyle w:val="PreformattedText"/>
        <w:rPr/>
      </w:pPr>
      <w:r>
        <w:rPr/>
        <w:t>2004 included a restructuring charge of $185,000 related to the closing of its</w:t>
      </w:r>
    </w:p>
    <w:p>
      <w:pPr>
        <w:pStyle w:val="PreformattedText"/>
        <w:rPr/>
      </w:pPr>
      <w:r>
        <w:rPr/>
        <w:t>Mexicali, Baja California Norte processed-avocado plant.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For the twelve months ended October 31, 2004, revenues grew 11 percent</w:t>
      </w:r>
    </w:p>
    <w:p>
      <w:pPr>
        <w:pStyle w:val="PreformattedText"/>
        <w:rPr/>
      </w:pPr>
      <w:r>
        <w:rPr/>
        <w:t>to a new company high of $274.2 million from $246.8 million in fiscal 2003. Net</w:t>
      </w:r>
    </w:p>
    <w:p>
      <w:pPr>
        <w:pStyle w:val="PreformattedText"/>
        <w:rPr/>
      </w:pPr>
      <w:r>
        <w:rPr/>
        <w:t>income was $6.2 million, equal to $0.46 per fully diluted share, compared with</w:t>
      </w:r>
    </w:p>
    <w:p>
      <w:pPr>
        <w:pStyle w:val="PreformattedText"/>
        <w:rPr/>
      </w:pPr>
      <w:r>
        <w:rPr/>
        <w:t>$0.55 per fully diluted share in the prior year. Per share amounts are based on</w:t>
      </w:r>
    </w:p>
    <w:p>
      <w:pPr>
        <w:pStyle w:val="PreformattedText"/>
        <w:rPr/>
      </w:pPr>
      <w:r>
        <w:rPr/>
        <w:t>approximately five percent more shares outstanding than in last year's</w:t>
      </w:r>
    </w:p>
    <w:p>
      <w:pPr>
        <w:pStyle w:val="PreformattedText"/>
        <w:rPr/>
      </w:pPr>
      <w:r>
        <w:rPr/>
        <w:t>corresponding periods, due to Calavo's all-stock acquisition of Maui Fresh</w:t>
      </w:r>
    </w:p>
    <w:p>
      <w:pPr>
        <w:pStyle w:val="PreformattedText"/>
        <w:rPr/>
      </w:pPr>
      <w:r>
        <w:rPr/>
        <w:t>International, which was completed in November 2003.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"Calavo substantially re-engineered the company over the past fiscal</w:t>
      </w:r>
    </w:p>
    <w:p>
      <w:pPr>
        <w:pStyle w:val="PreformattedText"/>
        <w:rPr/>
      </w:pPr>
      <w:r>
        <w:rPr/>
        <w:t>year while maintaining solid profitability," stated Chairman, President and</w:t>
      </w:r>
    </w:p>
    <w:p>
      <w:pPr>
        <w:pStyle w:val="PreformattedText"/>
        <w:rPr/>
      </w:pPr>
      <w:r>
        <w:rPr/>
        <w:t>Chief Executive Officer Lee E. Cole.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CALIFORNIA AVOCADOS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California avocado sales expanded 18 percent in the fourth quarter to</w:t>
      </w:r>
    </w:p>
    <w:p>
      <w:pPr>
        <w:pStyle w:val="PreformattedText"/>
        <w:rPr/>
      </w:pPr>
      <w:r>
        <w:rPr/>
        <w:t>$40.9 million, an increase of $6.3 million from $34.6 million in the prior year</w:t>
      </w:r>
    </w:p>
    <w:p>
      <w:pPr>
        <w:pStyle w:val="PreformattedText"/>
        <w:rPr/>
      </w:pPr>
      <w:r>
        <w:rPr/>
        <w:t>quarter. For fiscal year 2004, sales increased 8.2 percent to $162.0 million</w:t>
      </w:r>
    </w:p>
    <w:p>
      <w:pPr>
        <w:pStyle w:val="PreformattedText"/>
        <w:rPr/>
      </w:pPr>
      <w:r>
        <w:rPr/>
        <w:t>from $149.6 million for the same prior year period. The company's share of the</w:t>
      </w:r>
    </w:p>
    <w:p>
      <w:pPr>
        <w:pStyle w:val="PreformattedText"/>
        <w:rPr/>
      </w:pPr>
      <w:r>
        <w:rPr/>
        <w:t>California avocado crop was approximately 35% for fiscal year 2004 and 37% for</w:t>
      </w:r>
    </w:p>
    <w:p>
      <w:pPr>
        <w:pStyle w:val="PreformattedText"/>
        <w:rPr/>
      </w:pPr>
      <w:r>
        <w:rPr/>
        <w:t>the fourth fiscal quarter 2004, both of which were fairly consistent with the</w:t>
      </w:r>
    </w:p>
    <w:p>
      <w:pPr>
        <w:pStyle w:val="PreformattedText"/>
        <w:rPr/>
      </w:pPr>
      <w:r>
        <w:rPr/>
        <w:t>same prior year periods.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INTERNATIONAL AVOCADOS AND PERISHABLE PRODUCTS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International segment sales decreased by 17 percent in the fourth</w:t>
      </w:r>
    </w:p>
    <w:p>
      <w:pPr>
        <w:pStyle w:val="PreformattedText"/>
        <w:rPr/>
      </w:pPr>
      <w:r>
        <w:rPr/>
        <w:t>quarter, primarily due to a reduction in Chilean imports and delays in Mexican</w:t>
      </w:r>
    </w:p>
    <w:p>
      <w:pPr>
        <w:pStyle w:val="PreformattedText"/>
        <w:rPr/>
      </w:pPr>
      <w:r>
        <w:rPr/>
        <w:t>avocado shipments. Sales were $18.3 million, including Maui Fresh, compared to</w:t>
      </w:r>
    </w:p>
    <w:p>
      <w:pPr>
        <w:pStyle w:val="PreformattedText"/>
        <w:rPr/>
      </w:pPr>
      <w:r>
        <w:rPr/>
        <w:t>$22.0 million in the year-earlier fourth quarter.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For fiscal year 2004, sales increased $17.5 million from $69.1 million</w:t>
      </w:r>
    </w:p>
    <w:p>
      <w:pPr>
        <w:pStyle w:val="PreformattedText"/>
        <w:rPr/>
      </w:pPr>
      <w:r>
        <w:rPr/>
        <w:t>to $86.6 million for the same prior year period. This increase is primarily</w:t>
      </w:r>
    </w:p>
    <w:p>
      <w:pPr>
        <w:pStyle w:val="PreformattedText"/>
        <w:rPr/>
      </w:pPr>
      <w:r>
        <w:rPr/>
        <w:t>related to the acquisition of Maui and the first full year of fruit sourced from</w:t>
      </w:r>
    </w:p>
    <w:p>
      <w:pPr>
        <w:pStyle w:val="PreformattedText"/>
        <w:rPr/>
      </w:pPr>
      <w:r>
        <w:rPr/>
        <w:t>the Dominican Republic, partially offset by the aforementioned reduction in</w:t>
      </w:r>
    </w:p>
    <w:p>
      <w:pPr>
        <w:pStyle w:val="PreformattedText"/>
        <w:rPr/>
      </w:pPr>
      <w:r>
        <w:rPr/>
        <w:t>Chilean avocado shipments. Calavo's international strategy continues to include</w:t>
      </w:r>
    </w:p>
    <w:p>
      <w:pPr>
        <w:pStyle w:val="PreformattedText"/>
        <w:rPr/>
      </w:pPr>
      <w:r>
        <w:rPr/>
        <w:t>the broadening of its avocado supplies for the U.S. market and to expand its</w:t>
      </w:r>
    </w:p>
    <w:p>
      <w:pPr>
        <w:pStyle w:val="PreformattedText"/>
        <w:rPr/>
      </w:pPr>
      <w:r>
        <w:rPr/>
        <w:t>exposure in international markets.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PROCESSED PRODUCTS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For the fourth fiscal quarter, sales for this segment decreased 13</w:t>
      </w:r>
    </w:p>
    <w:p>
      <w:pPr>
        <w:pStyle w:val="PreformattedText"/>
        <w:rPr/>
      </w:pPr>
      <w:r>
        <w:rPr/>
        <w:t>percent, to $6.2 million, as compared to $7.2 million in the same prior year</w:t>
      </w:r>
    </w:p>
    <w:p>
      <w:pPr>
        <w:pStyle w:val="PreformattedText"/>
        <w:rPr/>
      </w:pPr>
      <w:r>
        <w:rPr/>
        <w:t>period. For fiscal year 2004, sales decreased 8.5 percent to $25.7 million from</w:t>
      </w:r>
    </w:p>
    <w:p>
      <w:pPr>
        <w:pStyle w:val="PreformattedText"/>
        <w:rPr/>
      </w:pPr>
      <w:r>
        <w:rPr/>
        <w:t>$28.0 million in comparison to the same prior year period. While the Company</w:t>
      </w:r>
    </w:p>
    <w:p>
      <w:pPr>
        <w:pStyle w:val="PreformattedText"/>
        <w:rPr/>
      </w:pPr>
      <w:r>
        <w:rPr/>
        <w:t>believes this segment presents attractive growth opportunities, results for the</w:t>
      </w:r>
    </w:p>
    <w:p>
      <w:pPr>
        <w:pStyle w:val="PreformattedText"/>
        <w:rPr/>
      </w:pPr>
      <w:r>
        <w:rPr/>
        <w:t>quarter and full year were adversely impacted by transitional factors, including</w:t>
      </w:r>
    </w:p>
    <w:p>
      <w:pPr>
        <w:pStyle w:val="PreformattedText"/>
        <w:rPr/>
      </w:pPr>
      <w:r>
        <w:rPr/>
        <w:t>costs related to subcontracting and duplicative overhead, owing to the</w:t>
      </w:r>
    </w:p>
    <w:p>
      <w:pPr>
        <w:pStyle w:val="PreformattedText"/>
        <w:rPr/>
      </w:pPr>
      <w:r>
        <w:rPr/>
        <w:t>consolidation of operations at the new Uruapan facility.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During the past 18 months, Calavo Growers constructed and began</w:t>
      </w:r>
    </w:p>
    <w:p>
      <w:pPr>
        <w:pStyle w:val="PreformattedText"/>
        <w:rPr/>
      </w:pPr>
      <w:r>
        <w:rPr/>
        <w:t>operation of a new, 90,000-square-foot processed products manufacturing facility</w:t>
      </w:r>
    </w:p>
    <w:p>
      <w:pPr>
        <w:pStyle w:val="PreformattedText"/>
        <w:rPr/>
      </w:pPr>
      <w:r>
        <w:rPr/>
        <w:t>in Uruapan, Michoacan, Mexico, which initially opened in a limited capacity in</w:t>
      </w:r>
    </w:p>
    <w:p>
      <w:pPr>
        <w:pStyle w:val="PreformattedText"/>
        <w:rPr/>
      </w:pPr>
      <w:r>
        <w:rPr/>
        <w:t>February 2004. This facility consolidated operations previously performed in</w:t>
      </w:r>
    </w:p>
    <w:p>
      <w:pPr>
        <w:pStyle w:val="PreformattedText"/>
        <w:rPr/>
      </w:pPr>
      <w:r>
        <w:rPr/>
        <w:t>Santa Paula, California and Mexicali, Mexico. With the restructuring now</w:t>
      </w:r>
    </w:p>
    <w:p>
      <w:pPr>
        <w:pStyle w:val="PreformattedText"/>
        <w:rPr/>
      </w:pPr>
      <w:r>
        <w:rPr/>
        <w:t>complete, Calavo "stands to realize savings in certain transportation costs,</w:t>
      </w:r>
    </w:p>
    <w:p>
      <w:pPr>
        <w:pStyle w:val="PreformattedText"/>
        <w:rPr/>
      </w:pPr>
      <w:r>
        <w:rPr/>
        <w:t>duplicative overhead, and in the overall cost of labor and services," according</w:t>
      </w:r>
    </w:p>
    <w:p>
      <w:pPr>
        <w:pStyle w:val="PreformattedText"/>
        <w:rPr/>
      </w:pPr>
      <w:r>
        <w:rPr/>
        <w:t>to Cole.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"I would also underscore that this far-reaching, multi-million dollar</w:t>
      </w:r>
    </w:p>
    <w:p>
      <w:pPr>
        <w:pStyle w:val="PreformattedText"/>
        <w:rPr/>
      </w:pPr>
      <w:r>
        <w:rPr/>
        <w:t>restructuring, including construction of the new state-of-the-art Uruapan</w:t>
      </w:r>
    </w:p>
    <w:p>
      <w:pPr>
        <w:pStyle w:val="PreformattedText"/>
        <w:rPr/>
      </w:pPr>
      <w:r>
        <w:rPr/>
        <w:t>facility, at a cost of about $10 million, was financed entirely from the</w:t>
      </w:r>
    </w:p>
    <w:p>
      <w:pPr>
        <w:pStyle w:val="PreformattedText"/>
        <w:rPr/>
      </w:pPr>
      <w:r>
        <w:rPr/>
        <w:t>company's treasury and robust cash flow," added Cole.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Calavo's CEO further emphasized that "our management team remains</w:t>
      </w:r>
    </w:p>
    <w:p>
      <w:pPr>
        <w:pStyle w:val="PreformattedText"/>
        <w:rPr/>
      </w:pPr>
      <w:r>
        <w:rPr/>
        <w:t>committed to cost containment. While SG&amp;A costs in fiscal year 2004 increased</w:t>
      </w:r>
    </w:p>
    <w:p>
      <w:pPr>
        <w:pStyle w:val="PreformattedText"/>
        <w:rPr/>
      </w:pPr>
      <w:r>
        <w:rPr/>
        <w:t>modestly, they actually decreased as a percent of revenues despite the</w:t>
      </w:r>
    </w:p>
    <w:p>
      <w:pPr>
        <w:pStyle w:val="PreformattedText"/>
        <w:rPr/>
      </w:pPr>
      <w:r>
        <w:rPr/>
        <w:t>previously referenced restructuring charges. Calavo is, and intends to remain, a</w:t>
      </w:r>
    </w:p>
    <w:p>
      <w:pPr>
        <w:pStyle w:val="PreformattedText"/>
        <w:rPr/>
      </w:pPr>
      <w:r>
        <w:rPr/>
        <w:t>lean, bottom-line oriented organization."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SUMMARY AND FISCAL 2005 OUTLOOK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"We have accomplished an enormous amount during the past twelve</w:t>
      </w:r>
    </w:p>
    <w:p>
      <w:pPr>
        <w:pStyle w:val="PreformattedText"/>
        <w:rPr/>
      </w:pPr>
      <w:r>
        <w:rPr/>
        <w:t>months," Cole commented. "We continue to gain strength and momentum, expanding</w:t>
      </w:r>
    </w:p>
    <w:p>
      <w:pPr>
        <w:pStyle w:val="PreformattedText"/>
        <w:rPr/>
      </w:pPr>
      <w:r>
        <w:rPr/>
        <w:t>our position in our core U.S. market, growing and diversifying internationally</w:t>
      </w:r>
    </w:p>
    <w:p>
      <w:pPr>
        <w:pStyle w:val="PreformattedText"/>
        <w:rPr/>
      </w:pPr>
      <w:r>
        <w:rPr/>
        <w:t>and now focusing on re-energizing our processed-products business. Key to the</w:t>
      </w:r>
    </w:p>
    <w:p>
      <w:pPr>
        <w:pStyle w:val="PreformattedText"/>
        <w:rPr/>
      </w:pPr>
      <w:r>
        <w:rPr/>
        <w:t>last initiative is increasing production of our high-pressure guacamole product,</w:t>
      </w:r>
    </w:p>
    <w:p>
      <w:pPr>
        <w:pStyle w:val="PreformattedText"/>
        <w:rPr/>
      </w:pPr>
      <w:r>
        <w:rPr/>
        <w:t>which has met with a high level of customer acceptance."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Cole concluded: "Our entire management team is committed to building a</w:t>
      </w:r>
    </w:p>
    <w:p>
      <w:pPr>
        <w:pStyle w:val="PreformattedText"/>
        <w:rPr/>
      </w:pPr>
      <w:r>
        <w:rPr/>
        <w:t>larger, stronger and more diversified corporation. To realize these objectives,</w:t>
      </w:r>
    </w:p>
    <w:p>
      <w:pPr>
        <w:pStyle w:val="PreformattedText"/>
        <w:rPr/>
      </w:pPr>
      <w:r>
        <w:rPr/>
        <w:t>our company is well positioned with modernized facilities, strong finances, and</w:t>
      </w:r>
    </w:p>
    <w:p>
      <w:pPr>
        <w:pStyle w:val="PreformattedText"/>
        <w:rPr/>
      </w:pPr>
      <w:r>
        <w:rPr/>
        <w:t>a creative and energetic management team."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ABOUT CALAVO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Calavo Growers, Inc. engages in the procurement and marketing of</w:t>
      </w:r>
    </w:p>
    <w:p>
      <w:pPr>
        <w:pStyle w:val="PreformattedText"/>
        <w:rPr/>
      </w:pPr>
      <w:r>
        <w:rPr/>
        <w:t>avocados and other perishable foods and the preparation and distribution of</w:t>
      </w:r>
    </w:p>
    <w:p>
      <w:pPr>
        <w:pStyle w:val="PreformattedText"/>
        <w:rPr/>
      </w:pPr>
      <w:r>
        <w:rPr/>
        <w:t>processed avocado products. Calavo's expertise in marketing and distributing</w:t>
      </w:r>
    </w:p>
    <w:p>
      <w:pPr>
        <w:pStyle w:val="PreformattedText"/>
        <w:rPr/>
      </w:pPr>
      <w:r>
        <w:rPr/>
        <w:t>avocados, processed avocados, and other perishable foods allows the company to</w:t>
      </w:r>
    </w:p>
    <w:p>
      <w:pPr>
        <w:pStyle w:val="PreformattedText"/>
        <w:rPr/>
      </w:pPr>
      <w:r>
        <w:rPr/>
        <w:t>deliver a wide array of fresh and processed food products to food distributors,</w:t>
      </w:r>
    </w:p>
    <w:p>
      <w:pPr>
        <w:pStyle w:val="PreformattedText"/>
        <w:rPr/>
      </w:pPr>
      <w:r>
        <w:rPr/>
        <w:t>produce wholesalers, supermarkets, and restaurants on a worldwide basis.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SAFE HARBOR STATEMENT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This news release contains statements relating to future events and results of</w:t>
      </w:r>
    </w:p>
    <w:p>
      <w:pPr>
        <w:pStyle w:val="PreformattedText"/>
        <w:rPr/>
      </w:pPr>
      <w:r>
        <w:rPr/>
        <w:t>Calavo (including certain projections and business trends) that are</w:t>
      </w:r>
    </w:p>
    <w:p>
      <w:pPr>
        <w:pStyle w:val="PreformattedText"/>
        <w:rPr/>
      </w:pPr>
      <w:r>
        <w:rPr/>
        <w:t>"forward-looking statements" as defined in the Private Securities Litigation</w:t>
      </w:r>
    </w:p>
    <w:p>
      <w:pPr>
        <w:pStyle w:val="PreformattedText"/>
        <w:rPr/>
      </w:pPr>
      <w:r>
        <w:rPr/>
        <w:t>Reform Act of 1995. Actual results and events may differ from those projected as</w:t>
      </w:r>
    </w:p>
    <w:p>
      <w:pPr>
        <w:pStyle w:val="PreformattedText"/>
        <w:rPr/>
      </w:pPr>
      <w:r>
        <w:rPr/>
        <w:t>a result of certain risks and uncertainties. These risks and uncertainties</w:t>
      </w:r>
    </w:p>
    <w:p>
      <w:pPr>
        <w:pStyle w:val="PreformattedText"/>
        <w:rPr/>
      </w:pPr>
      <w:r>
        <w:rPr/>
        <w:t>include but are not limited to: increased competition, conducting substantial</w:t>
      </w:r>
    </w:p>
    <w:p>
      <w:pPr>
        <w:pStyle w:val="PreformattedText"/>
        <w:rPr/>
      </w:pPr>
      <w:r>
        <w:rPr/>
        <w:t>amounts of business internationally, pricing pressures on agricultural products,</w:t>
      </w:r>
    </w:p>
    <w:p>
      <w:pPr>
        <w:pStyle w:val="PreformattedText"/>
        <w:rPr/>
      </w:pPr>
      <w:r>
        <w:rPr/>
        <w:t>adverse weather and growing conditions confronting avocado growers, new</w:t>
      </w:r>
    </w:p>
    <w:p>
      <w:pPr>
        <w:pStyle w:val="PreformattedText"/>
        <w:rPr/>
      </w:pPr>
      <w:r>
        <w:rPr/>
        <w:t>governmental regulations, as well as other risks and uncertainties detailed from</w:t>
      </w:r>
    </w:p>
    <w:p>
      <w:pPr>
        <w:pStyle w:val="PreformattedText"/>
        <w:rPr/>
      </w:pPr>
      <w:r>
        <w:rPr/>
        <w:t>time to time in the company's Securities and Exchange Commission filings,</w:t>
      </w:r>
    </w:p>
    <w:p>
      <w:pPr>
        <w:pStyle w:val="PreformattedText"/>
        <w:rPr/>
      </w:pPr>
      <w:r>
        <w:rPr/>
        <w:t>including, without limitation, the company's Report on Form 10-K for the year</w:t>
      </w:r>
    </w:p>
    <w:p>
      <w:pPr>
        <w:pStyle w:val="PreformattedText"/>
        <w:rPr/>
      </w:pPr>
      <w:r>
        <w:rPr/>
        <w:t>ended October 31, 2002. These forward-looking statements are made only as of the</w:t>
      </w:r>
    </w:p>
    <w:p>
      <w:pPr>
        <w:pStyle w:val="PreformattedText"/>
        <w:rPr/>
      </w:pPr>
      <w:r>
        <w:rPr/>
        <w:t>date hereof, and the company undertakes no obligation to update or revise the</w:t>
      </w:r>
    </w:p>
    <w:p>
      <w:pPr>
        <w:pStyle w:val="PreformattedText"/>
        <w:rPr/>
      </w:pPr>
      <w:r>
        <w:rPr/>
        <w:t>forward-looking statements, whether as a result of new information, future</w:t>
      </w:r>
    </w:p>
    <w:p>
      <w:pPr>
        <w:pStyle w:val="PreformattedText"/>
        <w:rPr/>
      </w:pPr>
      <w:r>
        <w:rPr/>
        <w:t>events or otherwise.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# # #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CALAVO GROWERS, INC.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CONSOLIDATED BALANCE SHEETS</w:t>
      </w:r>
    </w:p>
    <w:p>
      <w:pPr>
        <w:pStyle w:val="PreformattedText"/>
        <w:rPr/>
      </w:pPr>
      <w:r>
        <w:rPr/>
        <w:t xml:space="preserve">                    </w:t>
      </w:r>
      <w:r>
        <w:rPr/>
        <w:t>(IN THOUSANDS, EXCEPT PER SHARE AMOUNTS)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  <w:r>
        <w:rPr/>
        <w:t>OCTOBER 31,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  <w:r>
        <w:rPr/>
        <w:t>2004        2003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----------   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</w:p>
    <w:p>
      <w:pPr>
        <w:pStyle w:val="PreformattedText"/>
        <w:rPr/>
      </w:pPr>
      <w:r>
        <w:rPr/>
        <w:t>ASSETS</w:t>
      </w:r>
    </w:p>
    <w:p>
      <w:pPr>
        <w:pStyle w:val="PreformattedText"/>
        <w:rPr/>
      </w:pPr>
      <w:r>
        <w:rPr/>
        <w:t>Current assets:</w:t>
      </w:r>
    </w:p>
    <w:p>
      <w:pPr>
        <w:pStyle w:val="PreformattedText"/>
        <w:rPr/>
      </w:pPr>
      <w:r>
        <w:rPr/>
        <w:t xml:space="preserve">   </w:t>
      </w:r>
      <w:r>
        <w:rPr/>
        <w:t>Cash and cash equivalents                                         $      636   $    5,375</w:t>
      </w:r>
    </w:p>
    <w:p>
      <w:pPr>
        <w:pStyle w:val="PreformattedText"/>
        <w:rPr/>
      </w:pPr>
      <w:r>
        <w:rPr/>
        <w:t xml:space="preserve">   </w:t>
      </w:r>
      <w:r>
        <w:rPr/>
        <w:t>Accounts receivable, net of allowances</w:t>
      </w:r>
    </w:p>
    <w:p>
      <w:pPr>
        <w:pStyle w:val="PreformattedText"/>
        <w:rPr/>
      </w:pPr>
      <w:r>
        <w:rPr/>
        <w:t xml:space="preserve">    </w:t>
      </w:r>
      <w:r>
        <w:rPr/>
        <w:t>of $1,087 (2004) and $700 (2003)                                     21,131       16,560</w:t>
      </w:r>
    </w:p>
    <w:p>
      <w:pPr>
        <w:pStyle w:val="PreformattedText"/>
        <w:rPr/>
      </w:pPr>
      <w:r>
        <w:rPr/>
        <w:t xml:space="preserve">   </w:t>
      </w:r>
      <w:r>
        <w:rPr/>
        <w:t>Inventories, net                                                      11,375        8,021</w:t>
      </w:r>
    </w:p>
    <w:p>
      <w:pPr>
        <w:pStyle w:val="PreformattedText"/>
        <w:rPr/>
      </w:pPr>
      <w:r>
        <w:rPr/>
        <w:t xml:space="preserve">   </w:t>
      </w:r>
      <w:r>
        <w:rPr/>
        <w:t>Prepaid expenses and other current assets                              4,598        4,487</w:t>
      </w:r>
    </w:p>
    <w:p>
      <w:pPr>
        <w:pStyle w:val="PreformattedText"/>
        <w:rPr/>
      </w:pPr>
      <w:r>
        <w:rPr/>
        <w:t xml:space="preserve">   </w:t>
      </w:r>
      <w:r>
        <w:rPr/>
        <w:t>Loans to growers                                                         209          353</w:t>
      </w:r>
    </w:p>
    <w:p>
      <w:pPr>
        <w:pStyle w:val="PreformattedText"/>
        <w:rPr/>
      </w:pPr>
      <w:r>
        <w:rPr/>
        <w:t xml:space="preserve">   </w:t>
      </w:r>
      <w:r>
        <w:rPr/>
        <w:t>Advances to suppliers                                                  2,413          624</w:t>
      </w:r>
    </w:p>
    <w:p>
      <w:pPr>
        <w:pStyle w:val="PreformattedText"/>
        <w:rPr/>
      </w:pPr>
      <w:r>
        <w:rPr/>
        <w:t xml:space="preserve">   </w:t>
      </w:r>
      <w:r>
        <w:rPr/>
        <w:t>Income taxes receivable                                                  803            -</w:t>
      </w:r>
    </w:p>
    <w:p>
      <w:pPr>
        <w:pStyle w:val="PreformattedText"/>
        <w:rPr/>
      </w:pPr>
      <w:r>
        <w:rPr/>
        <w:t xml:space="preserve">   </w:t>
      </w:r>
      <w:r>
        <w:rPr/>
        <w:t>Deferred income taxes                                                  1,775        1,379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----------   ----------</w:t>
      </w:r>
    </w:p>
    <w:p>
      <w:pPr>
        <w:pStyle w:val="PreformattedText"/>
        <w:rPr/>
      </w:pPr>
      <w:r>
        <w:rPr/>
        <w:t xml:space="preserve">     </w:t>
      </w:r>
      <w:r>
        <w:rPr/>
        <w:t>Total current assets                                                42,940       36,799</w:t>
      </w:r>
    </w:p>
    <w:p>
      <w:pPr>
        <w:pStyle w:val="PreformattedText"/>
        <w:rPr/>
      </w:pPr>
      <w:r>
        <w:rPr/>
        <w:t>Property, plant, and equipment, net                                      19,085       13,121</w:t>
      </w:r>
    </w:p>
    <w:p>
      <w:pPr>
        <w:pStyle w:val="PreformattedText"/>
        <w:rPr/>
      </w:pPr>
      <w:r>
        <w:rPr/>
        <w:t>Goodwill                                                                  3,591            -</w:t>
      </w:r>
    </w:p>
    <w:p>
      <w:pPr>
        <w:pStyle w:val="PreformattedText"/>
        <w:rPr/>
      </w:pPr>
      <w:r>
        <w:rPr/>
        <w:t>Other assets                                                              1,782        3,769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----------   ----------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$   67,398   $   53,689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==========   ==========</w:t>
      </w:r>
    </w:p>
    <w:p>
      <w:pPr>
        <w:pStyle w:val="PreformattedText"/>
        <w:rPr/>
      </w:pPr>
      <w:r>
        <w:rPr/>
        <w:t>LIABILITIES AND SHAREHOLDERS' EQUITY</w:t>
      </w:r>
    </w:p>
    <w:p>
      <w:pPr>
        <w:pStyle w:val="PreformattedText"/>
        <w:rPr/>
      </w:pPr>
      <w:r>
        <w:rPr/>
        <w:t>Current liabilities:</w:t>
      </w:r>
    </w:p>
    <w:p>
      <w:pPr>
        <w:pStyle w:val="PreformattedText"/>
        <w:rPr/>
      </w:pPr>
      <w:r>
        <w:rPr/>
        <w:t xml:space="preserve">   </w:t>
      </w:r>
      <w:r>
        <w:rPr/>
        <w:t>Payable to growers                                                $    5,789   $    3,446</w:t>
      </w:r>
    </w:p>
    <w:p>
      <w:pPr>
        <w:pStyle w:val="PreformattedText"/>
        <w:rPr/>
      </w:pPr>
      <w:r>
        <w:rPr/>
        <w:t xml:space="preserve">   </w:t>
      </w:r>
      <w:r>
        <w:rPr/>
        <w:t>Trade accounts payable                                                 2,490        1,534</w:t>
      </w:r>
    </w:p>
    <w:p>
      <w:pPr>
        <w:pStyle w:val="PreformattedText"/>
        <w:rPr/>
      </w:pPr>
      <w:r>
        <w:rPr/>
        <w:t xml:space="preserve">   </w:t>
      </w:r>
      <w:r>
        <w:rPr/>
        <w:t>Accrued expenses                                                       8,234        7,777</w:t>
      </w:r>
    </w:p>
    <w:p>
      <w:pPr>
        <w:pStyle w:val="PreformattedText"/>
        <w:rPr/>
      </w:pPr>
      <w:r>
        <w:rPr/>
        <w:t xml:space="preserve">   </w:t>
      </w:r>
      <w:r>
        <w:rPr/>
        <w:t>Income tax payable                                                         -           51</w:t>
      </w:r>
    </w:p>
    <w:p>
      <w:pPr>
        <w:pStyle w:val="PreformattedText"/>
        <w:rPr/>
      </w:pPr>
      <w:r>
        <w:rPr/>
        <w:t xml:space="preserve">   </w:t>
      </w:r>
      <w:r>
        <w:rPr/>
        <w:t>Short-term borrowings                                                  2,000            -</w:t>
      </w:r>
    </w:p>
    <w:p>
      <w:pPr>
        <w:pStyle w:val="PreformattedText"/>
        <w:rPr/>
      </w:pPr>
      <w:r>
        <w:rPr/>
        <w:t xml:space="preserve">   </w:t>
      </w:r>
      <w:r>
        <w:rPr/>
        <w:t>Dividend payable                                                       4,052        3,232</w:t>
      </w:r>
    </w:p>
    <w:p>
      <w:pPr>
        <w:pStyle w:val="PreformattedText"/>
        <w:rPr/>
      </w:pPr>
      <w:r>
        <w:rPr/>
        <w:t xml:space="preserve">   </w:t>
      </w:r>
      <w:r>
        <w:rPr/>
        <w:t>Current portion of long-term obligations                                  22           24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----------   ----------</w:t>
      </w:r>
    </w:p>
    <w:p>
      <w:pPr>
        <w:pStyle w:val="PreformattedText"/>
        <w:rPr/>
      </w:pPr>
      <w:r>
        <w:rPr/>
        <w:t xml:space="preserve">     </w:t>
      </w:r>
      <w:r>
        <w:rPr/>
        <w:t>Total current liabilities                                           22,587       16,064</w:t>
      </w:r>
    </w:p>
    <w:p>
      <w:pPr>
        <w:pStyle w:val="PreformattedText"/>
        <w:rPr/>
      </w:pPr>
      <w:r>
        <w:rPr/>
        <w:t>Long-term liabilities:</w:t>
      </w:r>
    </w:p>
    <w:p>
      <w:pPr>
        <w:pStyle w:val="PreformattedText"/>
        <w:rPr/>
      </w:pPr>
      <w:r>
        <w:rPr/>
        <w:t xml:space="preserve">   </w:t>
      </w:r>
      <w:r>
        <w:rPr/>
        <w:t>Long-term obligations, less current portion                               34           61</w:t>
      </w:r>
    </w:p>
    <w:p>
      <w:pPr>
        <w:pStyle w:val="PreformattedText"/>
        <w:rPr/>
      </w:pPr>
      <w:r>
        <w:rPr/>
        <w:t xml:space="preserve">   </w:t>
      </w:r>
      <w:r>
        <w:rPr/>
        <w:t>Deferred income taxes                                                    840          417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----------   ----------</w:t>
      </w:r>
    </w:p>
    <w:p>
      <w:pPr>
        <w:pStyle w:val="PreformattedText"/>
        <w:rPr/>
      </w:pPr>
      <w:r>
        <w:rPr/>
        <w:t xml:space="preserve">     </w:t>
      </w:r>
      <w:r>
        <w:rPr/>
        <w:t>Total long-term liabilities                                            874          478</w:t>
      </w:r>
    </w:p>
    <w:p>
      <w:pPr>
        <w:pStyle w:val="PreformattedText"/>
        <w:rPr/>
      </w:pPr>
      <w:r>
        <w:rPr/>
        <w:t>Total shareholders' equity                                               43,937       37,147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----------   ----------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$   67,398   $   53,689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==========   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CALAVO GROWERS, INC.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CONSOLIDATED STATEMENTS OF INCOME</w:t>
      </w:r>
    </w:p>
    <w:p>
      <w:pPr>
        <w:pStyle w:val="PreformattedText"/>
        <w:rPr/>
      </w:pPr>
      <w:r>
        <w:rPr/>
        <w:t xml:space="preserve">                    </w:t>
      </w:r>
      <w:r>
        <w:rPr/>
        <w:t>(IN THOUSANDS, EXCEPT PER SHARE AMOUNTS)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THREE MONTHS ENDED            YEAR ENDED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OCTOBER 31,               OCTOBER 31,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-----------------------   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2004         2003         2004          2003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----------   ----------   ----------    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</w:t>
      </w:r>
    </w:p>
    <w:p>
      <w:pPr>
        <w:pStyle w:val="PreformattedText"/>
        <w:rPr/>
      </w:pPr>
      <w:r>
        <w:rPr/>
        <w:t>Net sales............................................     $   65,436   $   63,780   $  274,218    $  246,761</w:t>
      </w:r>
    </w:p>
    <w:p>
      <w:pPr>
        <w:pStyle w:val="PreformattedText"/>
        <w:rPr/>
      </w:pPr>
      <w:r>
        <w:rPr/>
        <w:t>Cost of sales........................................         59,425       58,483      248,814       221,414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----------   ----------   ----------    ----------</w:t>
      </w:r>
    </w:p>
    <w:p>
      <w:pPr>
        <w:pStyle w:val="PreformattedText"/>
        <w:rPr/>
      </w:pPr>
      <w:r>
        <w:rPr/>
        <w:t>Gross margin.........................................          6,011        5,297       25,404        25,347</w:t>
      </w:r>
    </w:p>
    <w:p>
      <w:pPr>
        <w:pStyle w:val="PreformattedText"/>
        <w:rPr/>
      </w:pPr>
      <w:r>
        <w:rPr/>
        <w:t>Special charges......................................            185            3          185           106</w:t>
      </w:r>
    </w:p>
    <w:p>
      <w:pPr>
        <w:pStyle w:val="PreformattedText"/>
        <w:rPr/>
      </w:pPr>
      <w:r>
        <w:rPr/>
        <w:t>Selling, general and administrative..................          4,416        3,411       15,920        14,651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----------   ----------   ----------    ----------</w:t>
      </w:r>
    </w:p>
    <w:p>
      <w:pPr>
        <w:pStyle w:val="PreformattedText"/>
        <w:rPr/>
      </w:pPr>
      <w:r>
        <w:rPr/>
        <w:t>Operating income.....................................          1,410        1,883        9,299        10,590</w:t>
      </w:r>
    </w:p>
    <w:p>
      <w:pPr>
        <w:pStyle w:val="PreformattedText"/>
        <w:rPr/>
      </w:pPr>
      <w:r>
        <w:rPr/>
        <w:t>Other income, net....................................           (167)        (274)        (478)         (889)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----------   ----------   ----------    ----------</w:t>
      </w:r>
    </w:p>
    <w:p>
      <w:pPr>
        <w:pStyle w:val="PreformattedText"/>
        <w:rPr/>
      </w:pPr>
      <w:r>
        <w:rPr/>
        <w:t>Income before provision for income taxes.............          1,577        2,157        9,777        11,479</w:t>
      </w:r>
    </w:p>
    <w:p>
      <w:pPr>
        <w:pStyle w:val="PreformattedText"/>
        <w:rPr/>
      </w:pPr>
      <w:r>
        <w:rPr/>
        <w:t>Provision for income taxes...........................            467          471        3,567         4,319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----------   ----------   ----------    ----------</w:t>
      </w:r>
    </w:p>
    <w:p>
      <w:pPr>
        <w:pStyle w:val="PreformattedText"/>
        <w:rPr/>
      </w:pPr>
      <w:r>
        <w:rPr/>
        <w:t>Net income...........................................     $    1,110   $    1,686   $    6,210    $    7,160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==========   ==========   ==========    ==========</w:t>
      </w:r>
    </w:p>
    <w:p>
      <w:pPr>
        <w:pStyle w:val="PreformattedText"/>
        <w:rPr/>
      </w:pPr>
      <w:r>
        <w:rPr/>
        <w:t>Net income per share:</w:t>
      </w:r>
    </w:p>
    <w:p>
      <w:pPr>
        <w:pStyle w:val="PreformattedText"/>
        <w:rPr/>
      </w:pPr>
      <w:r>
        <w:rPr/>
        <w:t xml:space="preserve"> </w:t>
      </w:r>
      <w:r>
        <w:rPr/>
        <w:t>Basic...............................................     $     0.08   $     0.13   $     0.46    $     0.55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==========   ==========   ==========    ==========</w:t>
      </w:r>
    </w:p>
    <w:p>
      <w:pPr>
        <w:pStyle w:val="PreformattedText"/>
        <w:rPr/>
      </w:pPr>
      <w:r>
        <w:rPr/>
        <w:t xml:space="preserve"> </w:t>
      </w:r>
      <w:r>
        <w:rPr/>
        <w:t>Diluted.............................................     $     0.08   $     0.13   $     0.46    $     0.55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==========   ==========   ==========    ==========</w:t>
      </w:r>
    </w:p>
    <w:p>
      <w:pPr>
        <w:pStyle w:val="PreformattedText"/>
        <w:rPr/>
      </w:pPr>
      <w:r>
        <w:rPr/>
        <w:t>Number of shares used in per share computation:</w:t>
      </w:r>
    </w:p>
    <w:p>
      <w:pPr>
        <w:pStyle w:val="PreformattedText"/>
        <w:rPr/>
      </w:pPr>
      <w:r>
        <w:rPr/>
        <w:t xml:space="preserve"> </w:t>
      </w:r>
      <w:r>
        <w:rPr/>
        <w:t>Basic...............................................         13,507       12,930       13,497        12,911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==========   ==========   ==========    ==========</w:t>
      </w:r>
    </w:p>
    <w:p>
      <w:pPr>
        <w:pStyle w:val="PreformattedText"/>
        <w:rPr/>
      </w:pPr>
      <w:r>
        <w:rPr/>
        <w:t xml:space="preserve"> </w:t>
      </w:r>
      <w:r>
        <w:rPr/>
        <w:t>Diluted.............................................         13,591       12,970       13,582        12,944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==========   ==========   ==========    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</w:t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Liberation Mono">
    <w:altName w:val="Courier New"/>
    <w:charset w:val="00"/>
    <w:family w:val="modern"/>
    <w:pitch w:val="fixed"/>
  </w:font>
  <w:font w:name="Times New Roman">
    <w:altName w:val="Times"/>
    <w:charset w:val="00"/>
    <w:family w:val="auto"/>
    <w:pitch w:val="default"/>
  </w:font>
  <w:font w:name="Wingdings"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paragraph" w:styleId="Heading5">
    <w:name w:val="Heading 5"/>
    <w:basedOn w:val="Heading"/>
    <w:next w:val="TextBody"/>
    <w:qFormat/>
    <w:pPr>
      <w:numPr>
        <w:ilvl w:val="0"/>
        <w:numId w:val="0"/>
      </w:numPr>
      <w:spacing w:before="120" w:after="60"/>
      <w:outlineLvl w:val="4"/>
    </w:pPr>
    <w:rPr>
      <w:rFonts w:ascii="Liberation Serif" w:hAnsi="Liberation Serif" w:eastAsia="DejaVu Sans" w:cs="DejaVu Sans"/>
      <w:b/>
      <w:bCs/>
      <w:sz w:val="20"/>
      <w:szCs w:val="20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6</Pages>
  <Words>1826</Words>
  <CharactersWithSpaces>17388</CharactersWithSpaces>
  <Paragraphs>286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>Calavo Growers, Inc. - January 6, 2005</dc:title>
</cp:coreProperties>
</file>