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12377e10vq.htm"/>
        <w:bookmarkStart w:id="1" w:name="ksv12377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 </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jc w:val="left"/>
              <w:rPr>
                <w:b/>
                <w:sz w:val="17"/>
              </w:rPr>
            </w:pPr>
            <w:r>
              <w:rPr>
                <w:b/>
                <w:sz w:val="17"/>
              </w:rPr>
              <w:t>For the quarterly period ended July 31, 2005</w:t>
            </w:r>
          </w:p>
        </w:tc>
      </w:tr>
    </w:tbl>
    <w:tbl>
      <w:tblPr>
        <w:tblW w:w="5000" w:type="pct"/>
        <w:jc w:val="center"/>
        <w:tblInd w:w="0" w:type="dxa"/>
        <w:tblCellMar>
          <w:top w:w="0" w:type="dxa"/>
          <w:left w:w="0" w:type="dxa"/>
          <w:bottom w:w="0" w:type="dxa"/>
          <w:right w:w="0" w:type="dxa"/>
        </w:tblCellMar>
      </w:tblPr>
      <w:tblGrid>
        <w:gridCol w:w="711"/>
        <w:gridCol w:w="505"/>
        <w:gridCol w:w="8989"/>
      </w:tblGrid>
      <w:tr>
        <w:trPr/>
        <w:tc>
          <w:tcPr>
            <w:tcW w:w="711" w:type="dxa"/>
            <w:tcBorders/>
            <w:shd w:fill="auto" w:val="clear"/>
            <w:vAlign w:val="center"/>
          </w:tcPr>
          <w:p>
            <w:pPr>
              <w:pStyle w:val="TableContents"/>
              <w:spacing w:before="0" w:after="283"/>
              <w:rPr/>
            </w:pPr>
            <w:r>
              <w:rPr/>
              <w:t> </w:t>
            </w:r>
          </w:p>
        </w:tc>
        <w:tc>
          <w:tcPr>
            <w:tcW w:w="505" w:type="dxa"/>
            <w:tcBorders/>
            <w:shd w:fill="auto" w:val="clear"/>
            <w:vAlign w:val="center"/>
          </w:tcPr>
          <w:p>
            <w:pPr>
              <w:pStyle w:val="TableContents"/>
              <w:spacing w:before="0" w:after="283"/>
              <w:rPr/>
            </w:pPr>
            <w:r>
              <w:rPr/>
              <w:t> </w:t>
            </w:r>
          </w:p>
        </w:tc>
        <w:tc>
          <w:tcPr>
            <w:tcW w:w="8989" w:type="dxa"/>
            <w:tcBorders/>
            <w:shd w:fill="auto" w:val="clear"/>
            <w:vAlign w:val="center"/>
          </w:tcPr>
          <w:p>
            <w:pPr>
              <w:pStyle w:val="TableContents"/>
              <w:spacing w:before="0" w:after="283"/>
              <w:rPr/>
            </w:pPr>
            <w:r>
              <w:rPr/>
              <w:t> </w:t>
            </w:r>
          </w:p>
        </w:tc>
      </w:tr>
      <w:tr>
        <w:trPr/>
        <w:tc>
          <w:tcPr>
            <w:tcW w:w="711" w:type="dxa"/>
            <w:tcBorders/>
            <w:shd w:fill="auto" w:val="clear"/>
          </w:tcPr>
          <w:p>
            <w:pPr>
              <w:pStyle w:val="TableContents"/>
              <w:spacing w:before="0" w:after="283"/>
              <w:jc w:val="center"/>
              <w:rPr/>
            </w:pPr>
            <w:r>
              <w:rPr/>
              <w:t> </w:t>
            </w:r>
          </w:p>
        </w:tc>
        <w:tc>
          <w:tcPr>
            <w:tcW w:w="505" w:type="dxa"/>
            <w:tcBorders/>
            <w:shd w:fill="auto" w:val="clear"/>
          </w:tcPr>
          <w:p>
            <w:pPr>
              <w:pStyle w:val="TableContents"/>
              <w:spacing w:before="0" w:after="283"/>
              <w:rPr/>
            </w:pPr>
            <w:r>
              <w:rPr/>
              <w:t> </w:t>
            </w:r>
          </w:p>
        </w:tc>
        <w:tc>
          <w:tcPr>
            <w:tcW w:w="8989" w:type="dxa"/>
            <w:tcBorders/>
            <w:shd w:fill="auto" w:val="clear"/>
          </w:tcPr>
          <w:p>
            <w:pPr>
              <w:pStyle w:val="TableContents"/>
              <w:spacing w:before="0" w:after="283"/>
              <w:jc w:val="center"/>
              <w:rPr>
                <w:b/>
                <w:sz w:val="17"/>
              </w:rPr>
            </w:pPr>
            <w:r>
              <w:rPr>
                <w:b/>
                <w:sz w:val="17"/>
              </w:rPr>
              <w:t>OR</w:t>
            </w:r>
          </w:p>
        </w:tc>
      </w:tr>
    </w:tbl>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Commission file number: 000-33385</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33-0945304</w:t>
            </w:r>
          </w:p>
        </w:tc>
      </w:tr>
      <w:tr>
        <w:trPr/>
        <w:tc>
          <w:tcPr>
            <w:tcW w:w="4844" w:type="dxa"/>
            <w:tcBorders/>
            <w:shd w:fill="auto" w:val="clear"/>
          </w:tcPr>
          <w:p>
            <w:pPr>
              <w:pStyle w:val="TableContents"/>
              <w:spacing w:before="0" w:after="283"/>
              <w:jc w:val="center"/>
              <w:rPr/>
            </w:pPr>
            <w:r>
              <w:rP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 xml:space="preserve">(Registrants telephone number, including area code)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an accelerated filer (as defined in Rule 12b-2 of the Exchange Act).</w:t>
        <w:br/>
        <w:t xml:space="preserve">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July 31, 2005 was 14,518,833. </w:t>
      </w:r>
    </w:p>
    <w:p>
      <w:pPr>
        <w:pStyle w:val="TextBody"/>
        <w:spacing w:before="320" w:after="283"/>
        <w:jc w:val="center"/>
        <w:rPr>
          <w:bdr w:val="single" w:sz="2" w:space="1" w:color="000000"/>
        </w:rPr>
      </w:pPr>
      <w:r>
        <w:rPr>
          <w:bdr w:val="single" w:sz="2" w:space="1" w:color="000000"/>
        </w:rPr>
        <w:t>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 under the caption Certain Business Risks in our Annual Report on Form 10-K for the fiscal year ended October 31, 2004,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9"/>
        <w:gridCol w:w="129"/>
        <w:gridCol w:w="7946"/>
        <w:gridCol w:w="129"/>
        <w:gridCol w:w="184"/>
        <w:gridCol w:w="542"/>
        <w:gridCol w:w="129"/>
        <w:gridCol w:w="417"/>
      </w:tblGrid>
      <w:tr>
        <w:trPr/>
        <w:tc>
          <w:tcPr>
            <w:tcW w:w="72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26" w:type="dxa"/>
            <w:gridSpan w:val="2"/>
            <w:tcBorders/>
            <w:shd w:fill="auto" w:val="clear"/>
            <w:vAlign w:val="bottom"/>
          </w:tcPr>
          <w:p>
            <w:pPr>
              <w:pStyle w:val="TableContents"/>
              <w:spacing w:before="0" w:after="283"/>
              <w:jc w:val="center"/>
              <w:rPr/>
            </w:pPr>
            <w:r>
              <w:rPr/>
              <w:t>PAGE</w:t>
            </w:r>
          </w:p>
        </w:tc>
        <w:tc>
          <w:tcPr>
            <w:tcW w:w="129" w:type="dxa"/>
            <w:tcBorders/>
            <w:shd w:fill="auto" w:val="clear"/>
            <w:vAlign w:val="bottom"/>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8804" w:type="dxa"/>
            <w:gridSpan w:val="3"/>
            <w:tcBorders/>
            <w:shd w:fill="auto" w:val="clear"/>
            <w:vAlign w:val="bottom"/>
          </w:tcPr>
          <w:p>
            <w:pPr>
              <w:pStyle w:val="TableContents"/>
              <w:spacing w:before="0" w:after="283"/>
              <w:jc w:val="left"/>
              <w:rPr/>
            </w:pPr>
            <w:hyperlink w:anchor="101">
              <w:r>
                <w:rPr>
                  <w:rStyle w:val="InternetLink"/>
                  <w:b/>
                </w:rPr>
                <w:t>PART I. FINANCIAL INFORMATION</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02">
              <w:r>
                <w:rPr>
                  <w:rStyle w:val="InternetLink"/>
                </w:rPr>
                <w:t>Item 1.</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2">
              <w:r>
                <w:rPr>
                  <w:rStyle w:val="InternetLink"/>
                </w:rPr>
                <w:t>Financial Statements (unaudited):</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3">
              <w:r>
                <w:rPr>
                  <w:rStyle w:val="InternetLink"/>
                </w:rPr>
                <w:t>Consolidated Condensed Balance Sheets  July 31, 2005 and October 31, 2004</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4</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4">
              <w:r>
                <w:rPr>
                  <w:rStyle w:val="InternetLink"/>
                </w:rPr>
                <w:t>Consolidated Condensed Statements of Income  Three Months and Nine Months Ended July 31, 2005 and 2004</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5</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5">
              <w:r>
                <w:rPr>
                  <w:rStyle w:val="InternetLink"/>
                </w:rPr>
                <w:t>Consolidated Condensed Statements of Comprehensive Income  Nine Months Ended July 31, 2005 and 2004</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6</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6">
              <w:r>
                <w:rPr>
                  <w:rStyle w:val="InternetLink"/>
                </w:rPr>
                <w:t>Consolidated Condensed Statements of Cash Flows  Nine Months Ended July 31, 2005 and 2004</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7</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7">
              <w:r>
                <w:rPr>
                  <w:rStyle w:val="InternetLink"/>
                </w:rPr>
                <w:t>Notes to Consolidated Condensed Financial Statements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8</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08">
              <w:r>
                <w:rPr>
                  <w:rStyle w:val="InternetLink"/>
                </w:rPr>
                <w:t>Item 2.</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8">
              <w:r>
                <w:rPr>
                  <w:rStyle w:val="InternetLink"/>
                </w:rPr>
                <w:t>Management's Discussion and Analysis of Financial Condition and Results of Operations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17</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09">
              <w:r>
                <w:rPr>
                  <w:rStyle w:val="InternetLink"/>
                </w:rPr>
                <w:t>Item 3.</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09">
              <w:r>
                <w:rPr>
                  <w:rStyle w:val="InternetLink"/>
                </w:rPr>
                <w:t>Quantitative and Qualitative Disclosures About Market Risk</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24</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10">
              <w:r>
                <w:rPr>
                  <w:rStyle w:val="InternetLink"/>
                </w:rPr>
                <w:t>Item 4.</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10">
              <w:r>
                <w:rPr>
                  <w:rStyle w:val="InternetLink"/>
                </w:rPr>
                <w:t>Controls and Procedures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25</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8804" w:type="dxa"/>
            <w:gridSpan w:val="3"/>
            <w:tcBorders/>
            <w:shd w:fill="auto" w:val="clear"/>
            <w:vAlign w:val="bottom"/>
          </w:tcPr>
          <w:p>
            <w:pPr>
              <w:pStyle w:val="TableContents"/>
              <w:spacing w:before="0" w:after="283"/>
              <w:jc w:val="left"/>
              <w:rPr/>
            </w:pPr>
            <w:hyperlink w:anchor="111">
              <w:r>
                <w:rPr>
                  <w:rStyle w:val="InternetLink"/>
                  <w:b/>
                </w:rPr>
                <w:t>PART II. OTHER INFORMATION</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12">
              <w:r>
                <w:rPr>
                  <w:rStyle w:val="InternetLink"/>
                </w:rPr>
                <w:t>Item 1.</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12">
              <w:r>
                <w:rPr>
                  <w:rStyle w:val="InternetLink"/>
                </w:rPr>
                <w:t>Legal Proceedings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26</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hyperlink w:anchor="113">
              <w:r>
                <w:rPr>
                  <w:rStyle w:val="InternetLink"/>
                </w:rPr>
                <w:t>Item 6.</w:t>
              </w:r>
            </w:hyperlink>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13">
              <w:r>
                <w:rPr>
                  <w:rStyle w:val="InternetLink"/>
                </w:rPr>
                <w:t>Exhibits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27</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 </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729" w:type="dxa"/>
            <w:tcBorders/>
            <w:shd w:fill="auto" w:val="clear"/>
            <w:vAlign w:val="bottom"/>
          </w:tcPr>
          <w:p>
            <w:pPr>
              <w:pStyle w:val="TableContents"/>
              <w:spacing w:before="0" w:after="0"/>
              <w:ind w:left="225" w:right="0" w:hanging="225"/>
              <w:rPr/>
            </w:pPr>
            <w:r>
              <w:rPr/>
              <w:t> </w:t>
            </w:r>
          </w:p>
        </w:tc>
        <w:tc>
          <w:tcPr>
            <w:tcW w:w="129" w:type="dxa"/>
            <w:tcBorders/>
            <w:shd w:fill="auto" w:val="clear"/>
            <w:vAlign w:val="bottom"/>
          </w:tcPr>
          <w:p>
            <w:pPr>
              <w:pStyle w:val="TableContents"/>
              <w:spacing w:before="0" w:after="283"/>
              <w:rPr/>
            </w:pPr>
            <w:r>
              <w:rPr/>
              <w:t> </w:t>
            </w:r>
          </w:p>
        </w:tc>
        <w:tc>
          <w:tcPr>
            <w:tcW w:w="7946" w:type="dxa"/>
            <w:tcBorders/>
            <w:shd w:fill="auto" w:val="clear"/>
          </w:tcPr>
          <w:p>
            <w:pPr>
              <w:pStyle w:val="TableContents"/>
              <w:spacing w:before="0" w:after="283"/>
              <w:jc w:val="left"/>
              <w:rPr/>
            </w:pPr>
            <w:hyperlink w:anchor="114">
              <w:r>
                <w:rPr>
                  <w:rStyle w:val="InternetLink"/>
                </w:rPr>
                <w:t>Signatures</w:t>
              </w:r>
            </w:hyperlink>
          </w:p>
        </w:tc>
        <w:tc>
          <w:tcPr>
            <w:tcW w:w="129" w:type="dxa"/>
            <w:tcBorders/>
            <w:shd w:fill="auto" w:val="clear"/>
            <w:vAlign w:val="bottom"/>
          </w:tcPr>
          <w:p>
            <w:pPr>
              <w:pStyle w:val="TableContents"/>
              <w:spacing w:before="0" w:after="283"/>
              <w:rPr/>
            </w:pPr>
            <w:r>
              <w:rPr/>
              <w:t> </w:t>
            </w:r>
          </w:p>
        </w:tc>
        <w:tc>
          <w:tcPr>
            <w:tcW w:w="184" w:type="dxa"/>
            <w:tcBorders/>
            <w:shd w:fill="auto" w:val="clear"/>
          </w:tcPr>
          <w:p>
            <w:pPr>
              <w:pStyle w:val="TableContents"/>
              <w:spacing w:before="0" w:after="283"/>
              <w:jc w:val="left"/>
              <w:rPr/>
            </w:pPr>
            <w:r>
              <w:rPr/>
              <w:t> </w:t>
            </w:r>
          </w:p>
        </w:tc>
        <w:tc>
          <w:tcPr>
            <w:tcW w:w="542" w:type="dxa"/>
            <w:tcBorders/>
            <w:shd w:fill="auto" w:val="clear"/>
          </w:tcPr>
          <w:p>
            <w:pPr>
              <w:pStyle w:val="TableContents"/>
              <w:spacing w:before="0" w:after="283"/>
              <w:jc w:val="right"/>
              <w:rPr/>
            </w:pPr>
            <w:r>
              <w:rPr/>
              <w:t>28</w:t>
            </w:r>
          </w:p>
        </w:tc>
        <w:tc>
          <w:tcPr>
            <w:tcW w:w="129" w:type="dxa"/>
            <w:tcBorders/>
            <w:shd w:fill="auto" w:val="clear"/>
          </w:tcPr>
          <w:p>
            <w:pPr>
              <w:pStyle w:val="TableContents"/>
              <w:spacing w:before="0" w:after="283"/>
              <w:rPr/>
            </w:pPr>
            <w:r>
              <w:rPr/>
              <w:t> </w:t>
            </w:r>
          </w:p>
        </w:tc>
        <w:tc>
          <w:tcPr>
            <w:tcW w:w="417" w:type="dxa"/>
            <w:tcBorders/>
            <w:shd w:fill="auto" w:val="clear"/>
          </w:tcPr>
          <w:p>
            <w:pPr>
              <w:pStyle w:val="TableContents"/>
              <w:spacing w:before="0" w:after="283"/>
              <w:rPr>
                <w:sz w:val="4"/>
                <w:szCs w:val="4"/>
              </w:rPr>
            </w:pPr>
            <w:r>
              <w:rPr>
                <w:sz w:val="4"/>
                <w:szCs w:val="4"/>
              </w:rPr>
            </w:r>
          </w:p>
        </w:tc>
      </w:tr>
      <w:tr>
        <w:trPr/>
        <w:tc>
          <w:tcPr>
            <w:tcW w:w="10205" w:type="dxa"/>
            <w:gridSpan w:val="8"/>
            <w:tcBorders/>
            <w:shd w:fill="auto" w:val="clear"/>
            <w:vAlign w:val="center"/>
          </w:tcPr>
          <w:p>
            <w:pPr>
              <w:pStyle w:val="TableContents"/>
              <w:spacing w:before="0" w:after="283"/>
              <w:rPr/>
            </w:pPr>
            <w:r>
              <w:rPr/>
              <w:t> </w:t>
            </w:r>
            <w:hyperlink w:anchor="v12377exv10w1.htm">
              <w:r>
                <w:rPr>
                  <w:rStyle w:val="InternetLink"/>
                  <w:sz w:val="20"/>
                </w:rPr>
                <w:t>EX-10.1</w:t>
              </w:r>
            </w:hyperlink>
          </w:p>
        </w:tc>
      </w:tr>
      <w:tr>
        <w:trPr/>
        <w:tc>
          <w:tcPr>
            <w:tcW w:w="10205" w:type="dxa"/>
            <w:gridSpan w:val="8"/>
            <w:tcBorders/>
            <w:shd w:fill="auto" w:val="clear"/>
            <w:vAlign w:val="center"/>
          </w:tcPr>
          <w:p>
            <w:pPr>
              <w:pStyle w:val="TableContents"/>
              <w:spacing w:before="0" w:after="283"/>
              <w:rPr/>
            </w:pPr>
            <w:r>
              <w:rPr/>
              <w:t> </w:t>
            </w:r>
            <w:hyperlink w:anchor="v12377exv31w1.htm">
              <w:r>
                <w:rPr>
                  <w:rStyle w:val="InternetLink"/>
                  <w:sz w:val="20"/>
                </w:rPr>
                <w:t>EX-31.1</w:t>
              </w:r>
            </w:hyperlink>
          </w:p>
        </w:tc>
      </w:tr>
      <w:tr>
        <w:trPr/>
        <w:tc>
          <w:tcPr>
            <w:tcW w:w="10205" w:type="dxa"/>
            <w:gridSpan w:val="8"/>
            <w:tcBorders/>
            <w:shd w:fill="auto" w:val="clear"/>
            <w:vAlign w:val="center"/>
          </w:tcPr>
          <w:p>
            <w:pPr>
              <w:pStyle w:val="TableContents"/>
              <w:spacing w:before="0" w:after="283"/>
              <w:rPr/>
            </w:pPr>
            <w:r>
              <w:rPr/>
              <w:t> </w:t>
            </w:r>
            <w:hyperlink w:anchor="v12377exv31w2.htm">
              <w:r>
                <w:rPr>
                  <w:rStyle w:val="InternetLink"/>
                  <w:sz w:val="20"/>
                </w:rPr>
                <w:t>EX-31.2</w:t>
              </w:r>
            </w:hyperlink>
          </w:p>
        </w:tc>
      </w:tr>
      <w:tr>
        <w:trPr/>
        <w:tc>
          <w:tcPr>
            <w:tcW w:w="10205" w:type="dxa"/>
            <w:gridSpan w:val="8"/>
            <w:tcBorders/>
            <w:shd w:fill="auto" w:val="clear"/>
            <w:vAlign w:val="center"/>
          </w:tcPr>
          <w:p>
            <w:pPr>
              <w:pStyle w:val="TableContents"/>
              <w:spacing w:before="0" w:after="283"/>
              <w:rPr/>
            </w:pPr>
            <w:r>
              <w:rPr/>
              <w:t> </w:t>
            </w:r>
            <w:hyperlink w:anchor="v12377exv32w1.htm">
              <w:r>
                <w:rPr>
                  <w:rStyle w:val="InternetLink"/>
                  <w:sz w:val="20"/>
                </w:rPr>
                <w:t>EX-32.1</w:t>
              </w:r>
            </w:hyperlink>
          </w:p>
        </w:tc>
      </w:tr>
      <w:tr>
        <w:trPr/>
        <w:tc>
          <w:tcPr>
            <w:tcW w:w="10205" w:type="dxa"/>
            <w:gridSpan w:val="8"/>
            <w:tcBorders/>
            <w:shd w:fill="auto" w:val="clear"/>
            <w:vAlign w:val="center"/>
          </w:tcPr>
          <w:p>
            <w:pPr>
              <w:pStyle w:val="TableContents"/>
              <w:spacing w:before="0" w:after="283"/>
              <w:rPr/>
            </w:pPr>
            <w:r>
              <w:rPr/>
              <w:t> </w:t>
            </w:r>
            <w:hyperlink w:anchor="v12377exv32w2.htm">
              <w:r>
                <w:rPr>
                  <w:rStyle w:val="InternetLink"/>
                  <w:sz w:val="20"/>
                </w:rPr>
                <w:t>EX-32.2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share amounts)</w:t>
      </w:r>
    </w:p>
    <w:tbl>
      <w:tblPr>
        <w:tblW w:w="5000" w:type="pct"/>
        <w:jc w:val="center"/>
        <w:tblInd w:w="0" w:type="dxa"/>
        <w:tblCellMar>
          <w:top w:w="0" w:type="dxa"/>
          <w:left w:w="0" w:type="dxa"/>
          <w:bottom w:w="0" w:type="dxa"/>
          <w:right w:w="0" w:type="dxa"/>
        </w:tblCellMar>
      </w:tblPr>
      <w:tblGrid>
        <w:gridCol w:w="6790"/>
        <w:gridCol w:w="431"/>
        <w:gridCol w:w="165"/>
        <w:gridCol w:w="890"/>
        <w:gridCol w:w="137"/>
        <w:gridCol w:w="431"/>
        <w:gridCol w:w="205"/>
        <w:gridCol w:w="1014"/>
        <w:gridCol w:w="142"/>
      </w:tblGrid>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July 31,</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21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b/>
              </w:rPr>
            </w:pPr>
            <w:r>
              <w:rPr>
                <w:b/>
              </w:rPr>
              <w:t>Assets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Cash and cash equivalents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1,186</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4" w:type="dxa"/>
            <w:tcBorders/>
            <w:shd w:fill="CCEEFF" w:val="clear"/>
            <w:vAlign w:val="bottom"/>
          </w:tcPr>
          <w:p>
            <w:pPr>
              <w:pStyle w:val="TableContents"/>
              <w:spacing w:before="0" w:after="283"/>
              <w:jc w:val="right"/>
              <w:rPr/>
            </w:pPr>
            <w:r>
              <w:rPr/>
              <w:t>636</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Accounts receivable, net of allowances of $2,101 (2005) and $1,087 (2004)</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33,695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21,131</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Inventories, net</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15,493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11,375</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Prepaid expenses and other current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4,384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4,598</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Loans to growers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95</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209</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Advances to suppliers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2,401</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2,413</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Income tax receivable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803</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Deferred income taxes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1,775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1,775</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900" w:right="0" w:hanging="225"/>
              <w:rPr/>
            </w:pPr>
            <w:r>
              <w:rPr/>
              <w:t>Total current assets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59,029</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42,940</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Property, plant, and equipment, net</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16,729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17,427</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Building held for sale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1,658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Investment in Limoneira</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40,967</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Goodwill</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3,591</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3,591</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Other assets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1,378</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1,782</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 </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121,694</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4" w:type="dxa"/>
            <w:tcBorders/>
            <w:shd w:fill="CCEEFF" w:val="clear"/>
            <w:vAlign w:val="bottom"/>
          </w:tcPr>
          <w:p>
            <w:pPr>
              <w:pStyle w:val="TableContents"/>
              <w:spacing w:before="0" w:after="283"/>
              <w:jc w:val="right"/>
              <w:rPr/>
            </w:pPr>
            <w:r>
              <w:rPr/>
              <w:t>67,398</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b/>
              </w:rPr>
            </w:pPr>
            <w:r>
              <w:rPr>
                <w:b/>
              </w:rPr>
              <w:t>Liabilities and shareholders equity</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Payable to growers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18,030</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5,789</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Trade accounts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2,383</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2,490</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Accrued expenses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10,723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8,234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Income tax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177</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Short-term borrowings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867</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2,000</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Dividend payable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4,052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Current portion of long-term obligations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1,316</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22</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900" w:right="0" w:hanging="225"/>
              <w:rPr/>
            </w:pPr>
            <w:r>
              <w:rPr/>
              <w:t>Total current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33,496</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22,587</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Long-term liabilities: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Long-term obligations, less current portion</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11,719</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34</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Deferred income taxes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7,759</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840</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900" w:right="0" w:hanging="225"/>
              <w:rPr/>
            </w:pPr>
            <w:r>
              <w:rPr/>
              <w:t>Total long-term liabilities</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19,478</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874</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 xml:space="preserve">Commitments and contingencies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225" w:right="0" w:hanging="225"/>
              <w:rPr/>
            </w:pPr>
            <w:r>
              <w:rPr/>
              <w:t xml:space="preserve">Shareholders equity: </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Common stock, $0.001 par value; 100,000 shares authorized; 14,519 (2005) and 13,507 (2004) issued and outstanding</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15</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14</w:t>
            </w:r>
          </w:p>
        </w:tc>
        <w:tc>
          <w:tcPr>
            <w:tcW w:w="142" w:type="dxa"/>
            <w:tcBorders/>
            <w:shd w:fill="auto" w:val="clear"/>
            <w:vAlign w:val="bottom"/>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675" w:right="0" w:hanging="225"/>
              <w:rPr/>
            </w:pPr>
            <w:r>
              <w:rPr/>
              <w:t>Additional paid-in capital</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38,942</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28,822</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Notes receivable from shareholders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(2,658</w:t>
            </w:r>
          </w:p>
        </w:tc>
        <w:tc>
          <w:tcPr>
            <w:tcW w:w="137" w:type="dxa"/>
            <w:tcBorders/>
            <w:shd w:fill="auto" w:val="clear"/>
            <w:vAlign w:val="bottom"/>
          </w:tcPr>
          <w:p>
            <w:pPr>
              <w:pStyle w:val="TableContents"/>
              <w:spacing w:before="0" w:after="283"/>
              <w:rPr/>
            </w:pPr>
            <w:r>
              <w:rPr/>
              <w:t>)</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 </w:t>
            </w:r>
          </w:p>
        </w:tc>
        <w:tc>
          <w:tcPr>
            <w:tcW w:w="1014" w:type="dxa"/>
            <w:tcBorders/>
            <w:shd w:fill="auto" w:val="clear"/>
            <w:vAlign w:val="bottom"/>
          </w:tcPr>
          <w:p>
            <w:pPr>
              <w:pStyle w:val="TableContents"/>
              <w:spacing w:before="0" w:after="283"/>
              <w:jc w:val="right"/>
              <w:rPr/>
            </w:pPr>
            <w:r>
              <w:rPr/>
              <w:t>(2,883</w:t>
            </w:r>
          </w:p>
        </w:tc>
        <w:tc>
          <w:tcPr>
            <w:tcW w:w="142" w:type="dxa"/>
            <w:tcBorders/>
            <w:shd w:fill="auto" w:val="clear"/>
            <w:vAlign w:val="bottom"/>
          </w:tcPr>
          <w:p>
            <w:pPr>
              <w:pStyle w:val="TableContents"/>
              <w:spacing w:before="0" w:after="283"/>
              <w:rPr/>
            </w:pPr>
            <w:r>
              <w:rPr/>
              <w:t>)</w:t>
            </w:r>
          </w:p>
        </w:tc>
      </w:tr>
      <w:tr>
        <w:trPr/>
        <w:tc>
          <w:tcPr>
            <w:tcW w:w="6790" w:type="dxa"/>
            <w:tcBorders/>
            <w:shd w:fill="CCEEFF" w:val="clear"/>
            <w:vAlign w:val="bottom"/>
          </w:tcPr>
          <w:p>
            <w:pPr>
              <w:pStyle w:val="TableContents"/>
              <w:spacing w:before="0" w:after="0"/>
              <w:ind w:left="675" w:right="0" w:hanging="225"/>
              <w:rPr/>
            </w:pPr>
            <w:r>
              <w:rPr/>
              <w:t>Accumulated other comprehensive income</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10,598</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bottom"/>
          </w:tcPr>
          <w:p>
            <w:pPr>
              <w:pStyle w:val="TableContents"/>
              <w:spacing w:before="0" w:after="0"/>
              <w:ind w:left="675" w:right="0" w:hanging="225"/>
              <w:rPr/>
            </w:pPr>
            <w:r>
              <w:rPr/>
              <w:t>Retained earnings</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21,823</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17,984</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CCEEFF" w:val="clear"/>
            <w:vAlign w:val="bottom"/>
          </w:tcPr>
          <w:p>
            <w:pPr>
              <w:pStyle w:val="TableContents"/>
              <w:spacing w:before="0" w:after="0"/>
              <w:ind w:left="900" w:right="0" w:hanging="225"/>
              <w:rPr/>
            </w:pPr>
            <w:r>
              <w:rPr/>
              <w:t>Total shareholders equity</w:t>
            </w:r>
          </w:p>
        </w:tc>
        <w:tc>
          <w:tcPr>
            <w:tcW w:w="431"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68,720</w:t>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43,937</w:t>
            </w:r>
          </w:p>
        </w:tc>
        <w:tc>
          <w:tcPr>
            <w:tcW w:w="142" w:type="dxa"/>
            <w:tcBorders/>
            <w:shd w:fill="CCEEFF"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790" w:type="dxa"/>
            <w:tcBorders/>
            <w:shd w:fill="auto" w:val="clear"/>
            <w:vAlign w:val="bottom"/>
          </w:tcPr>
          <w:p>
            <w:pPr>
              <w:pStyle w:val="TableContents"/>
              <w:spacing w:before="0" w:after="0"/>
              <w:ind w:left="225" w:right="0" w:hanging="225"/>
              <w:rPr/>
            </w:pPr>
            <w:r>
              <w:rPr/>
              <w:t> </w:t>
            </w:r>
          </w:p>
        </w:tc>
        <w:tc>
          <w:tcPr>
            <w:tcW w:w="43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121,694</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4" w:type="dxa"/>
            <w:tcBorders/>
            <w:shd w:fill="auto" w:val="clear"/>
            <w:vAlign w:val="bottom"/>
          </w:tcPr>
          <w:p>
            <w:pPr>
              <w:pStyle w:val="TableContents"/>
              <w:spacing w:before="0" w:after="283"/>
              <w:jc w:val="right"/>
              <w:rPr/>
            </w:pPr>
            <w:r>
              <w:rPr/>
              <w:t>67,398</w:t>
            </w:r>
          </w:p>
        </w:tc>
        <w:tc>
          <w:tcPr>
            <w:tcW w:w="142" w:type="dxa"/>
            <w:tcBorders/>
            <w:shd w:fill="auto" w:val="clear"/>
            <w:vAlign w:val="bottom"/>
          </w:tcPr>
          <w:p>
            <w:pPr>
              <w:pStyle w:val="TableContents"/>
              <w:spacing w:before="0" w:after="283"/>
              <w:rPr/>
            </w:pPr>
            <w:r>
              <w:rPr/>
              <w:t> </w:t>
            </w:r>
          </w:p>
        </w:tc>
      </w:tr>
      <w:tr>
        <w:trPr/>
        <w:tc>
          <w:tcPr>
            <w:tcW w:w="6790" w:type="dxa"/>
            <w:tcBorders/>
            <w:shd w:fill="auto" w:val="clear"/>
            <w:vAlign w:val="center"/>
          </w:tcPr>
          <w:p>
            <w:pPr>
              <w:pStyle w:val="TableContents"/>
              <w:spacing w:before="0" w:after="0"/>
              <w:ind w:left="225" w:right="0" w:hanging="225"/>
              <w:rPr/>
            </w:pPr>
            <w:r>
              <w:rPr/>
              <w:t> </w:t>
            </w:r>
          </w:p>
        </w:tc>
        <w:tc>
          <w:tcPr>
            <w:tcW w:w="431"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31" w:type="dxa"/>
            <w:tcBorders/>
            <w:shd w:fill="auto" w:val="clear"/>
            <w:vAlign w:val="center"/>
          </w:tcPr>
          <w:p>
            <w:pPr>
              <w:pStyle w:val="TableContents"/>
              <w:spacing w:before="0" w:after="283"/>
              <w:rPr/>
            </w:pPr>
            <w:r>
              <w:rPr/>
              <w:t> </w:t>
            </w:r>
          </w:p>
        </w:tc>
        <w:tc>
          <w:tcPr>
            <w:tcW w:w="12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INCOME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4278"/>
        <w:gridCol w:w="383"/>
        <w:gridCol w:w="169"/>
        <w:gridCol w:w="833"/>
        <w:gridCol w:w="112"/>
        <w:gridCol w:w="390"/>
        <w:gridCol w:w="169"/>
        <w:gridCol w:w="834"/>
        <w:gridCol w:w="105"/>
        <w:gridCol w:w="383"/>
        <w:gridCol w:w="152"/>
        <w:gridCol w:w="822"/>
        <w:gridCol w:w="105"/>
        <w:gridCol w:w="383"/>
        <w:gridCol w:w="152"/>
        <w:gridCol w:w="821"/>
        <w:gridCol w:w="114"/>
      </w:tblGrid>
      <w:tr>
        <w:trPr/>
        <w:tc>
          <w:tcPr>
            <w:tcW w:w="427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507" w:type="dxa"/>
            <w:gridSpan w:val="6"/>
            <w:tcBorders/>
            <w:shd w:fill="auto" w:val="clear"/>
            <w:vAlign w:val="bottom"/>
          </w:tcPr>
          <w:p>
            <w:pPr>
              <w:pStyle w:val="TableContents"/>
              <w:spacing w:before="0" w:after="283"/>
              <w:jc w:val="center"/>
              <w:rPr>
                <w:b/>
              </w:rPr>
            </w:pPr>
            <w:r>
              <w:rPr>
                <w:b/>
              </w:rPr>
              <w:t>Three months ended</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435" w:type="dxa"/>
            <w:gridSpan w:val="6"/>
            <w:tcBorders/>
            <w:shd w:fill="auto" w:val="clear"/>
            <w:vAlign w:val="bottom"/>
          </w:tcPr>
          <w:p>
            <w:pPr>
              <w:pStyle w:val="TableContents"/>
              <w:spacing w:before="0" w:after="283"/>
              <w:jc w:val="center"/>
              <w:rPr>
                <w:b/>
              </w:rPr>
            </w:pPr>
            <w:r>
              <w:rPr>
                <w:b/>
              </w:rPr>
              <w:t>Nine months ended</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50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43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4" w:type="dxa"/>
            <w:tcBorders/>
            <w:shd w:fill="auto" w:val="clear"/>
            <w:vAlign w:val="bottom"/>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Net sales</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88,699</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83,318</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196,576</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208,782</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0"/>
              <w:ind w:left="225" w:right="0" w:hanging="225"/>
              <w:rPr/>
            </w:pPr>
            <w:r>
              <w:rPr/>
              <w:t>Cost of sales</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79,505</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74,762</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179,075</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189,389</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Gross margin</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9,194</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8,556</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17,501</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19,393</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0"/>
              <w:ind w:left="225" w:right="0" w:hanging="225"/>
              <w:rPr/>
            </w:pPr>
            <w:r>
              <w:rPr/>
              <w:t>Selling, general and administrative</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4,825</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3,848</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13,645</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11,504</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Operating income</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4,369</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4,708</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3,856</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7,889</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0"/>
              <w:ind w:left="225" w:right="0" w:hanging="225"/>
              <w:rPr/>
            </w:pPr>
            <w:r>
              <w:rPr/>
              <w:t>Other income, net</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153</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91</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2,144</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311</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Income before provision for income taxes</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4,522</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4,799</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6,000</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8,200</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0"/>
              <w:ind w:left="225" w:right="0" w:hanging="225"/>
              <w:rPr/>
            </w:pPr>
            <w:r>
              <w:rPr/>
              <w:t>Provision for income taxes</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1,603</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1,739</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2,161</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3,100</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Net income</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2,919</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3,060</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3,839</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5,100</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auto" w:val="clear"/>
            <w:vAlign w:val="bottom"/>
          </w:tcPr>
          <w:p>
            <w:pPr>
              <w:pStyle w:val="TableContents"/>
              <w:spacing w:before="0" w:after="0"/>
              <w:ind w:left="225" w:right="0" w:hanging="225"/>
              <w:rPr/>
            </w:pPr>
            <w:r>
              <w:rPr/>
              <w:t>Net income per share:</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450" w:right="0" w:hanging="225"/>
              <w:rPr/>
            </w:pPr>
            <w:r>
              <w:rPr/>
              <w:t>Basic</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0.21</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0.23</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0.28</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0.38</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auto" w:val="clear"/>
            <w:vAlign w:val="bottom"/>
          </w:tcPr>
          <w:p>
            <w:pPr>
              <w:pStyle w:val="TableContents"/>
              <w:spacing w:before="0" w:after="0"/>
              <w:ind w:left="450" w:right="0" w:hanging="225"/>
              <w:rPr/>
            </w:pPr>
            <w:r>
              <w:rPr/>
              <w:t>Diluted</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0.21</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4" w:type="dxa"/>
            <w:tcBorders/>
            <w:shd w:fill="auto" w:val="clear"/>
            <w:vAlign w:val="bottom"/>
          </w:tcPr>
          <w:p>
            <w:pPr>
              <w:pStyle w:val="TableContents"/>
              <w:spacing w:before="0" w:after="283"/>
              <w:jc w:val="right"/>
              <w:rPr/>
            </w:pPr>
            <w:r>
              <w:rPr/>
              <w:t>0.23</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0.28</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0.38</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225" w:right="0" w:hanging="225"/>
              <w:rPr/>
            </w:pPr>
            <w:r>
              <w:rPr/>
              <w:t>Number of shares used in per share computation:</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bottom"/>
          </w:tcPr>
          <w:p>
            <w:pPr>
              <w:pStyle w:val="TableContents"/>
              <w:spacing w:before="0" w:after="0"/>
              <w:ind w:left="450" w:right="0" w:hanging="225"/>
              <w:rPr/>
            </w:pPr>
            <w:r>
              <w:rPr/>
              <w:t>Basic</w:t>
            </w:r>
          </w:p>
        </w:tc>
        <w:tc>
          <w:tcPr>
            <w:tcW w:w="38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14,171</w:t>
            </w:r>
          </w:p>
        </w:tc>
        <w:tc>
          <w:tcPr>
            <w:tcW w:w="112"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13,507</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13,729</w:t>
            </w:r>
          </w:p>
        </w:tc>
        <w:tc>
          <w:tcPr>
            <w:tcW w:w="10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13,494</w:t>
            </w:r>
          </w:p>
        </w:tc>
        <w:tc>
          <w:tcPr>
            <w:tcW w:w="114" w:type="dxa"/>
            <w:tcBorders/>
            <w:shd w:fill="auto"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278" w:type="dxa"/>
            <w:tcBorders/>
            <w:shd w:fill="CCEEFF" w:val="clear"/>
            <w:vAlign w:val="bottom"/>
          </w:tcPr>
          <w:p>
            <w:pPr>
              <w:pStyle w:val="TableContents"/>
              <w:spacing w:before="0" w:after="0"/>
              <w:ind w:left="450" w:right="0" w:hanging="225"/>
              <w:rPr/>
            </w:pPr>
            <w:r>
              <w:rPr/>
              <w:t>Diluted</w:t>
            </w:r>
          </w:p>
        </w:tc>
        <w:tc>
          <w:tcPr>
            <w:tcW w:w="38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14,237</w:t>
            </w:r>
          </w:p>
        </w:tc>
        <w:tc>
          <w:tcPr>
            <w:tcW w:w="112"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13,594</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13,796</w:t>
            </w:r>
          </w:p>
        </w:tc>
        <w:tc>
          <w:tcPr>
            <w:tcW w:w="10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13,579</w:t>
            </w:r>
          </w:p>
        </w:tc>
        <w:tc>
          <w:tcPr>
            <w:tcW w:w="114" w:type="dxa"/>
            <w:tcBorders/>
            <w:shd w:fill="CCEEFF" w:val="clear"/>
            <w:vAlign w:val="bottom"/>
          </w:tcPr>
          <w:p>
            <w:pPr>
              <w:pStyle w:val="TableContents"/>
              <w:spacing w:before="0" w:after="283"/>
              <w:rPr/>
            </w:pPr>
            <w:r>
              <w:rPr/>
              <w:t> </w:t>
            </w:r>
          </w:p>
        </w:tc>
      </w:tr>
      <w:tr>
        <w:trPr/>
        <w:tc>
          <w:tcPr>
            <w:tcW w:w="4278"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10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7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center"/>
        <w:rPr/>
      </w:pPr>
      <w:r>
        <w:rPr/>
        <w:t>     </w:t>
      </w: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COMPREHENSIVE INCOME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4263"/>
        <w:gridCol w:w="369"/>
        <w:gridCol w:w="178"/>
        <w:gridCol w:w="877"/>
        <w:gridCol w:w="142"/>
        <w:gridCol w:w="379"/>
        <w:gridCol w:w="178"/>
        <w:gridCol w:w="782"/>
        <w:gridCol w:w="104"/>
        <w:gridCol w:w="368"/>
        <w:gridCol w:w="170"/>
        <w:gridCol w:w="842"/>
        <w:gridCol w:w="137"/>
        <w:gridCol w:w="376"/>
        <w:gridCol w:w="170"/>
        <w:gridCol w:w="754"/>
        <w:gridCol w:w="116"/>
      </w:tblGrid>
      <w:tr>
        <w:trPr/>
        <w:tc>
          <w:tcPr>
            <w:tcW w:w="426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26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536" w:type="dxa"/>
            <w:gridSpan w:val="6"/>
            <w:tcBorders/>
            <w:shd w:fill="auto" w:val="clear"/>
            <w:vAlign w:val="bottom"/>
          </w:tcPr>
          <w:p>
            <w:pPr>
              <w:pStyle w:val="TableContents"/>
              <w:spacing w:before="0" w:after="283"/>
              <w:jc w:val="center"/>
              <w:rPr>
                <w:b/>
              </w:rPr>
            </w:pPr>
            <w:r>
              <w:rPr>
                <w:b/>
              </w:rPr>
              <w:t>Three months ended</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49" w:type="dxa"/>
            <w:gridSpan w:val="6"/>
            <w:tcBorders/>
            <w:shd w:fill="auto" w:val="clear"/>
            <w:vAlign w:val="bottom"/>
          </w:tcPr>
          <w:p>
            <w:pPr>
              <w:pStyle w:val="TableContents"/>
              <w:spacing w:before="0" w:after="283"/>
              <w:jc w:val="center"/>
              <w:rPr>
                <w:b/>
              </w:rPr>
            </w:pPr>
            <w:r>
              <w:rPr>
                <w:b/>
              </w:rPr>
              <w:t>Nine months ended</w:t>
            </w:r>
          </w:p>
        </w:tc>
        <w:tc>
          <w:tcPr>
            <w:tcW w:w="116" w:type="dxa"/>
            <w:tcBorders/>
            <w:shd w:fill="auto" w:val="clear"/>
            <w:vAlign w:val="bottom"/>
          </w:tcPr>
          <w:p>
            <w:pPr>
              <w:pStyle w:val="TableContents"/>
              <w:spacing w:before="0" w:after="283"/>
              <w:rPr/>
            </w:pPr>
            <w:r>
              <w:rPr/>
              <w:t> </w:t>
            </w:r>
          </w:p>
        </w:tc>
      </w:tr>
      <w:tr>
        <w:trPr/>
        <w:tc>
          <w:tcPr>
            <w:tcW w:w="426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53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244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16" w:type="dxa"/>
            <w:tcBorders/>
            <w:shd w:fill="auto" w:val="clear"/>
            <w:vAlign w:val="bottom"/>
          </w:tcPr>
          <w:p>
            <w:pPr>
              <w:pStyle w:val="TableContents"/>
              <w:spacing w:before="0" w:after="283"/>
              <w:rPr/>
            </w:pPr>
            <w:r>
              <w:rPr/>
              <w:t> </w:t>
            </w:r>
          </w:p>
        </w:tc>
      </w:tr>
      <w:tr>
        <w:trPr/>
        <w:tc>
          <w:tcPr>
            <w:tcW w:w="4263"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9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0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6" w:type="dxa"/>
            <w:tcBorders/>
            <w:shd w:fill="auto" w:val="clear"/>
            <w:vAlign w:val="bottom"/>
          </w:tcPr>
          <w:p>
            <w:pPr>
              <w:pStyle w:val="TableContents"/>
              <w:spacing w:before="0" w:after="283"/>
              <w:rPr/>
            </w:pPr>
            <w:r>
              <w:rPr/>
              <w:t> </w:t>
            </w:r>
          </w:p>
        </w:tc>
      </w:tr>
      <w:tr>
        <w:trPr/>
        <w:tc>
          <w:tcPr>
            <w:tcW w:w="4263" w:type="dxa"/>
            <w:tcBorders/>
            <w:shd w:fill="CCEEFF" w:val="clear"/>
            <w:vAlign w:val="bottom"/>
          </w:tcPr>
          <w:p>
            <w:pPr>
              <w:pStyle w:val="TableContents"/>
              <w:spacing w:before="0" w:after="0"/>
              <w:ind w:left="225" w:right="0" w:hanging="225"/>
              <w:rPr/>
            </w:pPr>
            <w:r>
              <w:rPr/>
              <w:t>Net income</w:t>
            </w:r>
          </w:p>
        </w:tc>
        <w:tc>
          <w:tcPr>
            <w:tcW w:w="36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2,919</w:t>
            </w:r>
          </w:p>
        </w:tc>
        <w:tc>
          <w:tcPr>
            <w:tcW w:w="14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82" w:type="dxa"/>
            <w:tcBorders/>
            <w:shd w:fill="CCEEFF" w:val="clear"/>
            <w:vAlign w:val="bottom"/>
          </w:tcPr>
          <w:p>
            <w:pPr>
              <w:pStyle w:val="TableContents"/>
              <w:spacing w:before="0" w:after="283"/>
              <w:jc w:val="right"/>
              <w:rPr/>
            </w:pPr>
            <w:r>
              <w:rPr/>
              <w:t>3,060</w:t>
            </w:r>
          </w:p>
        </w:tc>
        <w:tc>
          <w:tcPr>
            <w:tcW w:w="10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3,839</w:t>
            </w:r>
          </w:p>
        </w:tc>
        <w:tc>
          <w:tcPr>
            <w:tcW w:w="13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3,839</w:t>
            </w:r>
          </w:p>
        </w:tc>
        <w:tc>
          <w:tcPr>
            <w:tcW w:w="116" w:type="dxa"/>
            <w:tcBorders/>
            <w:shd w:fill="CCEEFF" w:val="clear"/>
            <w:vAlign w:val="bottom"/>
          </w:tcPr>
          <w:p>
            <w:pPr>
              <w:pStyle w:val="TableContents"/>
              <w:spacing w:before="0" w:after="283"/>
              <w:rPr/>
            </w:pPr>
            <w:r>
              <w:rPr/>
              <w:t> </w:t>
            </w:r>
          </w:p>
        </w:tc>
      </w:tr>
      <w:tr>
        <w:trPr/>
        <w:tc>
          <w:tcPr>
            <w:tcW w:w="426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4263" w:type="dxa"/>
            <w:tcBorders/>
            <w:shd w:fill="auto" w:val="clear"/>
            <w:vAlign w:val="bottom"/>
          </w:tcPr>
          <w:p>
            <w:pPr>
              <w:pStyle w:val="TableContents"/>
              <w:spacing w:before="0" w:after="0"/>
              <w:ind w:left="225" w:right="0" w:hanging="225"/>
              <w:rPr/>
            </w:pPr>
            <w:r>
              <w:rPr/>
              <w:t>Other comprehensive income, before tax:</w:t>
            </w:r>
          </w:p>
        </w:tc>
        <w:tc>
          <w:tcPr>
            <w:tcW w:w="36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r>
      <w:tr>
        <w:trPr/>
        <w:tc>
          <w:tcPr>
            <w:tcW w:w="4263" w:type="dxa"/>
            <w:tcBorders/>
            <w:shd w:fill="CCEEFF" w:val="clear"/>
            <w:vAlign w:val="bottom"/>
          </w:tcPr>
          <w:p>
            <w:pPr>
              <w:pStyle w:val="TableContents"/>
              <w:spacing w:before="0" w:after="0"/>
              <w:ind w:left="675" w:right="0" w:hanging="225"/>
              <w:rPr/>
            </w:pPr>
            <w:r>
              <w:rPr/>
              <w:t>Unrealized holding gains arising during period</w:t>
            </w:r>
          </w:p>
        </w:tc>
        <w:tc>
          <w:tcPr>
            <w:tcW w:w="36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17,517</w:t>
            </w:r>
          </w:p>
        </w:tc>
        <w:tc>
          <w:tcPr>
            <w:tcW w:w="14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17,517</w:t>
            </w:r>
          </w:p>
        </w:tc>
        <w:tc>
          <w:tcPr>
            <w:tcW w:w="13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r>
      <w:tr>
        <w:trPr/>
        <w:tc>
          <w:tcPr>
            <w:tcW w:w="4263" w:type="dxa"/>
            <w:tcBorders/>
            <w:shd w:fill="auto" w:val="clear"/>
            <w:vAlign w:val="bottom"/>
          </w:tcPr>
          <w:p>
            <w:pPr>
              <w:pStyle w:val="TableContents"/>
              <w:spacing w:before="0" w:after="0"/>
              <w:ind w:left="675" w:right="0" w:hanging="225"/>
              <w:rPr/>
            </w:pPr>
            <w:r>
              <w:rPr/>
              <w:t>Income tax expense related to items of other comprehensive income</w:t>
            </w:r>
          </w:p>
        </w:tc>
        <w:tc>
          <w:tcPr>
            <w:tcW w:w="36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(6,919</w:t>
            </w:r>
          </w:p>
        </w:tc>
        <w:tc>
          <w:tcPr>
            <w:tcW w:w="142" w:type="dxa"/>
            <w:tcBorders/>
            <w:shd w:fill="auto" w:val="clear"/>
            <w:vAlign w:val="bottom"/>
          </w:tcPr>
          <w:p>
            <w:pPr>
              <w:pStyle w:val="TableContents"/>
              <w:spacing w:before="0" w:after="283"/>
              <w:rPr/>
            </w:pPr>
            <w:r>
              <w:rPr/>
              <w:t>)</w:t>
            </w:r>
          </w:p>
        </w:tc>
        <w:tc>
          <w:tcPr>
            <w:tcW w:w="3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(6,919</w:t>
            </w:r>
          </w:p>
        </w:tc>
        <w:tc>
          <w:tcPr>
            <w:tcW w:w="137" w:type="dxa"/>
            <w:tcBorders/>
            <w:shd w:fill="auto" w:val="clear"/>
            <w:vAlign w:val="bottom"/>
          </w:tcPr>
          <w:p>
            <w:pPr>
              <w:pStyle w:val="TableContents"/>
              <w:spacing w:before="0" w:after="283"/>
              <w:rPr/>
            </w:pPr>
            <w:r>
              <w:rPr/>
              <w:t>)</w:t>
            </w:r>
          </w:p>
        </w:tc>
        <w:tc>
          <w:tcPr>
            <w:tcW w:w="37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r>
      <w:tr>
        <w:trPr/>
        <w:tc>
          <w:tcPr>
            <w:tcW w:w="426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4263" w:type="dxa"/>
            <w:tcBorders/>
            <w:shd w:fill="CCEEFF" w:val="clear"/>
            <w:vAlign w:val="bottom"/>
          </w:tcPr>
          <w:p>
            <w:pPr>
              <w:pStyle w:val="TableContents"/>
              <w:spacing w:before="0" w:after="0"/>
              <w:ind w:left="225" w:right="0" w:hanging="225"/>
              <w:rPr/>
            </w:pPr>
            <w:r>
              <w:rPr/>
              <w:t>Other comprehensive income, net of tax</w:t>
            </w:r>
          </w:p>
        </w:tc>
        <w:tc>
          <w:tcPr>
            <w:tcW w:w="36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10,598</w:t>
            </w:r>
          </w:p>
        </w:tc>
        <w:tc>
          <w:tcPr>
            <w:tcW w:w="14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w:t>
            </w:r>
          </w:p>
        </w:tc>
        <w:tc>
          <w:tcPr>
            <w:tcW w:w="104" w:type="dxa"/>
            <w:tcBorders/>
            <w:shd w:fill="CCEEFF" w:val="clear"/>
            <w:vAlign w:val="bottom"/>
          </w:tcPr>
          <w:p>
            <w:pPr>
              <w:pStyle w:val="TableContents"/>
              <w:spacing w:before="0" w:after="283"/>
              <w:rPr/>
            </w:pPr>
            <w:r>
              <w:rPr/>
              <w:t> </w:t>
            </w:r>
          </w:p>
        </w:tc>
        <w:tc>
          <w:tcPr>
            <w:tcW w:w="368"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10,598</w:t>
            </w:r>
          </w:p>
        </w:tc>
        <w:tc>
          <w:tcPr>
            <w:tcW w:w="13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r>
      <w:tr>
        <w:trPr/>
        <w:tc>
          <w:tcPr>
            <w:tcW w:w="426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9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r>
        <w:trPr/>
        <w:tc>
          <w:tcPr>
            <w:tcW w:w="4263" w:type="dxa"/>
            <w:tcBorders/>
            <w:shd w:fill="auto" w:val="clear"/>
            <w:vAlign w:val="bottom"/>
          </w:tcPr>
          <w:p>
            <w:pPr>
              <w:pStyle w:val="TableContents"/>
              <w:spacing w:before="0" w:after="0"/>
              <w:ind w:left="225" w:right="0" w:hanging="225"/>
              <w:rPr/>
            </w:pPr>
            <w:r>
              <w:rPr/>
              <w:t>Comprehensive income</w:t>
            </w:r>
          </w:p>
        </w:tc>
        <w:tc>
          <w:tcPr>
            <w:tcW w:w="36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13,517</w:t>
            </w:r>
          </w:p>
        </w:tc>
        <w:tc>
          <w:tcPr>
            <w:tcW w:w="14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82" w:type="dxa"/>
            <w:tcBorders/>
            <w:shd w:fill="auto" w:val="clear"/>
            <w:vAlign w:val="bottom"/>
          </w:tcPr>
          <w:p>
            <w:pPr>
              <w:pStyle w:val="TableContents"/>
              <w:spacing w:before="0" w:after="283"/>
              <w:jc w:val="right"/>
              <w:rPr/>
            </w:pPr>
            <w:r>
              <w:rPr/>
              <w:t>3,060</w:t>
            </w:r>
          </w:p>
        </w:tc>
        <w:tc>
          <w:tcPr>
            <w:tcW w:w="104"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14,437</w:t>
            </w:r>
          </w:p>
        </w:tc>
        <w:tc>
          <w:tcPr>
            <w:tcW w:w="13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54" w:type="dxa"/>
            <w:tcBorders/>
            <w:shd w:fill="auto" w:val="clear"/>
            <w:vAlign w:val="bottom"/>
          </w:tcPr>
          <w:p>
            <w:pPr>
              <w:pStyle w:val="TableContents"/>
              <w:spacing w:before="0" w:after="283"/>
              <w:jc w:val="right"/>
              <w:rPr/>
            </w:pPr>
            <w:r>
              <w:rPr/>
              <w:t>3,839</w:t>
            </w:r>
          </w:p>
        </w:tc>
        <w:tc>
          <w:tcPr>
            <w:tcW w:w="116" w:type="dxa"/>
            <w:tcBorders/>
            <w:shd w:fill="auto" w:val="clear"/>
            <w:vAlign w:val="bottom"/>
          </w:tcPr>
          <w:p>
            <w:pPr>
              <w:pStyle w:val="TableContents"/>
              <w:spacing w:before="0" w:after="283"/>
              <w:rPr/>
            </w:pPr>
            <w:r>
              <w:rPr/>
              <w:t> </w:t>
            </w:r>
          </w:p>
        </w:tc>
      </w:tr>
      <w:tr>
        <w:trPr/>
        <w:tc>
          <w:tcPr>
            <w:tcW w:w="4263" w:type="dxa"/>
            <w:tcBorders/>
            <w:shd w:fill="auto" w:val="clear"/>
            <w:vAlign w:val="center"/>
          </w:tcPr>
          <w:p>
            <w:pPr>
              <w:pStyle w:val="TableContents"/>
              <w:spacing w:before="0" w:after="0"/>
              <w:ind w:left="225" w:right="0" w:hanging="225"/>
              <w:rPr/>
            </w:pPr>
            <w:r>
              <w:rPr/>
              <w:t> </w:t>
            </w:r>
          </w:p>
        </w:tc>
        <w:tc>
          <w:tcPr>
            <w:tcW w:w="36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c>
          <w:tcPr>
            <w:tcW w:w="379" w:type="dxa"/>
            <w:tcBorders/>
            <w:shd w:fill="auto" w:val="clear"/>
            <w:vAlign w:val="center"/>
          </w:tcPr>
          <w:p>
            <w:pPr>
              <w:pStyle w:val="TableContents"/>
              <w:spacing w:before="0" w:after="283"/>
              <w:rPr/>
            </w:pPr>
            <w:r>
              <w:rPr/>
              <w:t> </w:t>
            </w:r>
          </w:p>
        </w:tc>
        <w:tc>
          <w:tcPr>
            <w:tcW w:w="9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68"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CONSOLIDATED CONDENSED STATEMENTS OF CASH FLOWS (UNAUDITED)</w:t>
      </w:r>
    </w:p>
    <w:tbl>
      <w:tblPr>
        <w:tblW w:w="5000" w:type="pct"/>
        <w:jc w:val="center"/>
        <w:tblInd w:w="0" w:type="dxa"/>
        <w:tblCellMar>
          <w:top w:w="0" w:type="dxa"/>
          <w:left w:w="0" w:type="dxa"/>
          <w:bottom w:w="0" w:type="dxa"/>
          <w:right w:w="0" w:type="dxa"/>
        </w:tblCellMar>
      </w:tblPr>
      <w:tblGrid>
        <w:gridCol w:w="6393"/>
        <w:gridCol w:w="408"/>
        <w:gridCol w:w="212"/>
        <w:gridCol w:w="1120"/>
        <w:gridCol w:w="167"/>
        <w:gridCol w:w="426"/>
        <w:gridCol w:w="212"/>
        <w:gridCol w:w="1123"/>
        <w:gridCol w:w="144"/>
      </w:tblGrid>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326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33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3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Cash Flows from Operating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Net income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3,839</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5,100</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Adjustments to reconcile net income to net cash provided by operating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Depreciation and amortization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2,223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1,792</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Gain on sale of building</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(1,725</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Stock based compensation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38</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33</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675" w:right="0" w:hanging="225"/>
              <w:rPr/>
            </w:pPr>
            <w:r>
              <w:rPr/>
              <w:t>Provision for losses on accounts receivable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400</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25</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Effect on cash of changes in operating assets and liabilities: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Accounts receivable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(12,964</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(11,214</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900" w:right="0" w:hanging="225"/>
              <w:rPr/>
            </w:pPr>
            <w:r>
              <w:rPr/>
              <w:t>Inventories, net</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(4,118</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(5,738</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900" w:right="0" w:hanging="225"/>
              <w:rPr/>
            </w:pPr>
            <w:r>
              <w:rPr/>
              <w:t>Prepaid expenses and other assets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529</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992</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900" w:right="0" w:hanging="225"/>
              <w:rPr/>
            </w:pPr>
            <w:r>
              <w:rPr/>
              <w:t>Loans to growers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114</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288</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Advances to suppliers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12</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(1,772</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bottom"/>
          </w:tcPr>
          <w:p>
            <w:pPr>
              <w:pStyle w:val="TableContents"/>
              <w:spacing w:before="0" w:after="0"/>
              <w:ind w:left="900" w:right="0" w:hanging="225"/>
              <w:rPr/>
            </w:pPr>
            <w:r>
              <w:rPr/>
              <w:t>Income taxes receivable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803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Payable to growers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12,241</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11,503</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900" w:right="0" w:hanging="225"/>
              <w:rPr/>
            </w:pPr>
            <w:r>
              <w:rPr/>
              <w:t>Trade accounts payable and accrued expenses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2,382</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1,577</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Income taxes payable</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200</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1,087</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1125" w:right="0" w:hanging="225"/>
              <w:rPr/>
            </w:pPr>
            <w:r>
              <w:rPr/>
              <w:t>Net cash provided by operating activities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3,974</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3,673</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Cash Flows from Investing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Direct costs of Maui acquisition</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(65</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pPr>
            <w:r>
              <w:rPr/>
              <w:t>Purchase of Limoneira stock</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(23,450</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Proceeds received from sale of building</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3,383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Acquisitions of and deposits on property, plant, and equipment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(1,436</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(5,414</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1125" w:right="0" w:hanging="225"/>
              <w:rPr/>
            </w:pPr>
            <w:r>
              <w:rPr/>
              <w:t>Net cash used in investing activities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(21,503</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(5,479</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b/>
              </w:rPr>
            </w:pPr>
            <w:r>
              <w:rPr>
                <w:b/>
              </w:rPr>
              <w:t>Cash Flows from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Payment of dividend to shareholders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(4,052</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(3,376</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pPr>
            <w:r>
              <w:rPr/>
              <w:t>Proceeds from (payments on) short-term borrowings, net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0" w:type="dxa"/>
            <w:tcBorders/>
            <w:shd w:fill="CCEEFF" w:val="clear"/>
            <w:vAlign w:val="bottom"/>
          </w:tcPr>
          <w:p>
            <w:pPr>
              <w:pStyle w:val="TableContents"/>
              <w:spacing w:before="0" w:after="283"/>
              <w:jc w:val="right"/>
              <w:rPr/>
            </w:pPr>
            <w:r>
              <w:rPr/>
              <w:t>(1,133</w:t>
            </w:r>
          </w:p>
        </w:tc>
        <w:tc>
          <w:tcPr>
            <w:tcW w:w="167"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Proceeds from issuance of long-term debt</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13,000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Exercise of stock options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60</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Issuance of stock to Limoneira</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10,000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Collection on notes receivable from shareholders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225</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680</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Payments on long-term obligations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0" w:type="dxa"/>
            <w:tcBorders/>
            <w:shd w:fill="auto" w:val="clear"/>
            <w:vAlign w:val="bottom"/>
          </w:tcPr>
          <w:p>
            <w:pPr>
              <w:pStyle w:val="TableContents"/>
              <w:spacing w:before="0" w:after="283"/>
              <w:jc w:val="right"/>
              <w:rPr/>
            </w:pPr>
            <w:r>
              <w:rPr/>
              <w:t>(21</w:t>
            </w:r>
          </w:p>
        </w:tc>
        <w:tc>
          <w:tcPr>
            <w:tcW w:w="167" w:type="dxa"/>
            <w:tcBorders/>
            <w:shd w:fill="auto" w:val="clear"/>
            <w:vAlign w:val="bottom"/>
          </w:tcPr>
          <w:p>
            <w:pPr>
              <w:pStyle w:val="TableContents"/>
              <w:spacing w:before="0" w:after="283"/>
              <w:rPr/>
            </w:pPr>
            <w:r>
              <w:rPr/>
              <w:t>)</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(25</w:t>
            </w:r>
          </w:p>
        </w:tc>
        <w:tc>
          <w:tcPr>
            <w:tcW w:w="144" w:type="dxa"/>
            <w:tcBorders/>
            <w:shd w:fill="auto" w:val="clear"/>
            <w:vAlign w:val="bottom"/>
          </w:tcPr>
          <w:p>
            <w:pPr>
              <w:pStyle w:val="TableContents"/>
              <w:spacing w:before="0" w:after="283"/>
              <w:rPr/>
            </w:pPr>
            <w:r>
              <w:rPr/>
              <w:t>)</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1125" w:right="0" w:hanging="225"/>
              <w:rPr/>
            </w:pPr>
            <w:r>
              <w:rPr/>
              <w:t>Net cash provided by (used in)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18,079</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1123" w:type="dxa"/>
            <w:tcBorders/>
            <w:shd w:fill="CCEEFF" w:val="clear"/>
            <w:vAlign w:val="bottom"/>
          </w:tcPr>
          <w:p>
            <w:pPr>
              <w:pStyle w:val="TableContents"/>
              <w:spacing w:before="0" w:after="283"/>
              <w:jc w:val="right"/>
              <w:rPr/>
            </w:pPr>
            <w:r>
              <w:rPr/>
              <w:t>(2,721</w:t>
            </w:r>
          </w:p>
        </w:tc>
        <w:tc>
          <w:tcPr>
            <w:tcW w:w="144" w:type="dxa"/>
            <w:tcBorders/>
            <w:shd w:fill="CCEEFF" w:val="clear"/>
            <w:vAlign w:val="bottom"/>
          </w:tcPr>
          <w:p>
            <w:pPr>
              <w:pStyle w:val="TableContents"/>
              <w:spacing w:before="0" w:after="283"/>
              <w:rPr/>
            </w:pPr>
            <w:r>
              <w:rPr/>
              <w:t>)</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Net increase (decrease) in cash and cash equivalents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550</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123" w:type="dxa"/>
            <w:tcBorders/>
            <w:shd w:fill="auto" w:val="clear"/>
            <w:vAlign w:val="bottom"/>
          </w:tcPr>
          <w:p>
            <w:pPr>
              <w:pStyle w:val="TableContents"/>
              <w:spacing w:before="0" w:after="283"/>
              <w:jc w:val="right"/>
              <w:rPr/>
            </w:pPr>
            <w:r>
              <w:rPr/>
              <w:t>(4,527</w:t>
            </w:r>
          </w:p>
        </w:tc>
        <w:tc>
          <w:tcPr>
            <w:tcW w:w="144" w:type="dxa"/>
            <w:tcBorders/>
            <w:shd w:fill="auto" w:val="clear"/>
            <w:vAlign w:val="bottom"/>
          </w:tcPr>
          <w:p>
            <w:pPr>
              <w:pStyle w:val="TableContents"/>
              <w:spacing w:before="0" w:after="283"/>
              <w:rPr/>
            </w:pPr>
            <w:r>
              <w:rPr/>
              <w:t>)</w:t>
            </w:r>
          </w:p>
        </w:tc>
      </w:tr>
      <w:tr>
        <w:trPr/>
        <w:tc>
          <w:tcPr>
            <w:tcW w:w="6393" w:type="dxa"/>
            <w:tcBorders/>
            <w:shd w:fill="CCEEFF" w:val="clear"/>
            <w:vAlign w:val="bottom"/>
          </w:tcPr>
          <w:p>
            <w:pPr>
              <w:pStyle w:val="TableContents"/>
              <w:spacing w:before="0" w:after="0"/>
              <w:ind w:left="225" w:right="0" w:hanging="225"/>
              <w:rPr/>
            </w:pPr>
            <w:r>
              <w:rPr/>
              <w:t>Cash and cash equivalents, beginning of period</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636</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5,375</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Cash and cash equivalents, end of period</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1,186</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848</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Supplemental Information -</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675" w:right="0" w:hanging="225"/>
              <w:rPr/>
            </w:pPr>
            <w:r>
              <w:rPr/>
              <w:t>Cash paid during the period for:</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900" w:right="0" w:hanging="225"/>
              <w:rPr/>
            </w:pPr>
            <w:r>
              <w:rPr/>
              <w:t>Interest</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0" w:type="dxa"/>
            <w:tcBorders/>
            <w:shd w:fill="CCEEFF" w:val="clear"/>
            <w:vAlign w:val="bottom"/>
          </w:tcPr>
          <w:p>
            <w:pPr>
              <w:pStyle w:val="TableContents"/>
              <w:spacing w:before="0" w:after="283"/>
              <w:jc w:val="right"/>
              <w:rPr/>
            </w:pPr>
            <w:r>
              <w:rPr/>
              <w:t>179</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58</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auto" w:val="clear"/>
            <w:vAlign w:val="bottom"/>
          </w:tcPr>
          <w:p>
            <w:pPr>
              <w:pStyle w:val="TableContents"/>
              <w:spacing w:before="0" w:after="0"/>
              <w:ind w:left="900" w:right="0" w:hanging="225"/>
              <w:rPr/>
            </w:pPr>
            <w:r>
              <w:rPr/>
              <w:t>Income taxes</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863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1,907</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b/>
              </w:rPr>
            </w:pPr>
            <w:r>
              <w:rPr>
                <w:b/>
              </w:rPr>
              <w:t>Noncash Investing and Financing Activities: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bottom"/>
          </w:tcPr>
          <w:p>
            <w:pPr>
              <w:pStyle w:val="TableContents"/>
              <w:spacing w:before="0" w:after="0"/>
              <w:ind w:left="225" w:right="0" w:hanging="225"/>
              <w:rPr/>
            </w:pPr>
            <w:r>
              <w:rPr/>
              <w:t>Tax benefit related to stock option exercise</w:t>
            </w:r>
          </w:p>
        </w:tc>
        <w:tc>
          <w:tcPr>
            <w:tcW w:w="408"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0" w:type="dxa"/>
            <w:tcBorders/>
            <w:shd w:fill="auto" w:val="clear"/>
            <w:vAlign w:val="bottom"/>
          </w:tcPr>
          <w:p>
            <w:pPr>
              <w:pStyle w:val="TableContents"/>
              <w:spacing w:before="0" w:after="283"/>
              <w:jc w:val="right"/>
              <w:rPr/>
            </w:pPr>
            <w:r>
              <w:rPr/>
              <w:t>23</w:t>
            </w:r>
          </w:p>
        </w:tc>
        <w:tc>
          <w:tcPr>
            <w:tcW w:w="167"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123" w:type="dxa"/>
            <w:tcBorders/>
            <w:shd w:fill="auto" w:val="clear"/>
            <w:vAlign w:val="bottom"/>
          </w:tcPr>
          <w:p>
            <w:pPr>
              <w:pStyle w:val="TableContents"/>
              <w:spacing w:before="0" w:after="283"/>
              <w:jc w:val="right"/>
              <w:rPr/>
            </w:pPr>
            <w:r>
              <w:rPr/>
              <w:t></w:t>
            </w:r>
          </w:p>
        </w:tc>
        <w:tc>
          <w:tcPr>
            <w:tcW w:w="144" w:type="dxa"/>
            <w:tcBorders/>
            <w:shd w:fill="auto"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6393" w:type="dxa"/>
            <w:tcBorders/>
            <w:shd w:fill="CCEEFF" w:val="clear"/>
            <w:vAlign w:val="bottom"/>
          </w:tcPr>
          <w:p>
            <w:pPr>
              <w:pStyle w:val="TableContents"/>
              <w:spacing w:before="0" w:after="0"/>
              <w:ind w:left="225" w:right="0" w:hanging="225"/>
              <w:rPr/>
            </w:pPr>
            <w:r>
              <w:rPr/>
              <w:t>Unrealized holding gains</w:t>
            </w:r>
          </w:p>
        </w:tc>
        <w:tc>
          <w:tcPr>
            <w:tcW w:w="408"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0" w:type="dxa"/>
            <w:tcBorders/>
            <w:shd w:fill="CCEEFF" w:val="clear"/>
            <w:vAlign w:val="bottom"/>
          </w:tcPr>
          <w:p>
            <w:pPr>
              <w:pStyle w:val="TableContents"/>
              <w:spacing w:before="0" w:after="283"/>
              <w:jc w:val="right"/>
              <w:rPr/>
            </w:pPr>
            <w:r>
              <w:rPr/>
              <w:t>17,517</w:t>
            </w:r>
          </w:p>
        </w:tc>
        <w:tc>
          <w:tcPr>
            <w:tcW w:w="167"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123" w:type="dxa"/>
            <w:tcBorders/>
            <w:shd w:fill="CCEEFF" w:val="clear"/>
            <w:vAlign w:val="bottom"/>
          </w:tcPr>
          <w:p>
            <w:pPr>
              <w:pStyle w:val="TableContents"/>
              <w:spacing w:before="0" w:after="283"/>
              <w:jc w:val="right"/>
              <w:rPr/>
            </w:pPr>
            <w:r>
              <w:rPr/>
              <w:t></w:t>
            </w:r>
          </w:p>
        </w:tc>
        <w:tc>
          <w:tcPr>
            <w:tcW w:w="144" w:type="dxa"/>
            <w:tcBorders/>
            <w:shd w:fill="CCEEFF" w:val="clear"/>
            <w:vAlign w:val="bottom"/>
          </w:tcPr>
          <w:p>
            <w:pPr>
              <w:pStyle w:val="TableContents"/>
              <w:spacing w:before="0" w:after="283"/>
              <w:rPr/>
            </w:pPr>
            <w:r>
              <w:rPr/>
              <w:t> </w:t>
            </w:r>
          </w:p>
        </w:tc>
      </w:tr>
      <w:tr>
        <w:trPr/>
        <w:tc>
          <w:tcPr>
            <w:tcW w:w="6393" w:type="dxa"/>
            <w:tcBorders/>
            <w:shd w:fill="auto" w:val="clear"/>
            <w:vAlign w:val="center"/>
          </w:tcPr>
          <w:p>
            <w:pPr>
              <w:pStyle w:val="TableContents"/>
              <w:spacing w:before="0" w:after="0"/>
              <w:ind w:left="225" w:right="0" w:hanging="225"/>
              <w:rPr/>
            </w:pPr>
            <w:r>
              <w:rPr/>
              <w:t> </w:t>
            </w:r>
          </w:p>
        </w:tc>
        <w:tc>
          <w:tcPr>
            <w:tcW w:w="408" w:type="dxa"/>
            <w:tcBorders/>
            <w:shd w:fill="auto" w:val="clear"/>
            <w:vAlign w:val="center"/>
          </w:tcPr>
          <w:p>
            <w:pPr>
              <w:pStyle w:val="TableContents"/>
              <w:spacing w:before="0" w:after="283"/>
              <w:rPr/>
            </w:pPr>
            <w:r>
              <w:rPr/>
              <w:t> </w:t>
            </w:r>
          </w:p>
        </w:tc>
        <w:tc>
          <w:tcPr>
            <w:tcW w:w="13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7"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In November 2003, the Company acquired all of the outstanding common shares of Maui Fresh International, Inc. for 576,924 shares of the Companys common stock, valued at $4.05 million. The following table summarizes the estimated fair values of the non-cash assets acquired and liabilities assumed at the date of acquisition. </w:t>
      </w:r>
    </w:p>
    <w:tbl>
      <w:tblPr>
        <w:tblW w:w="5000" w:type="pct"/>
        <w:jc w:val="center"/>
        <w:tblInd w:w="0" w:type="dxa"/>
        <w:tblCellMar>
          <w:top w:w="0" w:type="dxa"/>
          <w:left w:w="0" w:type="dxa"/>
          <w:bottom w:w="0" w:type="dxa"/>
          <w:right w:w="0" w:type="dxa"/>
        </w:tblCellMar>
      </w:tblPr>
      <w:tblGrid>
        <w:gridCol w:w="8795"/>
        <w:gridCol w:w="491"/>
        <w:gridCol w:w="141"/>
        <w:gridCol w:w="660"/>
        <w:gridCol w:w="118"/>
      </w:tblGrid>
      <w:tr>
        <w:trPr/>
        <w:tc>
          <w:tcPr>
            <w:tcW w:w="879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8795" w:type="dxa"/>
            <w:tcBorders>
              <w:bottom w:val="single" w:sz="4" w:space="0" w:color="000000"/>
            </w:tcBorders>
            <w:shd w:fill="auto" w:val="clear"/>
            <w:tcMar>
              <w:bottom w:w="28" w:type="dxa"/>
            </w:tcMar>
            <w:vAlign w:val="bottom"/>
          </w:tcPr>
          <w:p>
            <w:pPr>
              <w:pStyle w:val="TableContents"/>
              <w:spacing w:before="0" w:after="283"/>
              <w:jc w:val="left"/>
              <w:rPr>
                <w:b/>
              </w:rPr>
            </w:pPr>
            <w:r>
              <w:rPr>
                <w:b/>
              </w:rPr>
              <w:t>(in thousands)</w:t>
            </w:r>
          </w:p>
        </w:tc>
        <w:tc>
          <w:tcPr>
            <w:tcW w:w="491"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18" w:type="dxa"/>
            <w:tcBorders/>
            <w:shd w:fill="auto" w:val="clear"/>
            <w:vAlign w:val="bottom"/>
          </w:tcPr>
          <w:p>
            <w:pPr>
              <w:pStyle w:val="TableContents"/>
              <w:spacing w:before="0" w:after="283"/>
              <w:rPr/>
            </w:pPr>
            <w:r>
              <w:rPr/>
              <w:t> </w:t>
            </w:r>
          </w:p>
        </w:tc>
      </w:tr>
      <w:tr>
        <w:trPr/>
        <w:tc>
          <w:tcPr>
            <w:tcW w:w="8795" w:type="dxa"/>
            <w:tcBorders/>
            <w:shd w:fill="CCEEFF" w:val="clear"/>
            <w:vAlign w:val="bottom"/>
          </w:tcPr>
          <w:p>
            <w:pPr>
              <w:pStyle w:val="TableContents"/>
              <w:spacing w:before="0" w:after="0"/>
              <w:ind w:left="225" w:right="0" w:hanging="225"/>
              <w:rPr/>
            </w:pPr>
            <w:r>
              <w:rPr/>
              <w:t>Fixed assets</w:t>
            </w:r>
          </w:p>
        </w:tc>
        <w:tc>
          <w:tcPr>
            <w:tcW w:w="49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114</w:t>
            </w:r>
          </w:p>
        </w:tc>
        <w:tc>
          <w:tcPr>
            <w:tcW w:w="118" w:type="dxa"/>
            <w:tcBorders/>
            <w:shd w:fill="CCEEFF" w:val="clear"/>
            <w:vAlign w:val="bottom"/>
          </w:tcPr>
          <w:p>
            <w:pPr>
              <w:pStyle w:val="TableContents"/>
              <w:spacing w:before="0" w:after="283"/>
              <w:rPr/>
            </w:pPr>
            <w:r>
              <w:rPr/>
              <w:t> </w:t>
            </w:r>
          </w:p>
        </w:tc>
      </w:tr>
      <w:tr>
        <w:trPr/>
        <w:tc>
          <w:tcPr>
            <w:tcW w:w="8795" w:type="dxa"/>
            <w:tcBorders/>
            <w:shd w:fill="auto" w:val="clear"/>
            <w:vAlign w:val="bottom"/>
          </w:tcPr>
          <w:p>
            <w:pPr>
              <w:pStyle w:val="TableContents"/>
              <w:spacing w:before="0" w:after="0"/>
              <w:ind w:left="225" w:right="0" w:hanging="225"/>
              <w:rPr/>
            </w:pPr>
            <w:r>
              <w:rPr/>
              <w:t>Goodwill</w:t>
            </w:r>
          </w:p>
        </w:tc>
        <w:tc>
          <w:tcPr>
            <w:tcW w:w="49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3,526</w:t>
            </w:r>
          </w:p>
        </w:tc>
        <w:tc>
          <w:tcPr>
            <w:tcW w:w="118" w:type="dxa"/>
            <w:tcBorders/>
            <w:shd w:fill="auto" w:val="clear"/>
            <w:vAlign w:val="bottom"/>
          </w:tcPr>
          <w:p>
            <w:pPr>
              <w:pStyle w:val="TableContents"/>
              <w:spacing w:before="0" w:after="283"/>
              <w:rPr/>
            </w:pPr>
            <w:r>
              <w:rPr/>
              <w:t> </w:t>
            </w:r>
          </w:p>
        </w:tc>
      </w:tr>
      <w:tr>
        <w:trPr/>
        <w:tc>
          <w:tcPr>
            <w:tcW w:w="8795" w:type="dxa"/>
            <w:tcBorders/>
            <w:shd w:fill="CCEEFF" w:val="clear"/>
            <w:vAlign w:val="bottom"/>
          </w:tcPr>
          <w:p>
            <w:pPr>
              <w:pStyle w:val="TableContents"/>
              <w:spacing w:before="0" w:after="0"/>
              <w:ind w:left="225" w:right="0" w:hanging="225"/>
              <w:rPr/>
            </w:pPr>
            <w:r>
              <w:rPr/>
              <w:t>Intangible assets</w:t>
            </w:r>
          </w:p>
        </w:tc>
        <w:tc>
          <w:tcPr>
            <w:tcW w:w="49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867</w:t>
            </w:r>
          </w:p>
        </w:tc>
        <w:tc>
          <w:tcPr>
            <w:tcW w:w="118" w:type="dxa"/>
            <w:tcBorders/>
            <w:shd w:fill="CCEEFF" w:val="clear"/>
            <w:vAlign w:val="bottom"/>
          </w:tcPr>
          <w:p>
            <w:pPr>
              <w:pStyle w:val="TableContents"/>
              <w:spacing w:before="0" w:after="283"/>
              <w:rPr/>
            </w:pPr>
            <w:r>
              <w:rPr/>
              <w:t> </w:t>
            </w:r>
          </w:p>
        </w:tc>
      </w:tr>
      <w:tr>
        <w:trPr/>
        <w:tc>
          <w:tcPr>
            <w:tcW w:w="8795"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8795" w:type="dxa"/>
            <w:tcBorders/>
            <w:shd w:fill="auto" w:val="clear"/>
            <w:vAlign w:val="bottom"/>
          </w:tcPr>
          <w:p>
            <w:pPr>
              <w:pStyle w:val="TableContents"/>
              <w:spacing w:before="0" w:after="0"/>
              <w:ind w:left="225" w:right="0" w:hanging="225"/>
              <w:rPr/>
            </w:pPr>
            <w:r>
              <w:rPr/>
              <w:t>Total non-cash assets acquired</w:t>
            </w:r>
          </w:p>
        </w:tc>
        <w:tc>
          <w:tcPr>
            <w:tcW w:w="49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4,507</w:t>
            </w:r>
          </w:p>
        </w:tc>
        <w:tc>
          <w:tcPr>
            <w:tcW w:w="118" w:type="dxa"/>
            <w:tcBorders/>
            <w:shd w:fill="auto" w:val="clear"/>
            <w:vAlign w:val="bottom"/>
          </w:tcPr>
          <w:p>
            <w:pPr>
              <w:pStyle w:val="TableContents"/>
              <w:spacing w:before="0" w:after="283"/>
              <w:rPr/>
            </w:pPr>
            <w:r>
              <w:rPr/>
              <w:t> </w:t>
            </w:r>
          </w:p>
        </w:tc>
      </w:tr>
      <w:tr>
        <w:trPr/>
        <w:tc>
          <w:tcPr>
            <w:tcW w:w="8795" w:type="dxa"/>
            <w:tcBorders/>
            <w:shd w:fill="CCEEFF" w:val="clear"/>
            <w:vAlign w:val="bottom"/>
          </w:tcPr>
          <w:p>
            <w:pPr>
              <w:pStyle w:val="TableContents"/>
              <w:spacing w:before="0" w:after="0"/>
              <w:ind w:left="225" w:right="0" w:hanging="225"/>
              <w:rPr/>
            </w:pPr>
            <w:r>
              <w:rPr/>
              <w:t>Current liabilities</w:t>
            </w:r>
          </w:p>
        </w:tc>
        <w:tc>
          <w:tcPr>
            <w:tcW w:w="49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pPr>
            <w:r>
              <w:rPr/>
              <w:t>110</w:t>
            </w:r>
          </w:p>
        </w:tc>
        <w:tc>
          <w:tcPr>
            <w:tcW w:w="118" w:type="dxa"/>
            <w:tcBorders/>
            <w:shd w:fill="CCEEFF" w:val="clear"/>
            <w:vAlign w:val="bottom"/>
          </w:tcPr>
          <w:p>
            <w:pPr>
              <w:pStyle w:val="TableContents"/>
              <w:spacing w:before="0" w:after="283"/>
              <w:rPr/>
            </w:pPr>
            <w:r>
              <w:rPr/>
              <w:t> </w:t>
            </w:r>
          </w:p>
        </w:tc>
      </w:tr>
      <w:tr>
        <w:trPr/>
        <w:tc>
          <w:tcPr>
            <w:tcW w:w="8795" w:type="dxa"/>
            <w:tcBorders/>
            <w:shd w:fill="auto" w:val="clear"/>
            <w:vAlign w:val="bottom"/>
          </w:tcPr>
          <w:p>
            <w:pPr>
              <w:pStyle w:val="TableContents"/>
              <w:spacing w:before="0" w:after="0"/>
              <w:ind w:left="225" w:right="0" w:hanging="225"/>
              <w:rPr/>
            </w:pPr>
            <w:r>
              <w:rPr/>
              <w:t>Deferred tax liabilities assumed</w:t>
            </w:r>
          </w:p>
        </w:tc>
        <w:tc>
          <w:tcPr>
            <w:tcW w:w="49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pPr>
            <w:r>
              <w:rPr/>
              <w:t>347</w:t>
            </w:r>
          </w:p>
        </w:tc>
        <w:tc>
          <w:tcPr>
            <w:tcW w:w="118" w:type="dxa"/>
            <w:tcBorders/>
            <w:shd w:fill="auto" w:val="clear"/>
            <w:vAlign w:val="bottom"/>
          </w:tcPr>
          <w:p>
            <w:pPr>
              <w:pStyle w:val="TableContents"/>
              <w:spacing w:before="0" w:after="283"/>
              <w:rPr/>
            </w:pPr>
            <w:r>
              <w:rPr/>
              <w:t> </w:t>
            </w:r>
          </w:p>
        </w:tc>
      </w:tr>
      <w:tr>
        <w:trPr/>
        <w:tc>
          <w:tcPr>
            <w:tcW w:w="8795"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8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8795" w:type="dxa"/>
            <w:tcBorders/>
            <w:shd w:fill="CCEEFF" w:val="clear"/>
            <w:vAlign w:val="bottom"/>
          </w:tcPr>
          <w:p>
            <w:pPr>
              <w:pStyle w:val="TableContents"/>
              <w:spacing w:before="0" w:after="0"/>
              <w:ind w:left="225" w:right="0" w:hanging="225"/>
              <w:rPr/>
            </w:pPr>
            <w:r>
              <w:rPr/>
              <w:t>Net non-cash assets acquired</w:t>
            </w:r>
          </w:p>
        </w:tc>
        <w:tc>
          <w:tcPr>
            <w:tcW w:w="49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60" w:type="dxa"/>
            <w:tcBorders/>
            <w:shd w:fill="CCEEFF" w:val="clear"/>
            <w:vAlign w:val="bottom"/>
          </w:tcPr>
          <w:p>
            <w:pPr>
              <w:pStyle w:val="TableContents"/>
              <w:spacing w:before="0" w:after="283"/>
              <w:jc w:val="right"/>
              <w:rPr/>
            </w:pPr>
            <w:r>
              <w:rPr/>
              <w:t>4,050</w:t>
            </w:r>
          </w:p>
        </w:tc>
        <w:tc>
          <w:tcPr>
            <w:tcW w:w="118" w:type="dxa"/>
            <w:tcBorders/>
            <w:shd w:fill="CCEEFF" w:val="clear"/>
            <w:vAlign w:val="bottom"/>
          </w:tcPr>
          <w:p>
            <w:pPr>
              <w:pStyle w:val="TableContents"/>
              <w:spacing w:before="0" w:after="283"/>
              <w:rPr/>
            </w:pPr>
            <w:r>
              <w:rPr/>
              <w:t> </w:t>
            </w:r>
          </w:p>
        </w:tc>
      </w:tr>
      <w:tr>
        <w:trPr/>
        <w:tc>
          <w:tcPr>
            <w:tcW w:w="8795" w:type="dxa"/>
            <w:tcBorders/>
            <w:shd w:fill="auto" w:val="clear"/>
            <w:vAlign w:val="center"/>
          </w:tcPr>
          <w:p>
            <w:pPr>
              <w:pStyle w:val="TableContents"/>
              <w:spacing w:before="0" w:after="0"/>
              <w:ind w:left="225" w:right="0" w:hanging="225"/>
              <w:rPr/>
            </w:pPr>
            <w:r>
              <w:rPr/>
              <w:t> </w:t>
            </w:r>
          </w:p>
        </w:tc>
        <w:tc>
          <w:tcPr>
            <w:tcW w:w="491" w:type="dxa"/>
            <w:tcBorders/>
            <w:shd w:fill="auto" w:val="clear"/>
            <w:vAlign w:val="center"/>
          </w:tcPr>
          <w:p>
            <w:pPr>
              <w:pStyle w:val="TableContents"/>
              <w:spacing w:before="0" w:after="283"/>
              <w:rPr/>
            </w:pPr>
            <w:r>
              <w:rPr/>
              <w:t> </w:t>
            </w:r>
          </w:p>
        </w:tc>
        <w:tc>
          <w:tcPr>
            <w:tcW w:w="8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center"/>
        <w:rPr/>
      </w:pPr>
      <w:r>
        <w:rPr/>
        <w:t>     </w:t>
      </w: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9" w:name="107"/>
      <w:bookmarkEnd w:id="9"/>
      <w:r>
        <w:rPr>
          <w:rFonts w:ascii="Times New Roman;Times;serif" w:hAnsi="Times New Roman;Times;serif"/>
          <w:b/>
          <w:sz w:val="17"/>
        </w:rPr>
        <w:t>NOTES TO CONSOLIDATED CONDENSED FINANCIAL STATEMENTS (UNAUDITED)</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two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 </w:t>
      </w:r>
    </w:p>
    <w:p>
      <w:pPr>
        <w:pStyle w:val="TextBody"/>
        <w:spacing w:before="120" w:after="283"/>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2004.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2004, the Financial Accounting Standards Board (FASB) issued Statement of Financial Accounting Standard (SFAS) No. 151, </w:t>
      </w:r>
      <w:r>
        <w:rPr>
          <w:rFonts w:ascii="Times New Roman;Times;serif" w:hAnsi="Times New Roman;Times;serif"/>
          <w:i/>
          <w:sz w:val="17"/>
        </w:rPr>
        <w:t xml:space="preserve">Inventory Costs, an amendment of ARB No. 43, Chapter 4 </w:t>
      </w:r>
      <w:r>
        <w:rPr>
          <w:rFonts w:ascii="Times New Roman;Times;serif" w:hAnsi="Times New Roman;Times;serif"/>
          <w:sz w:val="17"/>
        </w:rPr>
        <w:t xml:space="preserve">(SFAS 151), to clarify that abnormal amounts of idle facility expense, freight, handling costs and wasted material (spoilage) should be recognized as current period charges, and that fixed production overheads should be allocated to inventory based on normal capacity of production facilities. This statement is effective for the Companys fiscal year beginning November 1, 2005. We do not expect the adoption of SFAS 151 will have a significant impact on our overall results of operations or financial position. </w:t>
      </w:r>
    </w:p>
    <w:p>
      <w:pPr>
        <w:pStyle w:val="TextBody"/>
        <w:spacing w:before="120" w:after="283"/>
        <w:jc w:val="left"/>
        <w:rPr/>
      </w:pPr>
      <w:r>
        <w:rPr/>
        <w:t>     </w:t>
      </w:r>
      <w:r>
        <w:rPr>
          <w:rFonts w:ascii="Times New Roman;Times;serif" w:hAnsi="Times New Roman;Times;serif"/>
          <w:sz w:val="17"/>
        </w:rPr>
        <w:t xml:space="preserve">In December 2004, the FASB issued SFAS No. 153, </w:t>
      </w:r>
      <w:r>
        <w:rPr>
          <w:rFonts w:ascii="Times New Roman;Times;serif" w:hAnsi="Times New Roman;Times;serif"/>
          <w:i/>
          <w:sz w:val="17"/>
        </w:rPr>
        <w:t xml:space="preserve">Exchanges of Nonmonetary Assets, an amendment of APB Opinion No. 29, Accounting for Nonmonetary Transactions </w:t>
      </w:r>
      <w:r>
        <w:rPr>
          <w:rFonts w:ascii="Times New Roman;Times;serif" w:hAnsi="Times New Roman;Times;serif"/>
          <w:sz w:val="17"/>
        </w:rPr>
        <w:t xml:space="preserve">(SFAS 153). The amendments made by SFAS 153 are based on the principle that exchanges of nonmonetary assets should be measured based on the fair value of the assets exchanged. Further, the amendments eliminate the narrow exception for nonmonetary exchanges of similar productive assets and replace it with a broader exception for exchanges of nonmonetary assets that do not have commercial substance. The Statement is effective for nonmonetary asset exchanges occurring in fiscal periods beginning after June 15, 2005. Earlier application is permitted for nonmonetary asset exchanges occurring in fiscal periods beginning after the date of issuance. The provisions of this Statement shall be applied prospectively. We do not expect the adoption of SFAS 153 will have a significant impact on our overall results of operations or financial position. </w:t>
      </w:r>
    </w:p>
    <w:p>
      <w:pPr>
        <w:pStyle w:val="TextBody"/>
        <w:spacing w:before="120" w:after="283"/>
        <w:jc w:val="left"/>
        <w:rPr/>
      </w:pPr>
      <w:r>
        <w:rPr/>
        <w:t>     </w:t>
      </w:r>
      <w:r>
        <w:rPr>
          <w:rFonts w:ascii="Times New Roman;Times;serif" w:hAnsi="Times New Roman;Times;serif"/>
          <w:sz w:val="17"/>
        </w:rPr>
        <w:t xml:space="preserve">In December 2004, the FASB issued SFAS No. 123 (revised 2004), </w:t>
      </w:r>
      <w:r>
        <w:rPr>
          <w:rFonts w:ascii="Times New Roman;Times;serif" w:hAnsi="Times New Roman;Times;serif"/>
          <w:i/>
          <w:sz w:val="17"/>
        </w:rPr>
        <w:t xml:space="preserve">Share-Based Payment </w:t>
      </w:r>
      <w:r>
        <w:rPr>
          <w:rFonts w:ascii="Times New Roman;Times;serif" w:hAnsi="Times New Roman;Times;serif"/>
          <w:sz w:val="17"/>
        </w:rPr>
        <w:t xml:space="preserve">(SFAS 123(R)). SFAS 123(R) requires the recognition of compensation cost relating to share-based payment transactions in financial statements. That cost will be measured based on the fair value of the equity or liability instruments issued as of the grant date, based on the estimated number of awards that are expected to vest. SFAS 123(R) covers a wide range of share-based compensation arrangements including share options, restricted share plans, performance-based awards, share appreciation rights, and employee share purchase plans. SFAS 123(R) replaces SFAS No. 123, </w:t>
      </w:r>
      <w:r>
        <w:rPr>
          <w:rFonts w:ascii="Times New Roman;Times;serif" w:hAnsi="Times New Roman;Times;serif"/>
          <w:i/>
          <w:sz w:val="17"/>
        </w:rPr>
        <w:t>Accounting for</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 xml:space="preserve">Stock-Based Compensation </w:t>
      </w:r>
      <w:r>
        <w:rPr>
          <w:rFonts w:ascii="Times New Roman;Times;serif" w:hAnsi="Times New Roman;Times;serif"/>
          <w:sz w:val="17"/>
        </w:rPr>
        <w:t xml:space="preserve">(SFAS 123), and supersedes Accounting Principles Board (APB) Opinion No. 25, </w:t>
      </w:r>
      <w:r>
        <w:rPr>
          <w:rFonts w:ascii="Times New Roman;Times;serif" w:hAnsi="Times New Roman;Times;serif"/>
          <w:i/>
          <w:sz w:val="17"/>
        </w:rPr>
        <w:t xml:space="preserve">Accounting for Stock Issued to Employees </w:t>
      </w:r>
      <w:r>
        <w:rPr>
          <w:rFonts w:ascii="Times New Roman;Times;serif" w:hAnsi="Times New Roman;Times;serif"/>
          <w:sz w:val="17"/>
        </w:rPr>
        <w:t xml:space="preserve">(APB 25). SFAS 123(R) is effective November 1, 2005. As a public company, we are allowed to select from three alternative transition methodseach having different reporting implications. We do not expect the adoption of SFAS 123(R) to have a significant impact on our overall results of operations or financial position. </w:t>
      </w:r>
    </w:p>
    <w:p>
      <w:pPr>
        <w:pStyle w:val="TextBody"/>
        <w:spacing w:before="120" w:after="283"/>
        <w:jc w:val="left"/>
        <w:rPr/>
      </w:pPr>
      <w:r>
        <w:rPr/>
        <w:t>     </w:t>
      </w:r>
      <w:r>
        <w:rPr>
          <w:rFonts w:ascii="Times New Roman;Times;serif" w:hAnsi="Times New Roman;Times;serif"/>
          <w:sz w:val="17"/>
        </w:rPr>
        <w:t xml:space="preserve">In December 2004, the FASB issued FASB Staff Position (FSP) FAS 109-1  </w:t>
      </w:r>
      <w:r>
        <w:rPr>
          <w:rFonts w:ascii="Times New Roman;Times;serif" w:hAnsi="Times New Roman;Times;serif"/>
          <w:i/>
          <w:sz w:val="17"/>
        </w:rPr>
        <w:t xml:space="preserve">Application of FASB Statement No. 109, Accounting for Income Taxes, to the Tax Deduction on Qualified Production Activities Provided by the American Jobs Creation Act of 2004 </w:t>
      </w:r>
      <w:r>
        <w:rPr>
          <w:rFonts w:ascii="Times New Roman;Times;serif" w:hAnsi="Times New Roman;Times;serif"/>
          <w:sz w:val="17"/>
        </w:rPr>
        <w:t xml:space="preserve">(2004 Act). This FSP provides guidance on the application of SFAS No. 109 to the provisions of the tax deduction on qualified production activities contained within the 2004 Act. FSP 109-1 states that the manufacturers deduction should be accounted for as a special deduction in accordance with SFAS No. 109 and not as a tax rate reduction. We adopted the provisions of FSP 109-1 during our first fiscal quarter of 2005. Adoption of FSP 109-1 did not have a significant effect on our financial position or results of operations. </w:t>
      </w:r>
    </w:p>
    <w:p>
      <w:pPr>
        <w:pStyle w:val="TextBody"/>
        <w:spacing w:before="120" w:after="283"/>
        <w:jc w:val="left"/>
        <w:rPr/>
      </w:pPr>
      <w:r>
        <w:rPr/>
        <w:t>     </w:t>
      </w:r>
      <w:r>
        <w:rPr>
          <w:rFonts w:ascii="Times New Roman;Times;serif" w:hAnsi="Times New Roman;Times;serif"/>
          <w:sz w:val="17"/>
        </w:rPr>
        <w:t xml:space="preserve">In December 2004, the FASB issued FSP FAS 109-2  </w:t>
      </w:r>
      <w:r>
        <w:rPr>
          <w:rFonts w:ascii="Times New Roman;Times;serif" w:hAnsi="Times New Roman;Times;serif"/>
          <w:i/>
          <w:sz w:val="17"/>
        </w:rPr>
        <w:t>Accounting and Disclosure Guidance for the Foreign Earnings Repatriation Provision within the American Jobs Creation Act of 2004</w:t>
      </w:r>
      <w:r>
        <w:rPr>
          <w:rFonts w:ascii="Times New Roman;Times;serif" w:hAnsi="Times New Roman;Times;serif"/>
          <w:sz w:val="17"/>
        </w:rPr>
        <w:t xml:space="preserve">, which provides guidance for the repatriation provisions included in the 2004 Act. The 2004 Act introduced a special limited-time dividends received deduction on the repatriation of certain foreign earnings to a U.S. taxpayer. As a result, FSP 109-2 provides an exception to the SFAS No. 109 requirement to reflect the effect of a new tax law in the period of enactment. Accordingly, an entity is allowed additional time beyond the financial reporting period of enactment to evaluate the effect of the 2004 Act on its plan for repatriation of foreign earnings. We adopted the provisions of FSP 109-2 during our first fiscal quarter of 2005. Adoption of FSP 109-2 did not have a significant effect on our financial position or results of operations. </w:t>
      </w:r>
    </w:p>
    <w:p>
      <w:pPr>
        <w:pStyle w:val="TextBody"/>
        <w:spacing w:before="120" w:after="283"/>
        <w:jc w:val="left"/>
        <w:rPr/>
      </w:pPr>
      <w:r>
        <w:rPr/>
        <w:t>     </w:t>
      </w:r>
      <w:r>
        <w:rPr>
          <w:rFonts w:ascii="Times New Roman;Times;serif" w:hAnsi="Times New Roman;Times;serif"/>
          <w:sz w:val="17"/>
        </w:rPr>
        <w:t xml:space="preserve">In May 2005, the FASB issued SFAS No. 154, </w:t>
      </w:r>
      <w:r>
        <w:rPr>
          <w:rFonts w:ascii="Times New Roman;Times;serif" w:hAnsi="Times New Roman;Times;serif"/>
          <w:i/>
          <w:sz w:val="17"/>
        </w:rPr>
        <w:t xml:space="preserve">Accounting Changes and Error Corrections  a replacement of APB Opinion No. 20 and FASB Statement No. 3 </w:t>
      </w:r>
      <w:r>
        <w:rPr>
          <w:rFonts w:ascii="Times New Roman;Times;serif" w:hAnsi="Times New Roman;Times;serif"/>
          <w:sz w:val="17"/>
        </w:rPr>
        <w:t xml:space="preserve">(SFAS 154). SFAS 154 changes the requirements for the accounting for and reporting of a change in accounting principle. The provisions of SFAS 154 require, unless impracticable, retrospective application to prior periods financial statements of (1) all voluntary changes in principles and (2) changes required by a new accounting pronouncement, if a specific transition is not provided. SFAS 154 also requires that a chance in depreciation, amortization, or depletion method for long-lived, non-financial assets be accounted for as a change in accounting estimate, which requires prospective application of the new method. SFAS 154 is effective for all accounting changes made in fiscal years beginning after December 15, 2005. We do not expect the adoption of SFAS 154 to have a significant impact on our overall results of operations or financial position.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Comprehensive Income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SFAS No. 130, </w:t>
      </w:r>
      <w:r>
        <w:rPr>
          <w:rFonts w:ascii="Times New Roman;Times;serif" w:hAnsi="Times New Roman;Times;serif"/>
          <w:i/>
          <w:sz w:val="17"/>
        </w:rPr>
        <w:t>Reporting Comprehensive Income</w:t>
      </w:r>
      <w:r>
        <w:rPr>
          <w:rFonts w:ascii="Times New Roman;Times;serif" w:hAnsi="Times New Roman;Times;serif"/>
          <w:sz w:val="17"/>
        </w:rPr>
        <w:t xml:space="preserve">, we display comprehensive income, and its components, in a financial statement with the same prominence as other financial statements. The impact of any fluctuation in unrealized gains or losses on investments available-for-sale are a component of comprehensive income for each year presented.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 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permitted by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(SFAS No. 123), which was amended by SFAS No. 148, Accounting for Stock-Based Compensation  Transition and Disclosure, the Company accounts for stock-based compensation under APB 25 and related interpretations. </w:t>
      </w:r>
    </w:p>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3-year period, has an exercise price of $7.00 per share, and has a term of 5 years from the grant date. The market price of our common stock at the grant date was $10.01. In accordance with APB 25, we are recording compensation expense of approximately $151,000 over the vesting period of three years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from the grant date. During the three and nine month periods ended July 31, 2005 and July 31, 2004, we recognized $13,000, $38,000, $13,000 and $33,000 of compensation expense with respect to stock option awards pursuant to APB 25. Had compensation cost for stock option awards been determined based on the fair value of each award at its grant date, consistent with the provisions of SFAS No. 123, the Companys pro forma net income and net income per share would have been as follows (dollars in thousands, except per share amounts): </w:t>
      </w:r>
    </w:p>
    <w:tbl>
      <w:tblPr>
        <w:tblW w:w="5000" w:type="pct"/>
        <w:jc w:val="center"/>
        <w:tblInd w:w="0" w:type="dxa"/>
        <w:tblCellMar>
          <w:top w:w="0" w:type="dxa"/>
          <w:left w:w="0" w:type="dxa"/>
          <w:bottom w:w="0" w:type="dxa"/>
          <w:right w:w="0" w:type="dxa"/>
        </w:tblCellMar>
      </w:tblPr>
      <w:tblGrid>
        <w:gridCol w:w="4160"/>
        <w:gridCol w:w="363"/>
        <w:gridCol w:w="191"/>
        <w:gridCol w:w="831"/>
        <w:gridCol w:w="150"/>
        <w:gridCol w:w="377"/>
        <w:gridCol w:w="191"/>
        <w:gridCol w:w="833"/>
        <w:gridCol w:w="127"/>
        <w:gridCol w:w="363"/>
        <w:gridCol w:w="183"/>
        <w:gridCol w:w="798"/>
        <w:gridCol w:w="145"/>
        <w:gridCol w:w="374"/>
        <w:gridCol w:w="183"/>
        <w:gridCol w:w="800"/>
        <w:gridCol w:w="136"/>
      </w:tblGrid>
      <w:tr>
        <w:trPr/>
        <w:tc>
          <w:tcPr>
            <w:tcW w:w="41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573" w:type="dxa"/>
            <w:gridSpan w:val="6"/>
            <w:tcBorders/>
            <w:shd w:fill="auto" w:val="clear"/>
            <w:vAlign w:val="bottom"/>
          </w:tcPr>
          <w:p>
            <w:pPr>
              <w:pStyle w:val="TableContents"/>
              <w:spacing w:before="0" w:after="283"/>
              <w:jc w:val="center"/>
              <w:rPr>
                <w:b/>
              </w:rPr>
            </w:pPr>
            <w:r>
              <w:rPr>
                <w:b/>
              </w:rPr>
              <w:t>Three months ended</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483" w:type="dxa"/>
            <w:gridSpan w:val="6"/>
            <w:tcBorders/>
            <w:shd w:fill="auto" w:val="clear"/>
            <w:vAlign w:val="bottom"/>
          </w:tcPr>
          <w:p>
            <w:pPr>
              <w:pStyle w:val="TableContents"/>
              <w:spacing w:before="0" w:after="283"/>
              <w:jc w:val="center"/>
              <w:rPr>
                <w:b/>
              </w:rPr>
            </w:pPr>
            <w:r>
              <w:rPr>
                <w:b/>
              </w:rPr>
              <w:t>Nine months ended</w:t>
            </w:r>
          </w:p>
        </w:tc>
        <w:tc>
          <w:tcPr>
            <w:tcW w:w="136"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57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2483"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July 31,</w:t>
            </w:r>
          </w:p>
        </w:tc>
        <w:tc>
          <w:tcPr>
            <w:tcW w:w="136"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9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36" w:type="dxa"/>
            <w:tcBorders/>
            <w:shd w:fill="auto" w:val="clear"/>
            <w:vAlign w:val="bottom"/>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225" w:right="0" w:hanging="225"/>
              <w:rPr/>
            </w:pPr>
            <w:r>
              <w:rPr/>
              <w:t>Net Income:</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79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0"/>
              <w:ind w:left="225" w:right="0" w:hanging="225"/>
              <w:rPr/>
            </w:pPr>
            <w:r>
              <w:rPr/>
              <w:t>As reported</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2,919</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3,060</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798" w:type="dxa"/>
            <w:tcBorders/>
            <w:shd w:fill="auto" w:val="clear"/>
            <w:vAlign w:val="bottom"/>
          </w:tcPr>
          <w:p>
            <w:pPr>
              <w:pStyle w:val="TableContents"/>
              <w:spacing w:before="0" w:after="283"/>
              <w:jc w:val="right"/>
              <w:rPr/>
            </w:pPr>
            <w:r>
              <w:rPr/>
              <w:t>3,839</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5,100</w:t>
            </w:r>
          </w:p>
        </w:tc>
        <w:tc>
          <w:tcPr>
            <w:tcW w:w="136" w:type="dxa"/>
            <w:tcBorders/>
            <w:shd w:fill="auto" w:val="clear"/>
            <w:vAlign w:val="bottom"/>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8</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9</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798" w:type="dxa"/>
            <w:tcBorders/>
            <w:shd w:fill="CCEEFF" w:val="clear"/>
            <w:vAlign w:val="bottom"/>
          </w:tcPr>
          <w:p>
            <w:pPr>
              <w:pStyle w:val="TableContents"/>
              <w:spacing w:before="0" w:after="283"/>
              <w:jc w:val="right"/>
              <w:rPr/>
            </w:pPr>
            <w:r>
              <w:rPr/>
              <w:t>24</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21</w:t>
            </w:r>
          </w:p>
        </w:tc>
        <w:tc>
          <w:tcPr>
            <w:tcW w:w="136" w:type="dxa"/>
            <w:tcBorders/>
            <w:shd w:fill="CCEE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0"/>
              <w:ind w:left="225" w:right="0" w:hanging="225"/>
              <w:rPr/>
            </w:pPr>
            <w:r>
              <w:rPr/>
              <w:t>Deduct: Total stock based compensation expense determined under fair value based method for all awards, net of tax effects</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(8</w:t>
            </w:r>
          </w:p>
        </w:tc>
        <w:tc>
          <w:tcPr>
            <w:tcW w:w="150" w:type="dxa"/>
            <w:tcBorders/>
            <w:shd w:fill="auto" w:val="clear"/>
            <w:vAlign w:val="bottom"/>
          </w:tcPr>
          <w:p>
            <w:pPr>
              <w:pStyle w:val="TableContents"/>
              <w:spacing w:before="0" w:after="283"/>
              <w:rPr/>
            </w:pPr>
            <w:r>
              <w:rPr/>
              <w:t>)</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833" w:type="dxa"/>
            <w:tcBorders/>
            <w:shd w:fill="auto" w:val="clear"/>
            <w:vAlign w:val="bottom"/>
          </w:tcPr>
          <w:p>
            <w:pPr>
              <w:pStyle w:val="TableContents"/>
              <w:spacing w:before="0" w:after="283"/>
              <w:jc w:val="right"/>
              <w:rPr/>
            </w:pPr>
            <w:r>
              <w:rPr/>
              <w:t>(9</w:t>
            </w:r>
          </w:p>
        </w:tc>
        <w:tc>
          <w:tcPr>
            <w:tcW w:w="127" w:type="dxa"/>
            <w:tcBorders/>
            <w:shd w:fill="auto" w:val="clear"/>
            <w:vAlign w:val="bottom"/>
          </w:tcPr>
          <w:p>
            <w:pPr>
              <w:pStyle w:val="TableContents"/>
              <w:spacing w:before="0" w:after="283"/>
              <w:rPr/>
            </w:pPr>
            <w:r>
              <w:rPr/>
              <w:t>)</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798" w:type="dxa"/>
            <w:tcBorders/>
            <w:shd w:fill="auto" w:val="clear"/>
            <w:vAlign w:val="bottom"/>
          </w:tcPr>
          <w:p>
            <w:pPr>
              <w:pStyle w:val="TableContents"/>
              <w:spacing w:before="0" w:after="283"/>
              <w:jc w:val="right"/>
              <w:rPr/>
            </w:pPr>
            <w:r>
              <w:rPr/>
              <w:t>(24</w:t>
            </w:r>
          </w:p>
        </w:tc>
        <w:tc>
          <w:tcPr>
            <w:tcW w:w="145" w:type="dxa"/>
            <w:tcBorders/>
            <w:shd w:fill="auto" w:val="clear"/>
            <w:vAlign w:val="bottom"/>
          </w:tcPr>
          <w:p>
            <w:pPr>
              <w:pStyle w:val="TableContents"/>
              <w:spacing w:before="0" w:after="283"/>
              <w:rPr/>
            </w:pPr>
            <w:r>
              <w:rPr/>
              <w:t>)</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(21</w:t>
            </w:r>
          </w:p>
        </w:tc>
        <w:tc>
          <w:tcPr>
            <w:tcW w:w="136" w:type="dxa"/>
            <w:tcBorders/>
            <w:shd w:fill="auto" w:val="clear"/>
            <w:vAlign w:val="bottom"/>
          </w:tcPr>
          <w:p>
            <w:pPr>
              <w:pStyle w:val="TableContents"/>
              <w:spacing w:before="0" w:after="283"/>
              <w:rPr/>
            </w:pPr>
            <w:r>
              <w:rPr/>
              <w:t>)</w:t>
            </w:r>
          </w:p>
        </w:tc>
      </w:tr>
      <w:tr>
        <w:trPr/>
        <w:tc>
          <w:tcPr>
            <w:tcW w:w="4160"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9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9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225" w:right="0" w:hanging="225"/>
              <w:rPr/>
            </w:pPr>
            <w:r>
              <w:rPr/>
              <w:t>Pro forma</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2,919</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3,060</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798" w:type="dxa"/>
            <w:tcBorders/>
            <w:shd w:fill="CCEEFF" w:val="clear"/>
            <w:vAlign w:val="bottom"/>
          </w:tcPr>
          <w:p>
            <w:pPr>
              <w:pStyle w:val="TableContents"/>
              <w:spacing w:before="0" w:after="283"/>
              <w:jc w:val="right"/>
              <w:rPr/>
            </w:pPr>
            <w:r>
              <w:rPr/>
              <w:t>3,839</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5,100</w:t>
            </w:r>
          </w:p>
        </w:tc>
        <w:tc>
          <w:tcPr>
            <w:tcW w:w="136" w:type="dxa"/>
            <w:tcBorders/>
            <w:shd w:fill="CCEEFF" w:val="clear"/>
            <w:vAlign w:val="bottom"/>
          </w:tcPr>
          <w:p>
            <w:pPr>
              <w:pStyle w:val="TableContents"/>
              <w:spacing w:before="0" w:after="283"/>
              <w:rPr/>
            </w:pPr>
            <w:r>
              <w:rPr/>
              <w:t> </w:t>
            </w:r>
          </w:p>
        </w:tc>
      </w:tr>
      <w:tr>
        <w:trPr/>
        <w:tc>
          <w:tcPr>
            <w:tcW w:w="4160" w:type="dxa"/>
            <w:tcBorders/>
            <w:shd w:fill="auto" w:val="clear"/>
            <w:vAlign w:val="center"/>
          </w:tcPr>
          <w:p>
            <w:pPr>
              <w:pStyle w:val="TableContents"/>
              <w:spacing w:before="0" w:after="0"/>
              <w:ind w:left="225" w:right="0" w:hanging="225"/>
              <w:rPr/>
            </w:pPr>
            <w:r>
              <w:rPr/>
              <w:t> </w:t>
            </w:r>
          </w:p>
        </w:tc>
        <w:tc>
          <w:tcPr>
            <w:tcW w:w="363"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9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 </w:t>
            </w:r>
          </w:p>
        </w:tc>
        <w:tc>
          <w:tcPr>
            <w:tcW w:w="9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4160" w:type="dxa"/>
            <w:tcBorders/>
            <w:shd w:fill="auto" w:val="clear"/>
            <w:vAlign w:val="bottom"/>
          </w:tcPr>
          <w:p>
            <w:pPr>
              <w:pStyle w:val="TableContents"/>
              <w:spacing w:before="0" w:after="0"/>
              <w:ind w:left="225" w:right="0" w:hanging="225"/>
              <w:rPr/>
            </w:pPr>
            <w:r>
              <w:rPr/>
              <w:t> </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0"/>
              <w:ind w:left="450" w:right="0" w:hanging="225"/>
              <w:rPr/>
            </w:pPr>
            <w:r>
              <w:rPr/>
              <w:t>Net income per share, as reported:</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450" w:right="0" w:hanging="225"/>
              <w:rPr/>
            </w:pPr>
            <w:r>
              <w:rPr/>
              <w:t>Basic</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0.21</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0.23</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798" w:type="dxa"/>
            <w:tcBorders/>
            <w:shd w:fill="CCEEFF" w:val="clear"/>
            <w:vAlign w:val="bottom"/>
          </w:tcPr>
          <w:p>
            <w:pPr>
              <w:pStyle w:val="TableContents"/>
              <w:spacing w:before="0" w:after="283"/>
              <w:jc w:val="right"/>
              <w:rPr/>
            </w:pPr>
            <w:r>
              <w:rPr/>
              <w:t>0.28</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0.38</w:t>
            </w:r>
          </w:p>
        </w:tc>
        <w:tc>
          <w:tcPr>
            <w:tcW w:w="136" w:type="dxa"/>
            <w:tcBorders/>
            <w:shd w:fill="CCEE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0"/>
              <w:ind w:left="450" w:right="0" w:hanging="225"/>
              <w:rPr/>
            </w:pPr>
            <w:r>
              <w:rPr/>
              <w:t>Diluted</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0.21</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0.23</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798" w:type="dxa"/>
            <w:tcBorders/>
            <w:shd w:fill="auto" w:val="clear"/>
            <w:vAlign w:val="bottom"/>
          </w:tcPr>
          <w:p>
            <w:pPr>
              <w:pStyle w:val="TableContents"/>
              <w:spacing w:before="0" w:after="283"/>
              <w:jc w:val="right"/>
              <w:rPr/>
            </w:pPr>
            <w:r>
              <w:rPr/>
              <w:t>0.28</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0.38</w:t>
            </w:r>
          </w:p>
        </w:tc>
        <w:tc>
          <w:tcPr>
            <w:tcW w:w="136" w:type="dxa"/>
            <w:tcBorders/>
            <w:shd w:fill="auto" w:val="clear"/>
            <w:vAlign w:val="bottom"/>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450" w:right="0" w:hanging="225"/>
              <w:rPr/>
            </w:pPr>
            <w:r>
              <w:rPr/>
              <w:t>Net income per share, pro forma:</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79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0"/>
              <w:ind w:left="450" w:right="0" w:hanging="225"/>
              <w:rPr/>
            </w:pPr>
            <w:r>
              <w:rPr/>
              <w:t>Basic</w:t>
            </w:r>
          </w:p>
        </w:tc>
        <w:tc>
          <w:tcPr>
            <w:tcW w:w="363"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1" w:type="dxa"/>
            <w:tcBorders/>
            <w:shd w:fill="auto" w:val="clear"/>
            <w:vAlign w:val="bottom"/>
          </w:tcPr>
          <w:p>
            <w:pPr>
              <w:pStyle w:val="TableContents"/>
              <w:spacing w:before="0" w:after="283"/>
              <w:jc w:val="right"/>
              <w:rPr/>
            </w:pPr>
            <w:r>
              <w:rPr/>
              <w:t>0.21</w:t>
            </w:r>
          </w:p>
        </w:tc>
        <w:tc>
          <w:tcPr>
            <w:tcW w:w="1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833" w:type="dxa"/>
            <w:tcBorders/>
            <w:shd w:fill="auto" w:val="clear"/>
            <w:vAlign w:val="bottom"/>
          </w:tcPr>
          <w:p>
            <w:pPr>
              <w:pStyle w:val="TableContents"/>
              <w:spacing w:before="0" w:after="283"/>
              <w:jc w:val="right"/>
              <w:rPr/>
            </w:pPr>
            <w:r>
              <w:rPr/>
              <w:t>0.23</w:t>
            </w:r>
          </w:p>
        </w:tc>
        <w:tc>
          <w:tcPr>
            <w:tcW w:w="127"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798" w:type="dxa"/>
            <w:tcBorders/>
            <w:shd w:fill="auto" w:val="clear"/>
            <w:vAlign w:val="bottom"/>
          </w:tcPr>
          <w:p>
            <w:pPr>
              <w:pStyle w:val="TableContents"/>
              <w:spacing w:before="0" w:after="283"/>
              <w:jc w:val="right"/>
              <w:rPr/>
            </w:pPr>
            <w:r>
              <w:rPr/>
              <w:t>0.28</w:t>
            </w:r>
          </w:p>
        </w:tc>
        <w:tc>
          <w:tcPr>
            <w:tcW w:w="145"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0.38</w:t>
            </w:r>
          </w:p>
        </w:tc>
        <w:tc>
          <w:tcPr>
            <w:tcW w:w="136" w:type="dxa"/>
            <w:tcBorders/>
            <w:shd w:fill="auto" w:val="clear"/>
            <w:vAlign w:val="bottom"/>
          </w:tcPr>
          <w:p>
            <w:pPr>
              <w:pStyle w:val="TableContents"/>
              <w:spacing w:before="0" w:after="283"/>
              <w:rPr/>
            </w:pPr>
            <w:r>
              <w:rPr/>
              <w:t> </w:t>
            </w:r>
          </w:p>
        </w:tc>
      </w:tr>
      <w:tr>
        <w:trPr/>
        <w:tc>
          <w:tcPr>
            <w:tcW w:w="4160" w:type="dxa"/>
            <w:tcBorders/>
            <w:shd w:fill="CCEEFF" w:val="clear"/>
            <w:vAlign w:val="bottom"/>
          </w:tcPr>
          <w:p>
            <w:pPr>
              <w:pStyle w:val="TableContents"/>
              <w:spacing w:before="0" w:after="0"/>
              <w:ind w:left="450" w:right="0" w:hanging="225"/>
              <w:rPr/>
            </w:pPr>
            <w:r>
              <w:rPr/>
              <w:t>Diluted</w:t>
            </w:r>
          </w:p>
        </w:tc>
        <w:tc>
          <w:tcPr>
            <w:tcW w:w="3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1" w:type="dxa"/>
            <w:tcBorders/>
            <w:shd w:fill="CCEEFF" w:val="clear"/>
            <w:vAlign w:val="bottom"/>
          </w:tcPr>
          <w:p>
            <w:pPr>
              <w:pStyle w:val="TableContents"/>
              <w:spacing w:before="0" w:after="283"/>
              <w:jc w:val="right"/>
              <w:rPr/>
            </w:pPr>
            <w:r>
              <w:rPr/>
              <w:t>0.21</w:t>
            </w:r>
          </w:p>
        </w:tc>
        <w:tc>
          <w:tcPr>
            <w:tcW w:w="15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833" w:type="dxa"/>
            <w:tcBorders/>
            <w:shd w:fill="CCEEFF" w:val="clear"/>
            <w:vAlign w:val="bottom"/>
          </w:tcPr>
          <w:p>
            <w:pPr>
              <w:pStyle w:val="TableContents"/>
              <w:spacing w:before="0" w:after="283"/>
              <w:jc w:val="right"/>
              <w:rPr/>
            </w:pPr>
            <w:r>
              <w:rPr/>
              <w:t>0.23</w:t>
            </w:r>
          </w:p>
        </w:tc>
        <w:tc>
          <w:tcPr>
            <w:tcW w:w="127"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798" w:type="dxa"/>
            <w:tcBorders/>
            <w:shd w:fill="CCEEFF" w:val="clear"/>
            <w:vAlign w:val="bottom"/>
          </w:tcPr>
          <w:p>
            <w:pPr>
              <w:pStyle w:val="TableContents"/>
              <w:spacing w:before="0" w:after="283"/>
              <w:jc w:val="right"/>
              <w:rPr/>
            </w:pPr>
            <w:r>
              <w:rPr/>
              <w:t>0.28</w:t>
            </w:r>
          </w:p>
        </w:tc>
        <w:tc>
          <w:tcPr>
            <w:tcW w:w="145"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0.38</w:t>
            </w:r>
          </w:p>
        </w:tc>
        <w:tc>
          <w:tcPr>
            <w:tcW w:w="136"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For purposes of pro forma disclosures under SFAS No. 123, the estimated fair value of the options is assumed to be amortized to compensation expense over the options vesting period. The fair value of the options granted in 2004 has been estimated at the date of grant using the Black-Scholes option pricing model with the following assumptions: </w:t>
      </w:r>
    </w:p>
    <w:tbl>
      <w:tblPr>
        <w:tblW w:w="5000" w:type="pct"/>
        <w:jc w:val="center"/>
        <w:tblInd w:w="0" w:type="dxa"/>
        <w:tblCellMar>
          <w:top w:w="0" w:type="dxa"/>
          <w:left w:w="0" w:type="dxa"/>
          <w:bottom w:w="0" w:type="dxa"/>
          <w:right w:w="0" w:type="dxa"/>
        </w:tblCellMar>
      </w:tblPr>
      <w:tblGrid>
        <w:gridCol w:w="8642"/>
        <w:gridCol w:w="475"/>
        <w:gridCol w:w="170"/>
        <w:gridCol w:w="700"/>
        <w:gridCol w:w="218"/>
      </w:tblGrid>
      <w:tr>
        <w:trPr/>
        <w:tc>
          <w:tcPr>
            <w:tcW w:w="8642"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r>
      <w:tr>
        <w:trPr/>
        <w:tc>
          <w:tcPr>
            <w:tcW w:w="8642" w:type="dxa"/>
            <w:tcBorders/>
            <w:shd w:fill="CCEEFF" w:val="clear"/>
            <w:vAlign w:val="bottom"/>
          </w:tcPr>
          <w:p>
            <w:pPr>
              <w:pStyle w:val="TableContents"/>
              <w:spacing w:before="0" w:after="0"/>
              <w:ind w:left="225" w:right="0" w:hanging="225"/>
              <w:rPr/>
            </w:pPr>
            <w:r>
              <w:rPr/>
              <w:t>Risk-free interest rate</w:t>
            </w:r>
          </w:p>
        </w:tc>
        <w:tc>
          <w:tcPr>
            <w:tcW w:w="47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3.3</w:t>
            </w:r>
          </w:p>
        </w:tc>
        <w:tc>
          <w:tcPr>
            <w:tcW w:w="218" w:type="dxa"/>
            <w:tcBorders/>
            <w:shd w:fill="CCEEFF" w:val="clear"/>
            <w:vAlign w:val="bottom"/>
          </w:tcPr>
          <w:p>
            <w:pPr>
              <w:pStyle w:val="TableContents"/>
              <w:spacing w:before="0" w:after="283"/>
              <w:rPr/>
            </w:pPr>
            <w:r>
              <w:rPr/>
              <w:t>%</w:t>
            </w:r>
          </w:p>
        </w:tc>
      </w:tr>
      <w:tr>
        <w:trPr/>
        <w:tc>
          <w:tcPr>
            <w:tcW w:w="8642" w:type="dxa"/>
            <w:tcBorders/>
            <w:shd w:fill="auto" w:val="clear"/>
            <w:vAlign w:val="bottom"/>
          </w:tcPr>
          <w:p>
            <w:pPr>
              <w:pStyle w:val="TableContents"/>
              <w:spacing w:before="0" w:after="0"/>
              <w:ind w:left="225" w:right="0" w:hanging="225"/>
              <w:rPr/>
            </w:pPr>
            <w:r>
              <w:rPr/>
              <w:t>Expected volatility</w:t>
            </w:r>
          </w:p>
        </w:tc>
        <w:tc>
          <w:tcPr>
            <w:tcW w:w="47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00" w:type="dxa"/>
            <w:tcBorders/>
            <w:shd w:fill="auto" w:val="clear"/>
            <w:vAlign w:val="bottom"/>
          </w:tcPr>
          <w:p>
            <w:pPr>
              <w:pStyle w:val="TableContents"/>
              <w:spacing w:before="0" w:after="283"/>
              <w:jc w:val="right"/>
              <w:rPr/>
            </w:pPr>
            <w:r>
              <w:rPr/>
              <w:t>26.9</w:t>
            </w:r>
          </w:p>
        </w:tc>
        <w:tc>
          <w:tcPr>
            <w:tcW w:w="218" w:type="dxa"/>
            <w:tcBorders/>
            <w:shd w:fill="auto" w:val="clear"/>
            <w:vAlign w:val="bottom"/>
          </w:tcPr>
          <w:p>
            <w:pPr>
              <w:pStyle w:val="TableContents"/>
              <w:spacing w:before="0" w:after="283"/>
              <w:rPr/>
            </w:pPr>
            <w:r>
              <w:rPr/>
              <w:t>%</w:t>
            </w:r>
          </w:p>
        </w:tc>
      </w:tr>
      <w:tr>
        <w:trPr/>
        <w:tc>
          <w:tcPr>
            <w:tcW w:w="8642" w:type="dxa"/>
            <w:tcBorders/>
            <w:shd w:fill="CCEEFF" w:val="clear"/>
            <w:vAlign w:val="bottom"/>
          </w:tcPr>
          <w:p>
            <w:pPr>
              <w:pStyle w:val="TableContents"/>
              <w:spacing w:before="0" w:after="0"/>
              <w:ind w:left="225" w:right="0" w:hanging="225"/>
              <w:rPr/>
            </w:pPr>
            <w:r>
              <w:rPr/>
              <w:t>Dividend yield</w:t>
            </w:r>
          </w:p>
        </w:tc>
        <w:tc>
          <w:tcPr>
            <w:tcW w:w="47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00" w:type="dxa"/>
            <w:tcBorders/>
            <w:shd w:fill="CCEEFF" w:val="clear"/>
            <w:vAlign w:val="bottom"/>
          </w:tcPr>
          <w:p>
            <w:pPr>
              <w:pStyle w:val="TableContents"/>
              <w:spacing w:before="0" w:after="283"/>
              <w:jc w:val="right"/>
              <w:rPr/>
            </w:pPr>
            <w:r>
              <w:rPr/>
              <w:t>20</w:t>
            </w:r>
          </w:p>
        </w:tc>
        <w:tc>
          <w:tcPr>
            <w:tcW w:w="218" w:type="dxa"/>
            <w:tcBorders/>
            <w:shd w:fill="CCEEFF" w:val="clear"/>
            <w:vAlign w:val="bottom"/>
          </w:tcPr>
          <w:p>
            <w:pPr>
              <w:pStyle w:val="TableContents"/>
              <w:spacing w:before="0" w:after="283"/>
              <w:rPr/>
            </w:pPr>
            <w:r>
              <w:rPr/>
              <w:t>%</w:t>
            </w:r>
          </w:p>
        </w:tc>
      </w:tr>
      <w:tr>
        <w:trPr/>
        <w:tc>
          <w:tcPr>
            <w:tcW w:w="8642" w:type="dxa"/>
            <w:tcBorders/>
            <w:shd w:fill="auto" w:val="clear"/>
            <w:vAlign w:val="bottom"/>
          </w:tcPr>
          <w:p>
            <w:pPr>
              <w:pStyle w:val="TableContents"/>
              <w:spacing w:before="0" w:after="0"/>
              <w:ind w:left="225" w:right="0" w:hanging="225"/>
              <w:rPr/>
            </w:pPr>
            <w:r>
              <w:rPr/>
              <w:t>Expected life (years)</w:t>
            </w:r>
          </w:p>
        </w:tc>
        <w:tc>
          <w:tcPr>
            <w:tcW w:w="47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jc w:val="right"/>
              <w:rPr/>
            </w:pPr>
            <w:r>
              <w:rPr/>
              <w:t>5</w:t>
            </w:r>
          </w:p>
        </w:tc>
        <w:tc>
          <w:tcPr>
            <w:tcW w:w="218" w:type="dxa"/>
            <w:tcBorders/>
            <w:shd w:fill="auto" w:val="clear"/>
            <w:vAlign w:val="bottom"/>
          </w:tcPr>
          <w:p>
            <w:pPr>
              <w:pStyle w:val="TableContents"/>
              <w:spacing w:before="0" w:after="283"/>
              <w:rPr/>
            </w:pPr>
            <w:r>
              <w:rPr/>
              <w:t> </w:t>
            </w:r>
          </w:p>
        </w:tc>
      </w:tr>
      <w:tr>
        <w:trPr/>
        <w:tc>
          <w:tcPr>
            <w:tcW w:w="8642" w:type="dxa"/>
            <w:tcBorders/>
            <w:shd w:fill="CCEEFF" w:val="clear"/>
            <w:vAlign w:val="bottom"/>
          </w:tcPr>
          <w:p>
            <w:pPr>
              <w:pStyle w:val="TableContents"/>
              <w:spacing w:before="0" w:after="0"/>
              <w:ind w:left="225" w:right="0" w:hanging="225"/>
              <w:rPr/>
            </w:pPr>
            <w:r>
              <w:rPr/>
              <w:t>Weighted-average fair value of options granted</w:t>
            </w:r>
          </w:p>
        </w:tc>
        <w:tc>
          <w:tcPr>
            <w:tcW w:w="47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00" w:type="dxa"/>
            <w:tcBorders/>
            <w:shd w:fill="CCEEFF" w:val="clear"/>
            <w:vAlign w:val="bottom"/>
          </w:tcPr>
          <w:p>
            <w:pPr>
              <w:pStyle w:val="TableContents"/>
              <w:spacing w:before="0" w:after="283"/>
              <w:jc w:val="right"/>
              <w:rPr/>
            </w:pPr>
            <w:r>
              <w:rPr/>
              <w:t>3.01</w:t>
            </w:r>
          </w:p>
        </w:tc>
        <w:tc>
          <w:tcPr>
            <w:tcW w:w="218" w:type="dxa"/>
            <w:tcBorders/>
            <w:shd w:fill="CCEEFF" w:val="clear"/>
            <w:vAlign w:val="bottom"/>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Black-Scholes and Binary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Reclassifications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prior year amounts have been reclassified to conform to the current period presentation.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operate and track results in three reportable segments: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 </w:t>
      </w:r>
    </w:p>
    <w:tbl>
      <w:tblPr>
        <w:tblW w:w="5000" w:type="pct"/>
        <w:jc w:val="center"/>
        <w:tblInd w:w="0" w:type="dxa"/>
        <w:tblCellMar>
          <w:top w:w="0" w:type="dxa"/>
          <w:left w:w="0" w:type="dxa"/>
          <w:bottom w:w="0" w:type="dxa"/>
          <w:right w:w="0" w:type="dxa"/>
        </w:tblCellMar>
      </w:tblPr>
      <w:tblGrid>
        <w:gridCol w:w="2321"/>
        <w:gridCol w:w="220"/>
        <w:gridCol w:w="191"/>
        <w:gridCol w:w="933"/>
        <w:gridCol w:w="86"/>
        <w:gridCol w:w="220"/>
        <w:gridCol w:w="268"/>
        <w:gridCol w:w="1316"/>
        <w:gridCol w:w="86"/>
        <w:gridCol w:w="220"/>
        <w:gridCol w:w="186"/>
        <w:gridCol w:w="912"/>
        <w:gridCol w:w="115"/>
        <w:gridCol w:w="220"/>
        <w:gridCol w:w="228"/>
        <w:gridCol w:w="1224"/>
        <w:gridCol w:w="116"/>
        <w:gridCol w:w="220"/>
        <w:gridCol w:w="156"/>
        <w:gridCol w:w="868"/>
        <w:gridCol w:w="99"/>
      </w:tblGrid>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International</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avocados and</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jc w:val="center"/>
              <w:rPr>
                <w:b/>
              </w:rPr>
            </w:pPr>
            <w:r>
              <w:rPr>
                <w:b/>
              </w:rPr>
              <w:t>California</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perishable food</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Processed</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Inter-segment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7565" w:type="dxa"/>
            <w:gridSpan w:val="18"/>
            <w:tcBorders/>
            <w:shd w:fill="auto" w:val="clear"/>
            <w:vAlign w:val="bottom"/>
          </w:tcPr>
          <w:p>
            <w:pPr>
              <w:pStyle w:val="TableContents"/>
              <w:spacing w:before="0" w:after="283"/>
              <w:jc w:val="center"/>
              <w:rPr>
                <w:b/>
              </w:rPr>
            </w:pPr>
            <w:r>
              <w:rPr>
                <w:b/>
              </w:rPr>
              <w:t>(All amounts are presented in thousands)</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b/>
              </w:rPr>
            </w:pPr>
            <w:r>
              <w:rPr>
                <w:b/>
              </w:rPr>
              <w:t>Nine months ended July 31, 2005</w:t>
            </w:r>
          </w:p>
        </w:tc>
        <w:tc>
          <w:tcPr>
            <w:tcW w:w="2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Net sales</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94,306</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93,015</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25,645</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(16,390</w:t>
            </w:r>
          </w:p>
        </w:tc>
        <w:tc>
          <w:tcPr>
            <w:tcW w:w="116"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196,576</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Cost of sales</w:t>
            </w:r>
          </w:p>
        </w:tc>
        <w:tc>
          <w:tcPr>
            <w:tcW w:w="2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84,516</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88,631</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22,318</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pPr>
            <w:r>
              <w:rPr/>
              <w:t>(16,390</w:t>
            </w:r>
          </w:p>
        </w:tc>
        <w:tc>
          <w:tcPr>
            <w:tcW w:w="116"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179,075</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Gross margin</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9,790</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4,384</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3,327</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17,501</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Selling, general and administrative</w:t>
            </w:r>
          </w:p>
        </w:tc>
        <w:tc>
          <w:tcPr>
            <w:tcW w:w="2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5,610</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4,330</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3,705</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13,645</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Operating income (loss)</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4,180</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54</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(378</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3,856</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Other income, net</w:t>
            </w:r>
          </w:p>
        </w:tc>
        <w:tc>
          <w:tcPr>
            <w:tcW w:w="2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1,190</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737</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217</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2,144</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Income (loss) before provision for income taxes</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5,370</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791</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(161</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6,000</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Provision (benefit) for income taxes</w:t>
            </w:r>
          </w:p>
        </w:tc>
        <w:tc>
          <w:tcPr>
            <w:tcW w:w="2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1,934</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285</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12" w:type="dxa"/>
            <w:tcBorders/>
            <w:shd w:fill="CCEEFF" w:val="clear"/>
            <w:vAlign w:val="bottom"/>
          </w:tcPr>
          <w:p>
            <w:pPr>
              <w:pStyle w:val="TableContents"/>
              <w:spacing w:before="0" w:after="283"/>
              <w:jc w:val="right"/>
              <w:rPr/>
            </w:pPr>
            <w:r>
              <w:rPr/>
              <w:t>(58</w:t>
            </w:r>
          </w:p>
        </w:tc>
        <w:tc>
          <w:tcPr>
            <w:tcW w:w="115"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2,161</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Net income (loss)</w:t>
            </w:r>
          </w:p>
        </w:tc>
        <w:tc>
          <w:tcPr>
            <w:tcW w:w="2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3" w:type="dxa"/>
            <w:tcBorders/>
            <w:shd w:fill="auto" w:val="clear"/>
            <w:vAlign w:val="bottom"/>
          </w:tcPr>
          <w:p>
            <w:pPr>
              <w:pStyle w:val="TableContents"/>
              <w:spacing w:before="0" w:after="283"/>
              <w:jc w:val="right"/>
              <w:rPr/>
            </w:pPr>
            <w:r>
              <w:rPr/>
              <w:t>3,436</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506</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(103</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3,839</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321"/>
        <w:gridCol w:w="220"/>
        <w:gridCol w:w="170"/>
        <w:gridCol w:w="954"/>
        <w:gridCol w:w="86"/>
        <w:gridCol w:w="220"/>
        <w:gridCol w:w="268"/>
        <w:gridCol w:w="1316"/>
        <w:gridCol w:w="86"/>
        <w:gridCol w:w="220"/>
        <w:gridCol w:w="186"/>
        <w:gridCol w:w="912"/>
        <w:gridCol w:w="115"/>
        <w:gridCol w:w="220"/>
        <w:gridCol w:w="228"/>
        <w:gridCol w:w="1224"/>
        <w:gridCol w:w="116"/>
        <w:gridCol w:w="220"/>
        <w:gridCol w:w="156"/>
        <w:gridCol w:w="868"/>
        <w:gridCol w:w="99"/>
      </w:tblGrid>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International</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avocados and</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283"/>
              <w:jc w:val="center"/>
              <w:rPr>
                <w:b/>
              </w:rPr>
            </w:pPr>
            <w:r>
              <w:rPr>
                <w:b/>
              </w:rPr>
              <w:t>California</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perishable food</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Processed</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Inter-segment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shd w:fill="auto" w:val="clear"/>
            <w:vAlign w:val="bottom"/>
          </w:tcPr>
          <w:p>
            <w:pPr>
              <w:pStyle w:val="TableContents"/>
              <w:spacing w:before="0" w:after="283"/>
              <w:jc w:val="center"/>
              <w:rPr/>
            </w:pPr>
            <w:r>
              <w:rPr/>
              <w:t> </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7565" w:type="dxa"/>
            <w:gridSpan w:val="18"/>
            <w:tcBorders/>
            <w:shd w:fill="auto" w:val="clear"/>
            <w:vAlign w:val="bottom"/>
          </w:tcPr>
          <w:p>
            <w:pPr>
              <w:pStyle w:val="TableContents"/>
              <w:spacing w:before="0" w:after="283"/>
              <w:jc w:val="center"/>
              <w:rPr>
                <w:b/>
              </w:rPr>
            </w:pPr>
            <w:r>
              <w:rPr>
                <w:b/>
              </w:rPr>
              <w:t>(All amounts are presented in thousands)</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b/>
              </w:rPr>
            </w:pPr>
            <w:r>
              <w:rPr>
                <w:b/>
              </w:rPr>
              <w:t>Nine months ended July 31, 2004</w:t>
            </w:r>
          </w:p>
        </w:tc>
        <w:tc>
          <w:tcPr>
            <w:tcW w:w="22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Net sales</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54" w:type="dxa"/>
            <w:tcBorders/>
            <w:shd w:fill="auto" w:val="clear"/>
            <w:vAlign w:val="bottom"/>
          </w:tcPr>
          <w:p>
            <w:pPr>
              <w:pStyle w:val="TableContents"/>
              <w:spacing w:before="0" w:after="283"/>
              <w:jc w:val="right"/>
              <w:rPr/>
            </w:pPr>
            <w:r>
              <w:rPr/>
              <w:t>122,106</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74,429</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24,386</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(12,139</w:t>
            </w:r>
          </w:p>
        </w:tc>
        <w:tc>
          <w:tcPr>
            <w:tcW w:w="116"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208,782</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Cost of sales</w:t>
            </w:r>
          </w:p>
        </w:tc>
        <w:tc>
          <w:tcPr>
            <w:tcW w:w="22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109,848</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70,285</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21,395</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jc w:val="left"/>
              <w:rPr/>
            </w:pPr>
            <w:r>
              <w:rPr/>
              <w:t> </w:t>
            </w:r>
          </w:p>
        </w:tc>
        <w:tc>
          <w:tcPr>
            <w:tcW w:w="1224" w:type="dxa"/>
            <w:tcBorders/>
            <w:shd w:fill="CCEEFF" w:val="clear"/>
            <w:vAlign w:val="bottom"/>
          </w:tcPr>
          <w:p>
            <w:pPr>
              <w:pStyle w:val="TableContents"/>
              <w:spacing w:before="0" w:after="283"/>
              <w:jc w:val="right"/>
              <w:rPr/>
            </w:pPr>
            <w:r>
              <w:rPr/>
              <w:t>(12,139</w:t>
            </w:r>
          </w:p>
        </w:tc>
        <w:tc>
          <w:tcPr>
            <w:tcW w:w="116"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189,389</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Gross margin</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12,258</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4,144</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2,991</w:t>
            </w:r>
          </w:p>
        </w:tc>
        <w:tc>
          <w:tcPr>
            <w:tcW w:w="11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19,393</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Selling, general and administrative</w:t>
            </w:r>
          </w:p>
        </w:tc>
        <w:tc>
          <w:tcPr>
            <w:tcW w:w="22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5,173</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2,875</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3,456</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11,504</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Operating income (loss)</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7,085</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1,269</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(465</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7,889</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Other income, net</w:t>
            </w:r>
          </w:p>
        </w:tc>
        <w:tc>
          <w:tcPr>
            <w:tcW w:w="22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231</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71</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9</w:t>
            </w:r>
          </w:p>
        </w:tc>
        <w:tc>
          <w:tcPr>
            <w:tcW w:w="115"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311</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Income before provision for income taxes</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954" w:type="dxa"/>
            <w:tcBorders/>
            <w:shd w:fill="auto" w:val="clear"/>
            <w:vAlign w:val="bottom"/>
          </w:tcPr>
          <w:p>
            <w:pPr>
              <w:pStyle w:val="TableContents"/>
              <w:spacing w:before="0" w:after="283"/>
              <w:jc w:val="right"/>
              <w:rPr/>
            </w:pPr>
            <w:r>
              <w:rPr/>
              <w:t>7,316</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1,340</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(456</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8,200</w:t>
            </w:r>
          </w:p>
        </w:tc>
        <w:tc>
          <w:tcPr>
            <w:tcW w:w="99" w:type="dxa"/>
            <w:tcBorders/>
            <w:shd w:fill="auto" w:val="clear"/>
            <w:vAlign w:val="bottom"/>
          </w:tcPr>
          <w:p>
            <w:pPr>
              <w:pStyle w:val="TableContents"/>
              <w:spacing w:before="0" w:after="283"/>
              <w:rPr/>
            </w:pPr>
            <w:r>
              <w:rPr/>
              <w:t> </w:t>
            </w:r>
          </w:p>
        </w:tc>
      </w:tr>
      <w:tr>
        <w:trPr/>
        <w:tc>
          <w:tcPr>
            <w:tcW w:w="2321" w:type="dxa"/>
            <w:tcBorders/>
            <w:shd w:fill="CCEEFF" w:val="clear"/>
            <w:vAlign w:val="bottom"/>
          </w:tcPr>
          <w:p>
            <w:pPr>
              <w:pStyle w:val="TableContents"/>
              <w:spacing w:before="0" w:after="0"/>
              <w:ind w:left="225" w:right="0" w:hanging="225"/>
              <w:rPr/>
            </w:pPr>
            <w:r>
              <w:rPr/>
              <w:t>Provision for income taxes</w:t>
            </w:r>
          </w:p>
        </w:tc>
        <w:tc>
          <w:tcPr>
            <w:tcW w:w="22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54" w:type="dxa"/>
            <w:tcBorders/>
            <w:shd w:fill="CCEEFF" w:val="clear"/>
            <w:vAlign w:val="bottom"/>
          </w:tcPr>
          <w:p>
            <w:pPr>
              <w:pStyle w:val="TableContents"/>
              <w:spacing w:before="0" w:after="283"/>
              <w:jc w:val="right"/>
              <w:rPr/>
            </w:pPr>
            <w:r>
              <w:rPr/>
              <w:t>2,765</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507</w:t>
            </w:r>
          </w:p>
        </w:tc>
        <w:tc>
          <w:tcPr>
            <w:tcW w:w="8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jc w:val="left"/>
              <w:rPr/>
            </w:pPr>
            <w:r>
              <w:rPr/>
              <w:t> </w:t>
            </w:r>
          </w:p>
        </w:tc>
        <w:tc>
          <w:tcPr>
            <w:tcW w:w="912" w:type="dxa"/>
            <w:tcBorders/>
            <w:shd w:fill="CCEEFF" w:val="clear"/>
            <w:vAlign w:val="bottom"/>
          </w:tcPr>
          <w:p>
            <w:pPr>
              <w:pStyle w:val="TableContents"/>
              <w:spacing w:before="0" w:after="283"/>
              <w:jc w:val="right"/>
              <w:rPr/>
            </w:pPr>
            <w:r>
              <w:rPr/>
              <w:t>(172</w:t>
            </w:r>
          </w:p>
        </w:tc>
        <w:tc>
          <w:tcPr>
            <w:tcW w:w="115"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3,100</w:t>
            </w:r>
          </w:p>
        </w:tc>
        <w:tc>
          <w:tcPr>
            <w:tcW w:w="99" w:type="dxa"/>
            <w:tcBorders/>
            <w:shd w:fill="CCEEFF"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2321" w:type="dxa"/>
            <w:tcBorders/>
            <w:shd w:fill="auto" w:val="clear"/>
            <w:vAlign w:val="bottom"/>
          </w:tcPr>
          <w:p>
            <w:pPr>
              <w:pStyle w:val="TableContents"/>
              <w:spacing w:before="0" w:after="0"/>
              <w:ind w:left="225" w:right="0" w:hanging="225"/>
              <w:rPr/>
            </w:pPr>
            <w:r>
              <w:rPr/>
              <w:t>Net income</w:t>
            </w:r>
          </w:p>
        </w:tc>
        <w:tc>
          <w:tcPr>
            <w:tcW w:w="2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954" w:type="dxa"/>
            <w:tcBorders/>
            <w:shd w:fill="auto" w:val="clear"/>
            <w:vAlign w:val="bottom"/>
          </w:tcPr>
          <w:p>
            <w:pPr>
              <w:pStyle w:val="TableContents"/>
              <w:spacing w:before="0" w:after="283"/>
              <w:jc w:val="right"/>
              <w:rPr/>
            </w:pPr>
            <w:r>
              <w:rPr/>
              <w:t>4,551</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833</w:t>
            </w:r>
          </w:p>
        </w:tc>
        <w:tc>
          <w:tcPr>
            <w:tcW w:w="8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912" w:type="dxa"/>
            <w:tcBorders/>
            <w:shd w:fill="auto" w:val="clear"/>
            <w:vAlign w:val="bottom"/>
          </w:tcPr>
          <w:p>
            <w:pPr>
              <w:pStyle w:val="TableContents"/>
              <w:spacing w:before="0" w:after="283"/>
              <w:jc w:val="right"/>
              <w:rPr/>
            </w:pPr>
            <w:r>
              <w:rPr/>
              <w:t>(284</w:t>
            </w:r>
          </w:p>
        </w:tc>
        <w:tc>
          <w:tcPr>
            <w:tcW w:w="115" w:type="dxa"/>
            <w:tcBorders/>
            <w:shd w:fill="auto" w:val="clear"/>
            <w:vAlign w:val="bottom"/>
          </w:tcPr>
          <w:p>
            <w:pPr>
              <w:pStyle w:val="TableContents"/>
              <w:spacing w:before="0" w:after="283"/>
              <w:rPr/>
            </w:pPr>
            <w:r>
              <w:rPr/>
              <w:t>)</w:t>
            </w:r>
          </w:p>
        </w:tc>
        <w:tc>
          <w:tcPr>
            <w:tcW w:w="22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jc w:val="left"/>
              <w:rPr/>
            </w:pPr>
            <w:r>
              <w:rPr/>
              <w:t>$</w:t>
            </w:r>
          </w:p>
        </w:tc>
        <w:tc>
          <w:tcPr>
            <w:tcW w:w="1224"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868" w:type="dxa"/>
            <w:tcBorders/>
            <w:shd w:fill="auto" w:val="clear"/>
            <w:vAlign w:val="bottom"/>
          </w:tcPr>
          <w:p>
            <w:pPr>
              <w:pStyle w:val="TableContents"/>
              <w:spacing w:before="0" w:after="283"/>
              <w:jc w:val="right"/>
              <w:rPr/>
            </w:pPr>
            <w:r>
              <w:rPr/>
              <w:t>5,100</w:t>
            </w:r>
          </w:p>
        </w:tc>
        <w:tc>
          <w:tcPr>
            <w:tcW w:w="99" w:type="dxa"/>
            <w:tcBorders/>
            <w:shd w:fill="auto" w:val="clear"/>
            <w:vAlign w:val="bottom"/>
          </w:tcPr>
          <w:p>
            <w:pPr>
              <w:pStyle w:val="TableContents"/>
              <w:spacing w:before="0" w:after="283"/>
              <w:rPr/>
            </w:pPr>
            <w:r>
              <w:rPr/>
              <w:t> </w:t>
            </w:r>
          </w:p>
        </w:tc>
      </w:tr>
      <w:tr>
        <w:trPr/>
        <w:tc>
          <w:tcPr>
            <w:tcW w:w="2321" w:type="dxa"/>
            <w:tcBorders/>
            <w:shd w:fill="auto" w:val="clear"/>
            <w:vAlign w:val="center"/>
          </w:tcPr>
          <w:p>
            <w:pPr>
              <w:pStyle w:val="TableContents"/>
              <w:spacing w:before="0" w:after="0"/>
              <w:ind w:left="225" w:right="0" w:hanging="225"/>
              <w:rPr/>
            </w:pPr>
            <w:r>
              <w:rPr/>
              <w:t> </w:t>
            </w:r>
          </w:p>
        </w:tc>
        <w:tc>
          <w:tcPr>
            <w:tcW w:w="220" w:type="dxa"/>
            <w:tcBorders/>
            <w:shd w:fill="auto" w:val="clear"/>
            <w:vAlign w:val="center"/>
          </w:tcPr>
          <w:p>
            <w:pPr>
              <w:pStyle w:val="TableContents"/>
              <w:spacing w:before="0" w:after="283"/>
              <w:rPr/>
            </w:pPr>
            <w:r>
              <w:rPr/>
              <w:t> </w:t>
            </w:r>
          </w:p>
        </w:tc>
        <w:tc>
          <w:tcPr>
            <w:tcW w:w="11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5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50"/>
        <w:gridCol w:w="224"/>
        <w:gridCol w:w="191"/>
        <w:gridCol w:w="937"/>
        <w:gridCol w:w="86"/>
        <w:gridCol w:w="224"/>
        <w:gridCol w:w="268"/>
        <w:gridCol w:w="1320"/>
        <w:gridCol w:w="117"/>
        <w:gridCol w:w="224"/>
        <w:gridCol w:w="187"/>
        <w:gridCol w:w="916"/>
        <w:gridCol w:w="117"/>
        <w:gridCol w:w="223"/>
        <w:gridCol w:w="260"/>
        <w:gridCol w:w="1197"/>
        <w:gridCol w:w="117"/>
        <w:gridCol w:w="224"/>
        <w:gridCol w:w="156"/>
        <w:gridCol w:w="767"/>
        <w:gridCol w:w="100"/>
      </w:tblGrid>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International</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avocados and</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jc w:val="center"/>
              <w:rPr>
                <w:b/>
              </w:rPr>
            </w:pPr>
            <w:r>
              <w:rPr>
                <w:b/>
              </w:rPr>
              <w:t>California</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perishable food</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283"/>
              <w:jc w:val="center"/>
              <w:rPr>
                <w:b/>
              </w:rPr>
            </w:pPr>
            <w:r>
              <w:rPr>
                <w:b/>
              </w:rPr>
              <w:t>Processed</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57" w:type="dxa"/>
            <w:gridSpan w:val="2"/>
            <w:tcBorders/>
            <w:shd w:fill="auto" w:val="clear"/>
            <w:vAlign w:val="bottom"/>
          </w:tcPr>
          <w:p>
            <w:pPr>
              <w:pStyle w:val="TableContents"/>
              <w:spacing w:before="0" w:after="283"/>
              <w:jc w:val="center"/>
              <w:rPr>
                <w:b/>
              </w:rPr>
            </w:pPr>
            <w:r>
              <w:rPr>
                <w:b/>
              </w:rPr>
              <w:t>Inter-segment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4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531" w:type="dxa"/>
            <w:gridSpan w:val="18"/>
            <w:tcBorders/>
            <w:shd w:fill="auto" w:val="clear"/>
            <w:vAlign w:val="bottom"/>
          </w:tcPr>
          <w:p>
            <w:pPr>
              <w:pStyle w:val="TableContents"/>
              <w:spacing w:before="0" w:after="283"/>
              <w:jc w:val="center"/>
              <w:rPr>
                <w:b/>
              </w:rPr>
            </w:pPr>
            <w:r>
              <w:rPr>
                <w:b/>
              </w:rPr>
              <w:t>(All amounts are presented in thousands)</w:t>
            </w:r>
          </w:p>
        </w:tc>
        <w:tc>
          <w:tcPr>
            <w:tcW w:w="100"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b/>
              </w:rPr>
            </w:pPr>
            <w:r>
              <w:rPr>
                <w:b/>
              </w:rPr>
              <w:t>Three months ended July 31, 2005</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Net sales</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7" w:type="dxa"/>
            <w:tcBorders/>
            <w:shd w:fill="auto" w:val="clear"/>
            <w:vAlign w:val="bottom"/>
          </w:tcPr>
          <w:p>
            <w:pPr>
              <w:pStyle w:val="TableContents"/>
              <w:spacing w:before="0" w:after="283"/>
              <w:jc w:val="right"/>
              <w:rPr/>
            </w:pPr>
            <w:r>
              <w:rPr/>
              <w:t>60,104</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24,634</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10,188</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(6,227</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7" w:type="dxa"/>
            <w:tcBorders/>
            <w:shd w:fill="auto" w:val="clear"/>
            <w:vAlign w:val="bottom"/>
          </w:tcPr>
          <w:p>
            <w:pPr>
              <w:pStyle w:val="TableContents"/>
              <w:spacing w:before="0" w:after="283"/>
              <w:jc w:val="right"/>
              <w:rPr/>
            </w:pPr>
            <w:r>
              <w:rPr/>
              <w:t>88,699</w:t>
            </w:r>
          </w:p>
        </w:tc>
        <w:tc>
          <w:tcPr>
            <w:tcW w:w="100"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Cost of sales</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52,910</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23,923</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8,899</w:t>
            </w:r>
          </w:p>
        </w:tc>
        <w:tc>
          <w:tcPr>
            <w:tcW w:w="11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 </w:t>
            </w:r>
          </w:p>
        </w:tc>
        <w:tc>
          <w:tcPr>
            <w:tcW w:w="1197" w:type="dxa"/>
            <w:tcBorders/>
            <w:shd w:fill="CCEEFF" w:val="clear"/>
            <w:vAlign w:val="bottom"/>
          </w:tcPr>
          <w:p>
            <w:pPr>
              <w:pStyle w:val="TableContents"/>
              <w:spacing w:before="0" w:after="283"/>
              <w:jc w:val="right"/>
              <w:rPr/>
            </w:pPr>
            <w:r>
              <w:rPr/>
              <w:t>(6,227</w:t>
            </w:r>
          </w:p>
        </w:tc>
        <w:tc>
          <w:tcPr>
            <w:tcW w:w="117"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79,505</w:t>
            </w:r>
          </w:p>
        </w:tc>
        <w:tc>
          <w:tcPr>
            <w:tcW w:w="100"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Gross margin</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7,194</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711</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1,289</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9,194</w:t>
            </w:r>
          </w:p>
        </w:tc>
        <w:tc>
          <w:tcPr>
            <w:tcW w:w="100"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Selling, general and administrative</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2,073</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1,576</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1,175</w:t>
            </w:r>
          </w:p>
        </w:tc>
        <w:tc>
          <w:tcPr>
            <w:tcW w:w="11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4,825</w:t>
            </w:r>
          </w:p>
        </w:tc>
        <w:tc>
          <w:tcPr>
            <w:tcW w:w="100"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Operating income</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5,121</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320" w:type="dxa"/>
            <w:tcBorders/>
            <w:shd w:fill="auto" w:val="clear"/>
            <w:vAlign w:val="bottom"/>
          </w:tcPr>
          <w:p>
            <w:pPr>
              <w:pStyle w:val="TableContents"/>
              <w:spacing w:before="0" w:after="283"/>
              <w:jc w:val="right"/>
              <w:rPr/>
            </w:pPr>
            <w:r>
              <w:rPr/>
              <w:t>(865</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113</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4,369</w:t>
            </w:r>
          </w:p>
        </w:tc>
        <w:tc>
          <w:tcPr>
            <w:tcW w:w="100"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Other income, net</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115</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46</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916" w:type="dxa"/>
            <w:tcBorders/>
            <w:shd w:fill="CCEEFF" w:val="clear"/>
            <w:vAlign w:val="bottom"/>
          </w:tcPr>
          <w:p>
            <w:pPr>
              <w:pStyle w:val="TableContents"/>
              <w:spacing w:before="0" w:after="283"/>
              <w:jc w:val="right"/>
              <w:rPr/>
            </w:pPr>
            <w:r>
              <w:rPr/>
              <w:t>(8</w:t>
            </w:r>
          </w:p>
        </w:tc>
        <w:tc>
          <w:tcPr>
            <w:tcW w:w="117" w:type="dxa"/>
            <w:tcBorders/>
            <w:shd w:fill="CCEEFF" w:val="clear"/>
            <w:vAlign w:val="bottom"/>
          </w:tcPr>
          <w:p>
            <w:pPr>
              <w:pStyle w:val="TableContents"/>
              <w:spacing w:before="0" w:after="283"/>
              <w:rPr/>
            </w:pPr>
            <w:r>
              <w:rPr/>
              <w:t>)</w:t>
            </w:r>
          </w:p>
        </w:tc>
        <w:tc>
          <w:tcPr>
            <w:tcW w:w="22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153</w:t>
            </w:r>
          </w:p>
        </w:tc>
        <w:tc>
          <w:tcPr>
            <w:tcW w:w="100"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Income before provision for income taxes</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5,236</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320" w:type="dxa"/>
            <w:tcBorders/>
            <w:shd w:fill="auto" w:val="clear"/>
            <w:vAlign w:val="bottom"/>
          </w:tcPr>
          <w:p>
            <w:pPr>
              <w:pStyle w:val="TableContents"/>
              <w:spacing w:before="0" w:after="283"/>
              <w:jc w:val="right"/>
              <w:rPr/>
            </w:pPr>
            <w:r>
              <w:rPr/>
              <w:t>(819</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105</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4,522</w:t>
            </w:r>
          </w:p>
        </w:tc>
        <w:tc>
          <w:tcPr>
            <w:tcW w:w="100"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Provision for income taxes</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1,883</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320" w:type="dxa"/>
            <w:tcBorders/>
            <w:shd w:fill="CCEEFF" w:val="clear"/>
            <w:vAlign w:val="bottom"/>
          </w:tcPr>
          <w:p>
            <w:pPr>
              <w:pStyle w:val="TableContents"/>
              <w:spacing w:before="0" w:after="283"/>
              <w:jc w:val="right"/>
              <w:rPr/>
            </w:pPr>
            <w:r>
              <w:rPr/>
              <w:t>(322</w:t>
            </w:r>
          </w:p>
        </w:tc>
        <w:tc>
          <w:tcPr>
            <w:tcW w:w="117"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42</w:t>
            </w:r>
          </w:p>
        </w:tc>
        <w:tc>
          <w:tcPr>
            <w:tcW w:w="117"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1,603</w:t>
            </w:r>
          </w:p>
        </w:tc>
        <w:tc>
          <w:tcPr>
            <w:tcW w:w="100"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4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Net income</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7" w:type="dxa"/>
            <w:tcBorders/>
            <w:shd w:fill="auto" w:val="clear"/>
            <w:vAlign w:val="bottom"/>
          </w:tcPr>
          <w:p>
            <w:pPr>
              <w:pStyle w:val="TableContents"/>
              <w:spacing w:before="0" w:after="283"/>
              <w:jc w:val="right"/>
              <w:rPr/>
            </w:pPr>
            <w:r>
              <w:rPr/>
              <w:t>3,353</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(497</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916" w:type="dxa"/>
            <w:tcBorders/>
            <w:shd w:fill="auto" w:val="clear"/>
            <w:vAlign w:val="bottom"/>
          </w:tcPr>
          <w:p>
            <w:pPr>
              <w:pStyle w:val="TableContents"/>
              <w:spacing w:before="0" w:after="283"/>
              <w:jc w:val="right"/>
              <w:rPr/>
            </w:pPr>
            <w:r>
              <w:rPr/>
              <w:t>63</w:t>
            </w:r>
          </w:p>
        </w:tc>
        <w:tc>
          <w:tcPr>
            <w:tcW w:w="117"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7" w:type="dxa"/>
            <w:tcBorders/>
            <w:shd w:fill="auto" w:val="clear"/>
            <w:vAlign w:val="bottom"/>
          </w:tcPr>
          <w:p>
            <w:pPr>
              <w:pStyle w:val="TableContents"/>
              <w:spacing w:before="0" w:after="283"/>
              <w:jc w:val="right"/>
              <w:rPr/>
            </w:pPr>
            <w:r>
              <w:rPr/>
              <w:t>2,919</w:t>
            </w:r>
          </w:p>
        </w:tc>
        <w:tc>
          <w:tcPr>
            <w:tcW w:w="100" w:type="dxa"/>
            <w:tcBorders/>
            <w:shd w:fill="auto"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4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2350"/>
        <w:gridCol w:w="224"/>
        <w:gridCol w:w="191"/>
        <w:gridCol w:w="937"/>
        <w:gridCol w:w="86"/>
        <w:gridCol w:w="224"/>
        <w:gridCol w:w="268"/>
        <w:gridCol w:w="1320"/>
        <w:gridCol w:w="117"/>
        <w:gridCol w:w="224"/>
        <w:gridCol w:w="213"/>
        <w:gridCol w:w="889"/>
        <w:gridCol w:w="117"/>
        <w:gridCol w:w="224"/>
        <w:gridCol w:w="259"/>
        <w:gridCol w:w="1197"/>
        <w:gridCol w:w="117"/>
        <w:gridCol w:w="224"/>
        <w:gridCol w:w="156"/>
        <w:gridCol w:w="767"/>
        <w:gridCol w:w="101"/>
      </w:tblGrid>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International</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avocados and</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jc w:val="center"/>
              <w:rPr>
                <w:b/>
              </w:rPr>
            </w:pPr>
            <w:r>
              <w:rPr>
                <w:b/>
              </w:rPr>
              <w:t>California</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jc w:val="center"/>
              <w:rPr>
                <w:b/>
              </w:rPr>
            </w:pPr>
            <w:r>
              <w:rPr>
                <w:b/>
              </w:rPr>
              <w:t>perishable food</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b/>
              </w:rPr>
            </w:pPr>
            <w:r>
              <w:rPr>
                <w:b/>
              </w:rPr>
              <w:t>Processed</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jc w:val="center"/>
              <w:rPr>
                <w:b/>
              </w:rPr>
            </w:pPr>
            <w:r>
              <w:rPr>
                <w:b/>
              </w:rPr>
              <w:t>Inter-segment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4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7530" w:type="dxa"/>
            <w:gridSpan w:val="18"/>
            <w:tcBorders/>
            <w:shd w:fill="auto" w:val="clear"/>
            <w:vAlign w:val="bottom"/>
          </w:tcPr>
          <w:p>
            <w:pPr>
              <w:pStyle w:val="TableContents"/>
              <w:spacing w:before="0" w:after="283"/>
              <w:jc w:val="center"/>
              <w:rPr>
                <w:b/>
              </w:rPr>
            </w:pPr>
            <w:r>
              <w:rPr>
                <w:b/>
              </w:rPr>
              <w:t>(All amounts are presented in thousands)</w:t>
            </w:r>
          </w:p>
        </w:tc>
        <w:tc>
          <w:tcPr>
            <w:tcW w:w="101"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b/>
              </w:rPr>
            </w:pPr>
            <w:r>
              <w:rPr>
                <w:b/>
              </w:rPr>
              <w:t>Three months ended July 31, 2004</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Net sales</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7" w:type="dxa"/>
            <w:tcBorders/>
            <w:shd w:fill="auto" w:val="clear"/>
            <w:vAlign w:val="bottom"/>
          </w:tcPr>
          <w:p>
            <w:pPr>
              <w:pStyle w:val="TableContents"/>
              <w:spacing w:before="0" w:after="283"/>
              <w:jc w:val="right"/>
              <w:rPr/>
            </w:pPr>
            <w:r>
              <w:rPr/>
              <w:t>67,469</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11,154</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9,048</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(4,353</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7" w:type="dxa"/>
            <w:tcBorders/>
            <w:shd w:fill="auto" w:val="clear"/>
            <w:vAlign w:val="bottom"/>
          </w:tcPr>
          <w:p>
            <w:pPr>
              <w:pStyle w:val="TableContents"/>
              <w:spacing w:before="0" w:after="283"/>
              <w:jc w:val="right"/>
              <w:rPr/>
            </w:pPr>
            <w:r>
              <w:rPr/>
              <w:t>83,318</w:t>
            </w:r>
          </w:p>
        </w:tc>
        <w:tc>
          <w:tcPr>
            <w:tcW w:w="101"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Cost of sales</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59,693</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11,061</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8,361</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197" w:type="dxa"/>
            <w:tcBorders/>
            <w:shd w:fill="CCEEFF" w:val="clear"/>
            <w:vAlign w:val="bottom"/>
          </w:tcPr>
          <w:p>
            <w:pPr>
              <w:pStyle w:val="TableContents"/>
              <w:spacing w:before="0" w:after="283"/>
              <w:jc w:val="right"/>
              <w:rPr/>
            </w:pPr>
            <w:r>
              <w:rPr/>
              <w:t>(4,353</w:t>
            </w:r>
          </w:p>
        </w:tc>
        <w:tc>
          <w:tcPr>
            <w:tcW w:w="117"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74,762</w:t>
            </w:r>
          </w:p>
        </w:tc>
        <w:tc>
          <w:tcPr>
            <w:tcW w:w="101"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Gross margin</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7,776</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93</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687</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8,556</w:t>
            </w:r>
          </w:p>
        </w:tc>
        <w:tc>
          <w:tcPr>
            <w:tcW w:w="101"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Selling, general and administrative</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1,843</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857</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1,148</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3,848</w:t>
            </w:r>
          </w:p>
        </w:tc>
        <w:tc>
          <w:tcPr>
            <w:tcW w:w="101"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Operating income</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5,933</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320" w:type="dxa"/>
            <w:tcBorders/>
            <w:shd w:fill="auto" w:val="clear"/>
            <w:vAlign w:val="bottom"/>
          </w:tcPr>
          <w:p>
            <w:pPr>
              <w:pStyle w:val="TableContents"/>
              <w:spacing w:before="0" w:after="283"/>
              <w:jc w:val="right"/>
              <w:rPr/>
            </w:pPr>
            <w:r>
              <w:rPr/>
              <w:t>(764</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(461</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4,708</w:t>
            </w:r>
          </w:p>
        </w:tc>
        <w:tc>
          <w:tcPr>
            <w:tcW w:w="101"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Other income, net</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63</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24</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4</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91</w:t>
            </w:r>
          </w:p>
        </w:tc>
        <w:tc>
          <w:tcPr>
            <w:tcW w:w="101"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Income before provision for income taxes</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5,996</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 </w:t>
            </w:r>
          </w:p>
        </w:tc>
        <w:tc>
          <w:tcPr>
            <w:tcW w:w="1320" w:type="dxa"/>
            <w:tcBorders/>
            <w:shd w:fill="auto" w:val="clear"/>
            <w:vAlign w:val="bottom"/>
          </w:tcPr>
          <w:p>
            <w:pPr>
              <w:pStyle w:val="TableContents"/>
              <w:spacing w:before="0" w:after="283"/>
              <w:jc w:val="right"/>
              <w:rPr/>
            </w:pPr>
            <w:r>
              <w:rPr/>
              <w:t>(740</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(457</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jc w:val="right"/>
              <w:rPr/>
            </w:pPr>
            <w:r>
              <w:rPr/>
              <w:t>4,799</w:t>
            </w:r>
          </w:p>
        </w:tc>
        <w:tc>
          <w:tcPr>
            <w:tcW w:w="101" w:type="dxa"/>
            <w:tcBorders/>
            <w:shd w:fill="auto" w:val="clear"/>
            <w:vAlign w:val="bottom"/>
          </w:tcPr>
          <w:p>
            <w:pPr>
              <w:pStyle w:val="TableContents"/>
              <w:spacing w:before="0" w:after="283"/>
              <w:rPr/>
            </w:pPr>
            <w:r>
              <w:rPr/>
              <w:t> </w:t>
            </w:r>
          </w:p>
        </w:tc>
      </w:tr>
      <w:tr>
        <w:trPr/>
        <w:tc>
          <w:tcPr>
            <w:tcW w:w="2350" w:type="dxa"/>
            <w:tcBorders/>
            <w:shd w:fill="CCEEFF" w:val="clear"/>
            <w:vAlign w:val="bottom"/>
          </w:tcPr>
          <w:p>
            <w:pPr>
              <w:pStyle w:val="TableContents"/>
              <w:spacing w:before="0" w:after="0"/>
              <w:ind w:left="225" w:right="0" w:hanging="225"/>
              <w:rPr/>
            </w:pPr>
            <w:r>
              <w:rPr/>
              <w:t>Provision for income taxes</w:t>
            </w:r>
          </w:p>
        </w:tc>
        <w:tc>
          <w:tcPr>
            <w:tcW w:w="224"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2,236</w:t>
            </w:r>
          </w:p>
        </w:tc>
        <w:tc>
          <w:tcPr>
            <w:tcW w:w="8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320" w:type="dxa"/>
            <w:tcBorders/>
            <w:shd w:fill="CCEEFF" w:val="clear"/>
            <w:vAlign w:val="bottom"/>
          </w:tcPr>
          <w:p>
            <w:pPr>
              <w:pStyle w:val="TableContents"/>
              <w:spacing w:before="0" w:after="283"/>
              <w:jc w:val="right"/>
              <w:rPr/>
            </w:pPr>
            <w:r>
              <w:rPr/>
              <w:t>(325</w:t>
            </w:r>
          </w:p>
        </w:tc>
        <w:tc>
          <w:tcPr>
            <w:tcW w:w="117"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(172</w:t>
            </w:r>
          </w:p>
        </w:tc>
        <w:tc>
          <w:tcPr>
            <w:tcW w:w="117" w:type="dxa"/>
            <w:tcBorders/>
            <w:shd w:fill="CCEEFF" w:val="clear"/>
            <w:vAlign w:val="bottom"/>
          </w:tcPr>
          <w:p>
            <w:pPr>
              <w:pStyle w:val="TableContents"/>
              <w:spacing w:before="0" w:after="283"/>
              <w:rPr/>
            </w:pPr>
            <w:r>
              <w:rPr/>
              <w:t>)</w:t>
            </w:r>
          </w:p>
        </w:tc>
        <w:tc>
          <w:tcPr>
            <w:tcW w:w="224"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7"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1,739</w:t>
            </w:r>
          </w:p>
        </w:tc>
        <w:tc>
          <w:tcPr>
            <w:tcW w:w="101" w:type="dxa"/>
            <w:tcBorders/>
            <w:shd w:fill="CCEEFF"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r>
        <w:trPr/>
        <w:tc>
          <w:tcPr>
            <w:tcW w:w="2350" w:type="dxa"/>
            <w:tcBorders/>
            <w:shd w:fill="auto" w:val="clear"/>
            <w:vAlign w:val="bottom"/>
          </w:tcPr>
          <w:p>
            <w:pPr>
              <w:pStyle w:val="TableContents"/>
              <w:spacing w:before="0" w:after="0"/>
              <w:ind w:left="225" w:right="0" w:hanging="225"/>
              <w:rPr/>
            </w:pPr>
            <w:r>
              <w:rPr/>
              <w:t>Net income</w:t>
            </w:r>
          </w:p>
        </w:tc>
        <w:tc>
          <w:tcPr>
            <w:tcW w:w="22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7" w:type="dxa"/>
            <w:tcBorders/>
            <w:shd w:fill="auto" w:val="clear"/>
            <w:vAlign w:val="bottom"/>
          </w:tcPr>
          <w:p>
            <w:pPr>
              <w:pStyle w:val="TableContents"/>
              <w:spacing w:before="0" w:after="283"/>
              <w:jc w:val="right"/>
              <w:rPr/>
            </w:pPr>
            <w:r>
              <w:rPr/>
              <w:t>3,760</w:t>
            </w:r>
          </w:p>
        </w:tc>
        <w:tc>
          <w:tcPr>
            <w:tcW w:w="8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(415</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(285</w:t>
            </w:r>
          </w:p>
        </w:tc>
        <w:tc>
          <w:tcPr>
            <w:tcW w:w="117" w:type="dxa"/>
            <w:tcBorders/>
            <w:shd w:fill="auto" w:val="clear"/>
            <w:vAlign w:val="bottom"/>
          </w:tcPr>
          <w:p>
            <w:pPr>
              <w:pStyle w:val="TableContents"/>
              <w:spacing w:before="0" w:after="283"/>
              <w:rPr/>
            </w:pPr>
            <w:r>
              <w:rPr/>
              <w:t>)</w:t>
            </w:r>
          </w:p>
        </w:tc>
        <w:tc>
          <w:tcPr>
            <w:tcW w:w="224"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7"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7" w:type="dxa"/>
            <w:tcBorders/>
            <w:shd w:fill="auto" w:val="clear"/>
            <w:vAlign w:val="bottom"/>
          </w:tcPr>
          <w:p>
            <w:pPr>
              <w:pStyle w:val="TableContents"/>
              <w:spacing w:before="0" w:after="283"/>
              <w:jc w:val="right"/>
              <w:rPr/>
            </w:pPr>
            <w:r>
              <w:rPr/>
              <w:t>3,060</w:t>
            </w:r>
          </w:p>
        </w:tc>
        <w:tc>
          <w:tcPr>
            <w:tcW w:w="101" w:type="dxa"/>
            <w:tcBorders/>
            <w:shd w:fill="auto" w:val="clear"/>
            <w:vAlign w:val="bottom"/>
          </w:tcPr>
          <w:p>
            <w:pPr>
              <w:pStyle w:val="TableContents"/>
              <w:spacing w:before="0" w:after="283"/>
              <w:rPr/>
            </w:pPr>
            <w:r>
              <w:rPr/>
              <w:t> </w:t>
            </w:r>
          </w:p>
        </w:tc>
      </w:tr>
      <w:tr>
        <w:trPr/>
        <w:tc>
          <w:tcPr>
            <w:tcW w:w="2350" w:type="dxa"/>
            <w:tcBorders/>
            <w:shd w:fill="auto" w:val="clear"/>
            <w:vAlign w:val="center"/>
          </w:tcPr>
          <w:p>
            <w:pPr>
              <w:pStyle w:val="TableContents"/>
              <w:spacing w:before="0" w:after="0"/>
              <w:ind w:left="225" w:right="0" w:hanging="225"/>
              <w:rPr/>
            </w:pPr>
            <w:r>
              <w:rPr/>
              <w:t> </w:t>
            </w:r>
          </w:p>
        </w:tc>
        <w:tc>
          <w:tcPr>
            <w:tcW w:w="224" w:type="dxa"/>
            <w:tcBorders/>
            <w:shd w:fill="auto" w:val="clear"/>
            <w:vAlign w:val="center"/>
          </w:tcPr>
          <w:p>
            <w:pPr>
              <w:pStyle w:val="TableContents"/>
              <w:spacing w:before="0" w:after="283"/>
              <w:rPr/>
            </w:pPr>
            <w:r>
              <w:rPr/>
              <w:t> </w:t>
            </w:r>
          </w:p>
        </w:tc>
        <w:tc>
          <w:tcPr>
            <w:tcW w:w="11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5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14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4"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11180" w:type="dxa"/>
        <w:jc w:val="center"/>
        <w:tblInd w:w="0" w:type="dxa"/>
        <w:tblCellMar>
          <w:top w:w="0" w:type="dxa"/>
          <w:left w:w="0" w:type="dxa"/>
          <w:bottom w:w="0" w:type="dxa"/>
          <w:right w:w="0" w:type="dxa"/>
        </w:tblCellMar>
      </w:tblPr>
      <w:tblGrid>
        <w:gridCol w:w="1100"/>
        <w:gridCol w:w="60"/>
        <w:gridCol w:w="180"/>
        <w:gridCol w:w="875"/>
        <w:gridCol w:w="95"/>
        <w:gridCol w:w="60"/>
        <w:gridCol w:w="238"/>
        <w:gridCol w:w="1162"/>
        <w:gridCol w:w="95"/>
        <w:gridCol w:w="60"/>
        <w:gridCol w:w="175"/>
        <w:gridCol w:w="850"/>
        <w:gridCol w:w="95"/>
        <w:gridCol w:w="60"/>
        <w:gridCol w:w="140"/>
        <w:gridCol w:w="800"/>
        <w:gridCol w:w="95"/>
        <w:gridCol w:w="60"/>
        <w:gridCol w:w="157"/>
        <w:gridCol w:w="898"/>
        <w:gridCol w:w="95"/>
        <w:gridCol w:w="60"/>
        <w:gridCol w:w="238"/>
        <w:gridCol w:w="1162"/>
        <w:gridCol w:w="95"/>
        <w:gridCol w:w="60"/>
        <w:gridCol w:w="175"/>
        <w:gridCol w:w="850"/>
        <w:gridCol w:w="95"/>
        <w:gridCol w:w="60"/>
        <w:gridCol w:w="140"/>
        <w:gridCol w:w="80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 2004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84,775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84,775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112,666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112,666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56,072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56,072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43,096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43,096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5,040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5,040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4,999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4,999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11,580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11,580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11,299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11,299</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20,527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20,527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21,200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21,200</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4,856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4,856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3,156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3,156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fruit and product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84,775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72,692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25,383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182,850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112,666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59,394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24,356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196,416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6,392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12,030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135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18,557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8,468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8,924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17,680</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91,167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84,722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25,518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201,407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121,134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68,318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24,644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214,096</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(81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(4,749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(4,831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98" w:type="dxa"/>
            <w:tcBorders/>
            <w:shd w:fill="CCEEFF" w:val="clear"/>
            <w:vAlign w:val="bottom"/>
          </w:tcPr>
          <w:p>
            <w:pPr>
              <w:pStyle w:val="TableContents"/>
              <w:spacing w:before="0" w:after="283"/>
              <w:jc w:val="right"/>
              <w:rPr/>
            </w:pPr>
            <w:r>
              <w:rPr/>
              <w:t>(76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(48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(5,190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(5,314</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net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91,086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84,721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20,769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196,576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jc w:val="right"/>
              <w:rPr/>
            </w:pPr>
            <w:r>
              <w:rPr/>
              <w:t>121,058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68,270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19,454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208,782</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3,220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8,294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4,876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16,390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1,048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6,159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4,932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12,139</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94,306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93,015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25,645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212,966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98" w:type="dxa"/>
            <w:tcBorders/>
            <w:shd w:fill="auto" w:val="clear"/>
            <w:vAlign w:val="bottom"/>
          </w:tcPr>
          <w:p>
            <w:pPr>
              <w:pStyle w:val="TableContents"/>
              <w:spacing w:before="0" w:after="283"/>
              <w:jc w:val="right"/>
              <w:rPr/>
            </w:pPr>
            <w:r>
              <w:rPr/>
              <w:t>122,106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74,429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24,386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220,921</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(16,390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(12,139</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196,576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9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208,782</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89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tbl>
      <w:tblPr>
        <w:tblW w:w="10940" w:type="dxa"/>
        <w:jc w:val="center"/>
        <w:tblInd w:w="0" w:type="dxa"/>
        <w:tblCellMar>
          <w:top w:w="0" w:type="dxa"/>
          <w:left w:w="0" w:type="dxa"/>
          <w:bottom w:w="0" w:type="dxa"/>
          <w:right w:w="0" w:type="dxa"/>
        </w:tblCellMar>
      </w:tblPr>
      <w:tblGrid>
        <w:gridCol w:w="1100"/>
        <w:gridCol w:w="60"/>
        <w:gridCol w:w="180"/>
        <w:gridCol w:w="875"/>
        <w:gridCol w:w="95"/>
        <w:gridCol w:w="60"/>
        <w:gridCol w:w="238"/>
        <w:gridCol w:w="1162"/>
        <w:gridCol w:w="95"/>
        <w:gridCol w:w="60"/>
        <w:gridCol w:w="175"/>
        <w:gridCol w:w="850"/>
        <w:gridCol w:w="95"/>
        <w:gridCol w:w="60"/>
        <w:gridCol w:w="140"/>
        <w:gridCol w:w="680"/>
        <w:gridCol w:w="95"/>
        <w:gridCol w:w="60"/>
        <w:gridCol w:w="180"/>
        <w:gridCol w:w="875"/>
        <w:gridCol w:w="95"/>
        <w:gridCol w:w="60"/>
        <w:gridCol w:w="238"/>
        <w:gridCol w:w="1162"/>
        <w:gridCol w:w="95"/>
        <w:gridCol w:w="60"/>
        <w:gridCol w:w="185"/>
        <w:gridCol w:w="840"/>
        <w:gridCol w:w="95"/>
        <w:gridCol w:w="60"/>
        <w:gridCol w:w="140"/>
        <w:gridCol w:w="680"/>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6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65"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 2004</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International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avocados and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perishable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shd w:fill="auto" w:val="clear"/>
            <w:vAlign w:val="bottom"/>
          </w:tcPr>
          <w:p>
            <w:pPr>
              <w:pStyle w:val="TableContents"/>
              <w:spacing w:before="0" w:after="283"/>
              <w:jc w:val="center"/>
              <w:rPr>
                <w:b/>
              </w:rPr>
            </w:pPr>
            <w:r>
              <w:rPr>
                <w:b/>
              </w:rPr>
              <w:t>food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54,700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54,700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61,630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61,630</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14,036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14,036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3,906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3,906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1,617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1,617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1,697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1,697</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3,096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3,088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3,088</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7,773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7,773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7,304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7,304</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2,116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2,116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1,174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1,174</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fruit and product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54,700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18,749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9,889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83,338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61,630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8,691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8,478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78,799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3,771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3,115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117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7,003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5,111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1,141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116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6,368</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58,471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21,864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10,006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90,341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66,741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9,832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8,594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85,167</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(40</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(1,601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(1,642</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(14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840" w:type="dxa"/>
            <w:tcBorders/>
            <w:shd w:fill="CCEEFF" w:val="clear"/>
            <w:vAlign w:val="bottom"/>
          </w:tcPr>
          <w:p>
            <w:pPr>
              <w:pStyle w:val="TableContents"/>
              <w:spacing w:before="0" w:after="283"/>
              <w:jc w:val="right"/>
              <w:rPr/>
            </w:pPr>
            <w:r>
              <w:rPr/>
              <w:t>(1,834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(1,849</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net sales to third-parties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58,431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21,863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8,405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88,699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66,727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9,831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6,760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83,318</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1,673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2,771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1,783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6,227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742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1,323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2,288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4,353</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60,104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24,634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0" w:type="dxa"/>
            <w:tcBorders/>
            <w:shd w:fill="auto" w:val="clear"/>
            <w:vAlign w:val="bottom"/>
          </w:tcPr>
          <w:p>
            <w:pPr>
              <w:pStyle w:val="TableContents"/>
              <w:spacing w:before="0" w:after="283"/>
              <w:jc w:val="right"/>
              <w:rPr/>
            </w:pPr>
            <w:r>
              <w:rPr/>
              <w:t>10,188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94,926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67,469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11,154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w:t>
            </w:r>
          </w:p>
        </w:tc>
        <w:tc>
          <w:tcPr>
            <w:tcW w:w="840" w:type="dxa"/>
            <w:tcBorders/>
            <w:shd w:fill="auto" w:val="clear"/>
            <w:vAlign w:val="bottom"/>
          </w:tcPr>
          <w:p>
            <w:pPr>
              <w:pStyle w:val="TableContents"/>
              <w:spacing w:before="0" w:after="283"/>
              <w:jc w:val="right"/>
              <w:rPr/>
            </w:pPr>
            <w:r>
              <w:rPr/>
              <w:t>9,048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87,671</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(6,227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(4,353</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88,699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83,318</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851"/>
        <w:gridCol w:w="453"/>
        <w:gridCol w:w="166"/>
        <w:gridCol w:w="822"/>
        <w:gridCol w:w="119"/>
        <w:gridCol w:w="453"/>
        <w:gridCol w:w="205"/>
        <w:gridCol w:w="1012"/>
        <w:gridCol w:w="124"/>
      </w:tblGrid>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shd w:fill="auto" w:val="clear"/>
            <w:vAlign w:val="bottom"/>
          </w:tcPr>
          <w:p>
            <w:pPr>
              <w:pStyle w:val="TableContents"/>
              <w:spacing w:before="0" w:after="283"/>
              <w:jc w:val="center"/>
              <w:rPr>
                <w:b/>
              </w:rPr>
            </w:pPr>
            <w:r>
              <w:rPr>
                <w:b/>
              </w:rPr>
              <w:t>July 31,</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jc w:val="center"/>
              <w:rPr>
                <w:b/>
              </w:rPr>
            </w:pPr>
            <w:r>
              <w:rPr>
                <w:b/>
              </w:rPr>
              <w:t>October 31,</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9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Fresh fruit</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9,134</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1012" w:type="dxa"/>
            <w:tcBorders/>
            <w:shd w:fill="CCEEFF" w:val="clear"/>
            <w:vAlign w:val="bottom"/>
          </w:tcPr>
          <w:p>
            <w:pPr>
              <w:pStyle w:val="TableContents"/>
              <w:spacing w:before="0" w:after="283"/>
              <w:jc w:val="right"/>
              <w:rPr/>
            </w:pPr>
            <w:r>
              <w:rPr/>
              <w:t>3,424</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Packing supplies and ingredients</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2,119</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2,081</w:t>
            </w:r>
          </w:p>
        </w:tc>
        <w:tc>
          <w:tcPr>
            <w:tcW w:w="124" w:type="dxa"/>
            <w:tcBorders/>
            <w:shd w:fill="auto" w:val="clear"/>
            <w:vAlign w:val="bottom"/>
          </w:tcPr>
          <w:p>
            <w:pPr>
              <w:pStyle w:val="TableContents"/>
              <w:spacing w:before="0" w:after="283"/>
              <w:rPr/>
            </w:pPr>
            <w:r>
              <w:rPr/>
              <w:t> </w:t>
            </w:r>
          </w:p>
        </w:tc>
      </w:tr>
      <w:tr>
        <w:trPr/>
        <w:tc>
          <w:tcPr>
            <w:tcW w:w="6851" w:type="dxa"/>
            <w:tcBorders/>
            <w:shd w:fill="CCEEFF" w:val="clear"/>
            <w:vAlign w:val="bottom"/>
          </w:tcPr>
          <w:p>
            <w:pPr>
              <w:pStyle w:val="TableContents"/>
              <w:spacing w:before="0" w:after="0"/>
              <w:ind w:left="225" w:right="0" w:hanging="225"/>
              <w:rPr/>
            </w:pPr>
            <w:r>
              <w:rPr/>
              <w:t>Finished processed foods</w:t>
            </w:r>
          </w:p>
        </w:tc>
        <w:tc>
          <w:tcPr>
            <w:tcW w:w="45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4,240</w:t>
            </w:r>
          </w:p>
        </w:tc>
        <w:tc>
          <w:tcPr>
            <w:tcW w:w="119"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5,870</w:t>
            </w:r>
          </w:p>
        </w:tc>
        <w:tc>
          <w:tcPr>
            <w:tcW w:w="124" w:type="dxa"/>
            <w:tcBorders/>
            <w:shd w:fill="CCEEFF"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6851" w:type="dxa"/>
            <w:tcBorders/>
            <w:shd w:fill="auto" w:val="clear"/>
            <w:vAlign w:val="bottom"/>
          </w:tcPr>
          <w:p>
            <w:pPr>
              <w:pStyle w:val="TableContents"/>
              <w:spacing w:before="0" w:after="0"/>
              <w:ind w:left="225" w:right="0" w:hanging="225"/>
              <w:rPr/>
            </w:pPr>
            <w:r>
              <w:rPr/>
              <w:t> </w:t>
            </w:r>
          </w:p>
        </w:tc>
        <w:tc>
          <w:tcPr>
            <w:tcW w:w="45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15,493</w:t>
            </w:r>
          </w:p>
        </w:tc>
        <w:tc>
          <w:tcPr>
            <w:tcW w:w="119"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1012" w:type="dxa"/>
            <w:tcBorders/>
            <w:shd w:fill="auto" w:val="clear"/>
            <w:vAlign w:val="bottom"/>
          </w:tcPr>
          <w:p>
            <w:pPr>
              <w:pStyle w:val="TableContents"/>
              <w:spacing w:before="0" w:after="283"/>
              <w:jc w:val="right"/>
              <w:rPr/>
            </w:pPr>
            <w:r>
              <w:rPr/>
              <w:t>11,375</w:t>
            </w:r>
          </w:p>
        </w:tc>
        <w:tc>
          <w:tcPr>
            <w:tcW w:w="124" w:type="dxa"/>
            <w:tcBorders/>
            <w:shd w:fill="auto" w:val="clear"/>
            <w:vAlign w:val="bottom"/>
          </w:tcPr>
          <w:p>
            <w:pPr>
              <w:pStyle w:val="TableContents"/>
              <w:spacing w:before="0" w:after="283"/>
              <w:rPr/>
            </w:pPr>
            <w:r>
              <w:rPr/>
              <w:t> </w:t>
            </w:r>
          </w:p>
        </w:tc>
      </w:tr>
      <w:tr>
        <w:trPr/>
        <w:tc>
          <w:tcPr>
            <w:tcW w:w="6851" w:type="dxa"/>
            <w:tcBorders/>
            <w:shd w:fill="auto" w:val="clear"/>
            <w:vAlign w:val="center"/>
          </w:tcPr>
          <w:p>
            <w:pPr>
              <w:pStyle w:val="TableContents"/>
              <w:spacing w:before="0" w:after="0"/>
              <w:ind w:left="225" w:right="0" w:hanging="225"/>
              <w:rPr/>
            </w:pPr>
            <w:r>
              <w:rPr/>
              <w:t> </w:t>
            </w:r>
          </w:p>
        </w:tc>
        <w:tc>
          <w:tcPr>
            <w:tcW w:w="453" w:type="dxa"/>
            <w:tcBorders/>
            <w:shd w:fill="auto" w:val="clear"/>
            <w:vAlign w:val="center"/>
          </w:tcPr>
          <w:p>
            <w:pPr>
              <w:pStyle w:val="TableContents"/>
              <w:spacing w:before="0" w:after="283"/>
              <w:rPr/>
            </w:pPr>
            <w:r>
              <w:rPr/>
              <w:t> </w:t>
            </w:r>
          </w:p>
        </w:tc>
        <w:tc>
          <w:tcPr>
            <w:tcW w:w="9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453" w:type="dxa"/>
            <w:tcBorders/>
            <w:shd w:fill="auto" w:val="clear"/>
            <w:vAlign w:val="center"/>
          </w:tcPr>
          <w:p>
            <w:pPr>
              <w:pStyle w:val="TableContents"/>
              <w:spacing w:before="0" w:after="283"/>
              <w:rPr/>
            </w:pPr>
            <w:r>
              <w:rPr/>
              <w:t> </w:t>
            </w:r>
          </w:p>
        </w:tc>
        <w:tc>
          <w:tcPr>
            <w:tcW w:w="12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and nine month periods ended July 31, 2005 and 2004, we were not required to, and did not, record any provisions to reduce our inventories to the lower of cost or market.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$5,040,000 and $4,999,000 for the nine months ended July 31, 2005 and 2004, resulting in gross margins of approximately $424,000 and $416,000. Sales of papayas procured from the related entity amounted to approximately $1,617,000, and $1,662,000 for the three months ended July 31, 2005 and 2004, resulting in gross margins of approximately $175,000 and $241,000. Included in accrued liabilities are approximately $10,000 and $113,000 at July 31, 2005 and October 31, 2004 due to this entity.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July 31, 2005 and 2004, the aggregate amount of avocados procured from entities owned or controlled by members of our Board of Directors was $2.3 and $2.3 million. During the nine months ended July 31, 2005 and 2004, the aggregate amount of avocados procured from entities owned or controlled by members of our Board of Directors was $3.1 and $4.2 million.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Included in other assets in the accompanying consolidated financial statements are the following intangible assets: customer-related intangibles of $590,000 (accumulated amortization of $177,000 at July 31, 2005), brand name intangibles of $275,000 and other identified intangibles totaling $2,000 (accumulated amortization of $1,700 at July 31, 2005). The customer-related intangibles and other identified intangibles are being amortized over five and two years. The intangible asset related to the brand name currently has an indefinite remaining useful life and, as a result, is not currently subject to amortization. We anticipate recording amortization expense of approximately $30,000 for the remainder of fiscal 2005 and approximately $118,000 per annum for fiscal 2006 through fiscal 2008, with the remaining amortization expense of approximately $29,000 recorded in fiscal 2009.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Other events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previously reported,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July 31, 2005. We are also involved in litigation arising in the ordinary course of our business that we do not believe will have a material adverse impact on our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Corporate Headquarters Building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$0.3 million.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Useful lives of property, plant and equipment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July 31,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 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 15 years. The change in estimated useful lives increased our operating income by approximately $0.2 million during the three months ended July 31, 2005 when compared to the old useful lives.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7. Processed product segment restructuring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the first nine months of fiscal 2005, we incurred costs related to this restructuring approximating $437,000, which are recorded in our income statement as both cost of sales ($298,000) and selling, general and administrative expenses ($139,000). All the above amounts have been paid and we do not expect any additional operating costs related to this restructuring.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8. Investment in Limoneira Company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br/>
        <w:t>NOTES TO CONSOLIDATED CONDENSED FINANCIAL STATEMENTS (UNAUDITED)</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recognize only dividends received from Limoneira as income. Such investment is classified as available-for-sale, whereby unrealized gains and losses are reported in other comprehensive income.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9. Term loan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July 2005, we entered into a non-collateralized term loan agreement with Farm Credit West, PCA to finance the purchase of our Limoneira Stock. Pursuant to such agreement, we borrowed $13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 </w:t>
      </w:r>
    </w:p>
    <w:p>
      <w:pPr>
        <w:pStyle w:val="TextBody"/>
        <w:spacing w:before="120" w:after="283"/>
        <w:jc w:val="left"/>
        <w:rPr/>
      </w:pPr>
      <w:r>
        <w:rPr/>
        <w:t>     </w:t>
      </w:r>
      <w:r>
        <w:rPr>
          <w:rFonts w:ascii="Times New Roman;Times;serif" w:hAnsi="Times New Roman;Times;serif"/>
          <w:sz w:val="17"/>
        </w:rPr>
        <w:t xml:space="preserve">Such loan contains various financial covenants, which are substantially identical to existing covenants, with which we were in compliance at July 31, 2005.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10. Subsequent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Option Grant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Normal"/>
        <w:spacing w:before="0" w:after="0"/>
        <w:rPr>
          <w:sz w:val="4"/>
          <w:szCs w:val="4"/>
        </w:rPr>
      </w:pPr>
      <w:r>
        <w:rPr>
          <w:sz w:val="4"/>
          <w:szCs w:val="4"/>
        </w:rPr>
      </w:r>
      <w:bookmarkStart w:id="10" w:name="108"/>
      <w:bookmarkStart w:id="11" w:name="108"/>
      <w:bookmarkEnd w:id="11"/>
    </w:p>
    <w:tbl>
      <w:tblPr>
        <w:tblW w:w="5000" w:type="pct"/>
        <w:jc w:val="left"/>
        <w:tblInd w:w="0" w:type="dxa"/>
        <w:tblCellMar>
          <w:top w:w="0" w:type="dxa"/>
          <w:left w:w="0" w:type="dxa"/>
          <w:bottom w:w="0" w:type="dxa"/>
          <w:right w:w="0" w:type="dxa"/>
        </w:tblCellMar>
      </w:tblPr>
      <w:tblGrid>
        <w:gridCol w:w="911"/>
        <w:gridCol w:w="129"/>
        <w:gridCol w:w="9165"/>
      </w:tblGrid>
      <w:tr>
        <w:trPr/>
        <w:tc>
          <w:tcPr>
            <w:tcW w:w="911" w:type="dxa"/>
            <w:tcBorders/>
            <w:shd w:fill="auto" w:val="clear"/>
          </w:tcPr>
          <w:p>
            <w:pPr>
              <w:pStyle w:val="TableContents"/>
              <w:spacing w:before="0" w:after="283"/>
              <w:jc w:val="left"/>
              <w:rPr>
                <w:b/>
              </w:rPr>
            </w:pPr>
            <w:r>
              <w:rPr>
                <w:b/>
              </w:rPr>
              <w:t>ITEM 2.</w:t>
            </w:r>
          </w:p>
        </w:tc>
        <w:tc>
          <w:tcPr>
            <w:tcW w:w="129" w:type="dxa"/>
            <w:tcBorders/>
            <w:shd w:fill="auto" w:val="clear"/>
          </w:tcPr>
          <w:p>
            <w:pPr>
              <w:pStyle w:val="TableContents"/>
              <w:spacing w:before="0" w:after="283"/>
              <w:rPr/>
            </w:pPr>
            <w:r>
              <w:rPr/>
              <w:t> </w:t>
            </w:r>
          </w:p>
        </w:tc>
        <w:tc>
          <w:tcPr>
            <w:tcW w:w="9165" w:type="dxa"/>
            <w:tcBorders/>
            <w:shd w:fill="auto" w:val="clear"/>
          </w:tcPr>
          <w:p>
            <w:pPr>
              <w:pStyle w:val="TableContents"/>
              <w:spacing w:before="0" w:after="283"/>
              <w:rPr>
                <w:b/>
              </w:rPr>
            </w:pPr>
            <w:r>
              <w:rPr>
                <w:b/>
              </w:rPr>
              <w:t>MANAGEMENTS DISCUSSION AND ANALYSIS OF FINANCIAL CONDITION AND RESULTS OF OPERATIONS</w:t>
            </w:r>
          </w:p>
        </w:tc>
      </w:tr>
    </w:tbl>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2004 of Calavo Growers, Inc. (we, Calavo, or the Company). Certain prior year amounts have been reclassified to conform with the current period presentation.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January 3, 2005, we paid a $0.30 per share dividend in the aggregate amount of $4,052,000 to shareholders of record on November 15, 2004.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previously reported, 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we believe that Haciendas position has no merit and that the Company will prevail. Accordingly, no amounts have been provided in the financial statements as of July 31, 2005. We are also involved in litigation arising in the ordinary course of our business that we do not believe will have a material adverse impact on our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Corporate Headquarters Building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March 2005, we completed the sale of our corporate headquarters building located in Santa Ana, California for $3.4 million. This transaction resulted in a pre-tax gain on sale of approximately $1.7 million. In conjunction with such sale, we relocated our corporate offices to Santa Paula, California in March 2005. Total expenses related to such relocation approximated $0.3 million.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Useful lives of property, plant and equipment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Effective July 31,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 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 15 years. The change in estimated useful lives increased our operating income by approximately $0.2 million during the three months ended July 31, 2005 when compared to the old useful lives.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 segment restructuring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We believe that this restructuring will provide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the first six months of fiscal 2005, we incurred costs related to this restructuring approximating $437,000, which are recorded in our income statement as both cost of sales ($298,000) and selling,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general and administrative expenses ($139,000). We do not expect any additional operating costs related to this restructuring.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Investment in Limoneira Company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 </w:t>
      </w:r>
    </w:p>
    <w:p>
      <w:pPr>
        <w:pStyle w:val="TextBody"/>
        <w:spacing w:before="120" w:after="283"/>
        <w:jc w:val="left"/>
        <w:rPr/>
      </w:pPr>
      <w:r>
        <w:rPr/>
        <w:t>     </w:t>
      </w:r>
      <w:r>
        <w:rPr>
          <w:rFonts w:ascii="Times New Roman;Times;serif" w:hAnsi="Times New Roman;Times;serif"/>
          <w:sz w:val="17"/>
        </w:rPr>
        <w:t xml:space="preserve">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 As a result of the ownership percentage acquired in Limoneira, we recognize only dividends received from Limoneira as income. Such investment is classified as available-for-sale, whereby it is reported at fair market value and unrealized gains and losses will be reported in other comprehensive income.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Term loan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July 2005, we entered into a non-collateralized term loan agreement with Farm Credit West, PCA to finance the purchase of our Limoneira Stock. Pursuant to such agreement, we borrowed $13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 </w:t>
      </w:r>
    </w:p>
    <w:p>
      <w:pPr>
        <w:pStyle w:val="TextBody"/>
        <w:spacing w:before="120" w:after="283"/>
        <w:jc w:val="left"/>
        <w:rPr/>
      </w:pPr>
      <w:r>
        <w:rPr/>
        <w:t>     </w:t>
      </w:r>
      <w:r>
        <w:rPr>
          <w:rFonts w:ascii="Times New Roman;Times;serif" w:hAnsi="Times New Roman;Times;serif"/>
          <w:sz w:val="17"/>
        </w:rPr>
        <w:t>Such loan contains various financial covenants, which are substantially identical to existing covenants, with which we were in compliance at July 31, 2005</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Option Grant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for each of the three and nine month periods ended July 31, 2005 and 2004: </w:t>
      </w:r>
    </w:p>
    <w:tbl>
      <w:tblPr>
        <w:tblW w:w="5000" w:type="pct"/>
        <w:jc w:val="center"/>
        <w:tblInd w:w="0" w:type="dxa"/>
        <w:tblCellMar>
          <w:top w:w="0" w:type="dxa"/>
          <w:left w:w="0" w:type="dxa"/>
          <w:bottom w:w="0" w:type="dxa"/>
          <w:right w:w="0" w:type="dxa"/>
        </w:tblCellMar>
      </w:tblPr>
      <w:tblGrid>
        <w:gridCol w:w="2014"/>
        <w:gridCol w:w="174"/>
        <w:gridCol w:w="156"/>
        <w:gridCol w:w="765"/>
        <w:gridCol w:w="227"/>
        <w:gridCol w:w="175"/>
        <w:gridCol w:w="94"/>
        <w:gridCol w:w="799"/>
        <w:gridCol w:w="299"/>
        <w:gridCol w:w="175"/>
        <w:gridCol w:w="156"/>
        <w:gridCol w:w="768"/>
        <w:gridCol w:w="221"/>
        <w:gridCol w:w="174"/>
        <w:gridCol w:w="152"/>
        <w:gridCol w:w="856"/>
        <w:gridCol w:w="221"/>
        <w:gridCol w:w="174"/>
        <w:gridCol w:w="102"/>
        <w:gridCol w:w="791"/>
        <w:gridCol w:w="290"/>
        <w:gridCol w:w="174"/>
        <w:gridCol w:w="152"/>
        <w:gridCol w:w="856"/>
        <w:gridCol w:w="240"/>
      </w:tblGrid>
      <w:tr>
        <w:trPr/>
        <w:tc>
          <w:tcPr>
            <w:tcW w:w="201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201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61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376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40" w:type="dxa"/>
            <w:tcBorders/>
            <w:shd w:fill="auto" w:val="clear"/>
            <w:vAlign w:val="bottom"/>
          </w:tcPr>
          <w:p>
            <w:pPr>
              <w:pStyle w:val="TableContents"/>
              <w:spacing w:before="0" w:after="283"/>
              <w:rPr/>
            </w:pPr>
            <w:r>
              <w:rPr/>
              <w:t> </w:t>
            </w:r>
          </w:p>
        </w:tc>
      </w:tr>
      <w:tr>
        <w:trPr/>
        <w:tc>
          <w:tcPr>
            <w:tcW w:w="2014"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74" w:type="dxa"/>
            <w:tcBorders/>
            <w:shd w:fill="auto" w:val="clear"/>
            <w:vAlign w:val="bottom"/>
          </w:tcPr>
          <w:p>
            <w:pPr>
              <w:pStyle w:val="TableContents"/>
              <w:spacing w:before="0" w:after="283"/>
              <w:rPr/>
            </w:pPr>
            <w:r>
              <w:rPr/>
              <w:t> </w:t>
            </w:r>
          </w:p>
        </w:tc>
        <w:tc>
          <w:tcPr>
            <w:tcW w:w="9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0" w:type="dxa"/>
            <w:tcBorders/>
            <w:shd w:fill="auto" w:val="clear"/>
            <w:vAlign w:val="bottom"/>
          </w:tcPr>
          <w:p>
            <w:pPr>
              <w:pStyle w:val="TableContents"/>
              <w:spacing w:before="0" w:after="283"/>
              <w:rPr/>
            </w:pPr>
            <w:r>
              <w:rPr/>
              <w:t> </w:t>
            </w:r>
          </w:p>
        </w:tc>
      </w:tr>
      <w:tr>
        <w:trPr/>
        <w:tc>
          <w:tcPr>
            <w:tcW w:w="2014" w:type="dxa"/>
            <w:tcBorders/>
            <w:shd w:fill="CCEEFF" w:val="clear"/>
            <w:vAlign w:val="bottom"/>
          </w:tcPr>
          <w:p>
            <w:pPr>
              <w:pStyle w:val="TableContents"/>
              <w:spacing w:before="0" w:after="0"/>
              <w:ind w:left="225" w:right="0" w:hanging="225"/>
              <w:rPr/>
            </w:pPr>
            <w:r>
              <w:rPr/>
              <w:t>Net sales to third-parties:</w:t>
            </w:r>
          </w:p>
        </w:tc>
        <w:tc>
          <w:tcPr>
            <w:tcW w:w="17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r>
      <w:tr>
        <w:trPr/>
        <w:tc>
          <w:tcPr>
            <w:tcW w:w="2014" w:type="dxa"/>
            <w:tcBorders/>
            <w:shd w:fill="auto" w:val="clear"/>
            <w:vAlign w:val="bottom"/>
          </w:tcPr>
          <w:p>
            <w:pPr>
              <w:pStyle w:val="TableContents"/>
              <w:spacing w:before="0" w:after="0"/>
              <w:ind w:left="675" w:right="0" w:hanging="225"/>
              <w:rPr/>
            </w:pPr>
            <w:r>
              <w:rPr/>
              <w:t>California avocados</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5" w:type="dxa"/>
            <w:tcBorders/>
            <w:shd w:fill="auto" w:val="clear"/>
            <w:vAlign w:val="bottom"/>
          </w:tcPr>
          <w:p>
            <w:pPr>
              <w:pStyle w:val="TableContents"/>
              <w:spacing w:before="0" w:after="283"/>
              <w:jc w:val="right"/>
              <w:rPr/>
            </w:pPr>
            <w:r>
              <w:rPr/>
              <w:t>58,431</w:t>
            </w:r>
          </w:p>
        </w:tc>
        <w:tc>
          <w:tcPr>
            <w:tcW w:w="22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(12.4</w:t>
            </w:r>
          </w:p>
        </w:tc>
        <w:tc>
          <w:tcPr>
            <w:tcW w:w="299"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66,727</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91,086</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(24.8</w:t>
            </w:r>
          </w:p>
        </w:tc>
        <w:tc>
          <w:tcPr>
            <w:tcW w:w="290"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856" w:type="dxa"/>
            <w:tcBorders/>
            <w:shd w:fill="auto" w:val="clear"/>
            <w:vAlign w:val="bottom"/>
          </w:tcPr>
          <w:p>
            <w:pPr>
              <w:pStyle w:val="TableContents"/>
              <w:spacing w:before="0" w:after="283"/>
              <w:jc w:val="right"/>
              <w:rPr/>
            </w:pPr>
            <w:r>
              <w:rPr/>
              <w:t>121,058</w:t>
            </w:r>
          </w:p>
        </w:tc>
        <w:tc>
          <w:tcPr>
            <w:tcW w:w="240" w:type="dxa"/>
            <w:tcBorders/>
            <w:shd w:fill="auto" w:val="clear"/>
            <w:vAlign w:val="bottom"/>
          </w:tcPr>
          <w:p>
            <w:pPr>
              <w:pStyle w:val="TableContents"/>
              <w:spacing w:before="0" w:after="283"/>
              <w:rPr/>
            </w:pPr>
            <w:r>
              <w:rPr/>
              <w:t> </w:t>
            </w:r>
          </w:p>
        </w:tc>
      </w:tr>
      <w:tr>
        <w:trPr/>
        <w:tc>
          <w:tcPr>
            <w:tcW w:w="2014" w:type="dxa"/>
            <w:tcBorders/>
            <w:shd w:fill="CCEEFF" w:val="clear"/>
            <w:vAlign w:val="bottom"/>
          </w:tcPr>
          <w:p>
            <w:pPr>
              <w:pStyle w:val="TableContents"/>
              <w:spacing w:before="0" w:after="0"/>
              <w:ind w:left="675" w:right="0" w:hanging="225"/>
              <w:rPr/>
            </w:pPr>
            <w:r>
              <w:rPr/>
              <w:t>International avocados and perishable food products</w:t>
            </w:r>
          </w:p>
        </w:tc>
        <w:tc>
          <w:tcPr>
            <w:tcW w:w="17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21,863</w:t>
            </w:r>
          </w:p>
        </w:tc>
        <w:tc>
          <w:tcPr>
            <w:tcW w:w="22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122.4</w:t>
            </w:r>
          </w:p>
        </w:tc>
        <w:tc>
          <w:tcPr>
            <w:tcW w:w="299"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9,831</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84,721</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24.1</w:t>
            </w:r>
          </w:p>
        </w:tc>
        <w:tc>
          <w:tcPr>
            <w:tcW w:w="290"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68,270</w:t>
            </w:r>
          </w:p>
        </w:tc>
        <w:tc>
          <w:tcPr>
            <w:tcW w:w="240" w:type="dxa"/>
            <w:tcBorders/>
            <w:shd w:fill="CCEEFF" w:val="clear"/>
            <w:vAlign w:val="bottom"/>
          </w:tcPr>
          <w:p>
            <w:pPr>
              <w:pStyle w:val="TableContents"/>
              <w:spacing w:before="0" w:after="283"/>
              <w:rPr/>
            </w:pPr>
            <w:r>
              <w:rPr/>
              <w:t> </w:t>
            </w:r>
          </w:p>
        </w:tc>
      </w:tr>
      <w:tr>
        <w:trPr/>
        <w:tc>
          <w:tcPr>
            <w:tcW w:w="2014" w:type="dxa"/>
            <w:tcBorders/>
            <w:shd w:fill="auto" w:val="clear"/>
            <w:vAlign w:val="bottom"/>
          </w:tcPr>
          <w:p>
            <w:pPr>
              <w:pStyle w:val="TableContents"/>
              <w:spacing w:before="0" w:after="0"/>
              <w:ind w:left="675" w:right="0" w:hanging="225"/>
              <w:rPr/>
            </w:pPr>
            <w:r>
              <w:rPr/>
              <w:t>Processed products</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8,405</w:t>
            </w:r>
          </w:p>
        </w:tc>
        <w:tc>
          <w:tcPr>
            <w:tcW w:w="22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24.3</w:t>
            </w:r>
          </w:p>
        </w:tc>
        <w:tc>
          <w:tcPr>
            <w:tcW w:w="299"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6,760</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20,769</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6.8</w:t>
            </w:r>
          </w:p>
        </w:tc>
        <w:tc>
          <w:tcPr>
            <w:tcW w:w="290"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pPr>
            <w:r>
              <w:rPr/>
              <w:t>19,454</w:t>
            </w:r>
          </w:p>
        </w:tc>
        <w:tc>
          <w:tcPr>
            <w:tcW w:w="240" w:type="dxa"/>
            <w:tcBorders/>
            <w:shd w:fill="auto" w:val="clear"/>
            <w:vAlign w:val="bottom"/>
          </w:tcPr>
          <w:p>
            <w:pPr>
              <w:pStyle w:val="TableContents"/>
              <w:spacing w:before="0" w:after="283"/>
              <w:rPr/>
            </w:pPr>
            <w:r>
              <w:rPr/>
              <w:t> </w:t>
            </w:r>
          </w:p>
        </w:tc>
      </w:tr>
      <w:tr>
        <w:trPr/>
        <w:tc>
          <w:tcPr>
            <w:tcW w:w="2014"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2014" w:type="dxa"/>
            <w:tcBorders/>
            <w:shd w:fill="CCEEFF" w:val="clear"/>
            <w:vAlign w:val="bottom"/>
          </w:tcPr>
          <w:p>
            <w:pPr>
              <w:pStyle w:val="TableContents"/>
              <w:spacing w:before="0" w:after="0"/>
              <w:ind w:left="900" w:right="0" w:hanging="225"/>
              <w:rPr/>
            </w:pPr>
            <w:r>
              <w:rPr/>
              <w:t>Total net sales</w:t>
            </w:r>
          </w:p>
        </w:tc>
        <w:tc>
          <w:tcPr>
            <w:tcW w:w="17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765" w:type="dxa"/>
            <w:tcBorders/>
            <w:shd w:fill="CCEEFF" w:val="clear"/>
            <w:vAlign w:val="bottom"/>
          </w:tcPr>
          <w:p>
            <w:pPr>
              <w:pStyle w:val="TableContents"/>
              <w:spacing w:before="0" w:after="283"/>
              <w:jc w:val="right"/>
              <w:rPr/>
            </w:pPr>
            <w:r>
              <w:rPr/>
              <w:t>88,699</w:t>
            </w:r>
          </w:p>
        </w:tc>
        <w:tc>
          <w:tcPr>
            <w:tcW w:w="22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6.5</w:t>
            </w:r>
          </w:p>
        </w:tc>
        <w:tc>
          <w:tcPr>
            <w:tcW w:w="299"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83,318</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196,576</w:t>
            </w:r>
          </w:p>
        </w:tc>
        <w:tc>
          <w:tcPr>
            <w:tcW w:w="22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(5.8</w:t>
            </w:r>
          </w:p>
        </w:tc>
        <w:tc>
          <w:tcPr>
            <w:tcW w:w="290"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856" w:type="dxa"/>
            <w:tcBorders/>
            <w:shd w:fill="CCEEFF" w:val="clear"/>
            <w:vAlign w:val="bottom"/>
          </w:tcPr>
          <w:p>
            <w:pPr>
              <w:pStyle w:val="TableContents"/>
              <w:spacing w:before="0" w:after="283"/>
              <w:jc w:val="right"/>
              <w:rPr/>
            </w:pPr>
            <w:r>
              <w:rPr/>
              <w:t>208,782</w:t>
            </w:r>
          </w:p>
        </w:tc>
        <w:tc>
          <w:tcPr>
            <w:tcW w:w="240" w:type="dxa"/>
            <w:tcBorders/>
            <w:shd w:fill="CCEEFF" w:val="clear"/>
            <w:vAlign w:val="bottom"/>
          </w:tcPr>
          <w:p>
            <w:pPr>
              <w:pStyle w:val="TableContents"/>
              <w:spacing w:before="0" w:after="283"/>
              <w:rPr/>
            </w:pPr>
            <w:r>
              <w:rPr/>
              <w:t> </w:t>
            </w:r>
          </w:p>
        </w:tc>
      </w:tr>
      <w:tr>
        <w:trPr/>
        <w:tc>
          <w:tcPr>
            <w:tcW w:w="2014"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2014" w:type="dxa"/>
            <w:tcBorders/>
            <w:shd w:fill="auto" w:val="clear"/>
            <w:vAlign w:val="bottom"/>
          </w:tcPr>
          <w:p>
            <w:pPr>
              <w:pStyle w:val="TableContents"/>
              <w:spacing w:before="0" w:after="0"/>
              <w:ind w:left="225" w:right="0" w:hanging="225"/>
              <w:rPr/>
            </w:pPr>
            <w:r>
              <w:rPr/>
              <w:t>As a percentage of net sales:</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2014" w:type="dxa"/>
            <w:tcBorders/>
            <w:shd w:fill="CCEEFF" w:val="clear"/>
            <w:vAlign w:val="bottom"/>
          </w:tcPr>
          <w:p>
            <w:pPr>
              <w:pStyle w:val="TableContents"/>
              <w:spacing w:before="0" w:after="0"/>
              <w:ind w:left="675" w:right="0" w:hanging="225"/>
              <w:rPr/>
            </w:pPr>
            <w:r>
              <w:rPr/>
              <w:t>California avocados</w:t>
            </w:r>
          </w:p>
        </w:tc>
        <w:tc>
          <w:tcPr>
            <w:tcW w:w="17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5" w:type="dxa"/>
            <w:tcBorders/>
            <w:shd w:fill="CCEEFF" w:val="clear"/>
            <w:vAlign w:val="bottom"/>
          </w:tcPr>
          <w:p>
            <w:pPr>
              <w:pStyle w:val="TableContents"/>
              <w:spacing w:before="0" w:after="283"/>
              <w:jc w:val="right"/>
              <w:rPr/>
            </w:pPr>
            <w:r>
              <w:rPr/>
              <w:t>65.9</w:t>
            </w:r>
          </w:p>
        </w:tc>
        <w:tc>
          <w:tcPr>
            <w:tcW w:w="227"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8" w:type="dxa"/>
            <w:tcBorders/>
            <w:shd w:fill="CCEEFF" w:val="clear"/>
            <w:vAlign w:val="bottom"/>
          </w:tcPr>
          <w:p>
            <w:pPr>
              <w:pStyle w:val="TableContents"/>
              <w:spacing w:before="0" w:after="283"/>
              <w:jc w:val="right"/>
              <w:rPr/>
            </w:pPr>
            <w:r>
              <w:rPr/>
              <w:t>80.1</w:t>
            </w:r>
          </w:p>
        </w:tc>
        <w:tc>
          <w:tcPr>
            <w:tcW w:w="22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46.3</w:t>
            </w:r>
          </w:p>
        </w:tc>
        <w:tc>
          <w:tcPr>
            <w:tcW w:w="22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58.0</w:t>
            </w:r>
          </w:p>
        </w:tc>
        <w:tc>
          <w:tcPr>
            <w:tcW w:w="240" w:type="dxa"/>
            <w:tcBorders/>
            <w:shd w:fill="CCEEFF" w:val="clear"/>
            <w:vAlign w:val="bottom"/>
          </w:tcPr>
          <w:p>
            <w:pPr>
              <w:pStyle w:val="TableContents"/>
              <w:spacing w:before="0" w:after="283"/>
              <w:rPr/>
            </w:pPr>
            <w:r>
              <w:rPr/>
              <w:t>%</w:t>
            </w:r>
          </w:p>
        </w:tc>
      </w:tr>
      <w:tr>
        <w:trPr/>
        <w:tc>
          <w:tcPr>
            <w:tcW w:w="2014" w:type="dxa"/>
            <w:tcBorders/>
            <w:shd w:fill="auto" w:val="clear"/>
            <w:vAlign w:val="bottom"/>
          </w:tcPr>
          <w:p>
            <w:pPr>
              <w:pStyle w:val="TableContents"/>
              <w:spacing w:before="0" w:after="0"/>
              <w:ind w:left="675" w:right="0" w:hanging="225"/>
              <w:rPr/>
            </w:pPr>
            <w:r>
              <w:rPr/>
              <w:t>International avocados and perishable food products</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283"/>
              <w:jc w:val="right"/>
              <w:rPr/>
            </w:pPr>
            <w:r>
              <w:rPr/>
              <w:t>24.6</w:t>
            </w:r>
          </w:p>
        </w:tc>
        <w:tc>
          <w:tcPr>
            <w:tcW w:w="227"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8" w:type="dxa"/>
            <w:tcBorders/>
            <w:shd w:fill="auto" w:val="clear"/>
            <w:vAlign w:val="bottom"/>
          </w:tcPr>
          <w:p>
            <w:pPr>
              <w:pStyle w:val="TableContents"/>
              <w:spacing w:before="0" w:after="283"/>
              <w:jc w:val="right"/>
              <w:rPr/>
            </w:pPr>
            <w:r>
              <w:rPr/>
              <w:t>11.8</w:t>
            </w:r>
          </w:p>
        </w:tc>
        <w:tc>
          <w:tcPr>
            <w:tcW w:w="22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43.1</w:t>
            </w:r>
          </w:p>
        </w:tc>
        <w:tc>
          <w:tcPr>
            <w:tcW w:w="22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32.7</w:t>
            </w:r>
          </w:p>
        </w:tc>
        <w:tc>
          <w:tcPr>
            <w:tcW w:w="240" w:type="dxa"/>
            <w:tcBorders/>
            <w:shd w:fill="auto" w:val="clear"/>
            <w:vAlign w:val="bottom"/>
          </w:tcPr>
          <w:p>
            <w:pPr>
              <w:pStyle w:val="TableContents"/>
              <w:spacing w:before="0" w:after="283"/>
              <w:rPr/>
            </w:pPr>
            <w:r>
              <w:rPr/>
              <w:t>%</w:t>
            </w:r>
          </w:p>
        </w:tc>
      </w:tr>
      <w:tr>
        <w:trPr/>
        <w:tc>
          <w:tcPr>
            <w:tcW w:w="2014" w:type="dxa"/>
            <w:tcBorders/>
            <w:shd w:fill="CCEEFF" w:val="clear"/>
            <w:vAlign w:val="bottom"/>
          </w:tcPr>
          <w:p>
            <w:pPr>
              <w:pStyle w:val="TableContents"/>
              <w:spacing w:before="0" w:after="0"/>
              <w:ind w:left="675" w:right="0" w:hanging="225"/>
              <w:rPr/>
            </w:pPr>
            <w:r>
              <w:rPr/>
              <w:t>Processed products</w:t>
            </w:r>
          </w:p>
        </w:tc>
        <w:tc>
          <w:tcPr>
            <w:tcW w:w="174"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5" w:type="dxa"/>
            <w:tcBorders/>
            <w:shd w:fill="CCEEFF" w:val="clear"/>
            <w:vAlign w:val="bottom"/>
          </w:tcPr>
          <w:p>
            <w:pPr>
              <w:pStyle w:val="TableContents"/>
              <w:spacing w:before="0" w:after="283"/>
              <w:jc w:val="right"/>
              <w:rPr/>
            </w:pPr>
            <w:r>
              <w:rPr/>
              <w:t>9.5</w:t>
            </w:r>
          </w:p>
        </w:tc>
        <w:tc>
          <w:tcPr>
            <w:tcW w:w="227" w:type="dxa"/>
            <w:tcBorders/>
            <w:shd w:fill="CCEEFF" w:val="clear"/>
            <w:vAlign w:val="bottom"/>
          </w:tcPr>
          <w:p>
            <w:pPr>
              <w:pStyle w:val="TableContents"/>
              <w:spacing w:before="0" w:after="283"/>
              <w:rPr/>
            </w:pPr>
            <w:r>
              <w:rPr/>
              <w:t>%</w:t>
            </w:r>
          </w:p>
        </w:tc>
        <w:tc>
          <w:tcPr>
            <w:tcW w:w="175"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8" w:type="dxa"/>
            <w:tcBorders/>
            <w:shd w:fill="CCEEFF" w:val="clear"/>
            <w:vAlign w:val="bottom"/>
          </w:tcPr>
          <w:p>
            <w:pPr>
              <w:pStyle w:val="TableContents"/>
              <w:spacing w:before="0" w:after="283"/>
              <w:jc w:val="right"/>
              <w:rPr/>
            </w:pPr>
            <w:r>
              <w:rPr/>
              <w:t>8.1</w:t>
            </w:r>
          </w:p>
        </w:tc>
        <w:tc>
          <w:tcPr>
            <w:tcW w:w="22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10.6</w:t>
            </w:r>
          </w:p>
        </w:tc>
        <w:tc>
          <w:tcPr>
            <w:tcW w:w="221" w:type="dxa"/>
            <w:tcBorders/>
            <w:shd w:fill="CCEEFF" w:val="clear"/>
            <w:vAlign w:val="bottom"/>
          </w:tcPr>
          <w:p>
            <w:pPr>
              <w:pStyle w:val="TableContents"/>
              <w:spacing w:before="0" w:after="283"/>
              <w:rPr/>
            </w:pPr>
            <w:r>
              <w:rPr/>
              <w:t>%</w:t>
            </w:r>
          </w:p>
        </w:tc>
        <w:tc>
          <w:tcPr>
            <w:tcW w:w="174"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 </w:t>
            </w:r>
          </w:p>
        </w:tc>
        <w:tc>
          <w:tcPr>
            <w:tcW w:w="856" w:type="dxa"/>
            <w:tcBorders/>
            <w:shd w:fill="CCEEFF" w:val="clear"/>
            <w:vAlign w:val="bottom"/>
          </w:tcPr>
          <w:p>
            <w:pPr>
              <w:pStyle w:val="TableContents"/>
              <w:spacing w:before="0" w:after="283"/>
              <w:jc w:val="right"/>
              <w:rPr/>
            </w:pPr>
            <w:r>
              <w:rPr/>
              <w:t>9.3</w:t>
            </w:r>
          </w:p>
        </w:tc>
        <w:tc>
          <w:tcPr>
            <w:tcW w:w="240" w:type="dxa"/>
            <w:tcBorders/>
            <w:shd w:fill="CCEEFF" w:val="clear"/>
            <w:vAlign w:val="bottom"/>
          </w:tcPr>
          <w:p>
            <w:pPr>
              <w:pStyle w:val="TableContents"/>
              <w:spacing w:before="0" w:after="283"/>
              <w:rPr/>
            </w:pPr>
            <w:r>
              <w:rPr/>
              <w:t>%</w:t>
            </w:r>
          </w:p>
        </w:tc>
      </w:tr>
      <w:tr>
        <w:trPr/>
        <w:tc>
          <w:tcPr>
            <w:tcW w:w="2014"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r>
        <w:trPr/>
        <w:tc>
          <w:tcPr>
            <w:tcW w:w="2014" w:type="dxa"/>
            <w:tcBorders/>
            <w:shd w:fill="auto" w:val="clear"/>
            <w:vAlign w:val="bottom"/>
          </w:tcPr>
          <w:p>
            <w:pPr>
              <w:pStyle w:val="TableContents"/>
              <w:spacing w:before="0" w:after="0"/>
              <w:ind w:left="225" w:right="0" w:hanging="225"/>
              <w:rPr/>
            </w:pPr>
            <w:r>
              <w:rPr/>
              <w:t> </w:t>
            </w:r>
          </w:p>
        </w:tc>
        <w:tc>
          <w:tcPr>
            <w:tcW w:w="17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5" w:type="dxa"/>
            <w:tcBorders/>
            <w:shd w:fill="auto" w:val="clear"/>
            <w:vAlign w:val="bottom"/>
          </w:tcPr>
          <w:p>
            <w:pPr>
              <w:pStyle w:val="TableContents"/>
              <w:spacing w:before="0" w:after="283"/>
              <w:jc w:val="right"/>
              <w:rPr/>
            </w:pPr>
            <w:r>
              <w:rPr/>
              <w:t>100.0</w:t>
            </w:r>
          </w:p>
        </w:tc>
        <w:tc>
          <w:tcPr>
            <w:tcW w:w="227" w:type="dxa"/>
            <w:tcBorders/>
            <w:shd w:fill="auto" w:val="clear"/>
            <w:vAlign w:val="bottom"/>
          </w:tcPr>
          <w:p>
            <w:pPr>
              <w:pStyle w:val="TableContents"/>
              <w:spacing w:before="0" w:after="283"/>
              <w:rPr/>
            </w:pPr>
            <w:r>
              <w:rPr/>
              <w:t>%</w:t>
            </w:r>
          </w:p>
        </w:tc>
        <w:tc>
          <w:tcPr>
            <w:tcW w:w="175"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8" w:type="dxa"/>
            <w:tcBorders/>
            <w:shd w:fill="auto" w:val="clear"/>
            <w:vAlign w:val="bottom"/>
          </w:tcPr>
          <w:p>
            <w:pPr>
              <w:pStyle w:val="TableContents"/>
              <w:spacing w:before="0" w:after="283"/>
              <w:jc w:val="right"/>
              <w:rPr/>
            </w:pPr>
            <w:r>
              <w:rPr/>
              <w:t>100.0</w:t>
            </w:r>
          </w:p>
        </w:tc>
        <w:tc>
          <w:tcPr>
            <w:tcW w:w="22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100.0</w:t>
            </w:r>
          </w:p>
        </w:tc>
        <w:tc>
          <w:tcPr>
            <w:tcW w:w="221" w:type="dxa"/>
            <w:tcBorders/>
            <w:shd w:fill="auto" w:val="clear"/>
            <w:vAlign w:val="bottom"/>
          </w:tcPr>
          <w:p>
            <w:pPr>
              <w:pStyle w:val="TableContents"/>
              <w:spacing w:before="0" w:after="283"/>
              <w:rPr/>
            </w:pPr>
            <w:r>
              <w:rPr/>
              <w:t>%</w:t>
            </w:r>
          </w:p>
        </w:tc>
        <w:tc>
          <w:tcPr>
            <w:tcW w:w="174"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 </w:t>
            </w:r>
          </w:p>
        </w:tc>
        <w:tc>
          <w:tcPr>
            <w:tcW w:w="856" w:type="dxa"/>
            <w:tcBorders/>
            <w:shd w:fill="auto" w:val="clear"/>
            <w:vAlign w:val="bottom"/>
          </w:tcPr>
          <w:p>
            <w:pPr>
              <w:pStyle w:val="TableContents"/>
              <w:spacing w:before="0" w:after="283"/>
              <w:jc w:val="right"/>
              <w:rPr/>
            </w:pPr>
            <w:r>
              <w:rPr/>
              <w:t>100.0</w:t>
            </w:r>
          </w:p>
        </w:tc>
        <w:tc>
          <w:tcPr>
            <w:tcW w:w="240" w:type="dxa"/>
            <w:tcBorders/>
            <w:shd w:fill="auto" w:val="clear"/>
            <w:vAlign w:val="bottom"/>
          </w:tcPr>
          <w:p>
            <w:pPr>
              <w:pStyle w:val="TableContents"/>
              <w:spacing w:before="0" w:after="283"/>
              <w:rPr/>
            </w:pPr>
            <w:r>
              <w:rPr/>
              <w:t>%</w:t>
            </w:r>
          </w:p>
        </w:tc>
      </w:tr>
      <w:tr>
        <w:trPr/>
        <w:tc>
          <w:tcPr>
            <w:tcW w:w="2014" w:type="dxa"/>
            <w:tcBorders/>
            <w:shd w:fill="auto" w:val="clear"/>
            <w:vAlign w:val="center"/>
          </w:tcPr>
          <w:p>
            <w:pPr>
              <w:pStyle w:val="TableContents"/>
              <w:spacing w:before="0" w:after="0"/>
              <w:ind w:left="225" w:right="0" w:hanging="225"/>
              <w:rPr/>
            </w:pPr>
            <w:r>
              <w:rPr/>
              <w:t> </w:t>
            </w:r>
          </w:p>
        </w:tc>
        <w:tc>
          <w:tcPr>
            <w:tcW w:w="174" w:type="dxa"/>
            <w:tcBorders/>
            <w:shd w:fill="auto" w:val="clear"/>
            <w:vAlign w:val="center"/>
          </w:tcPr>
          <w:p>
            <w:pPr>
              <w:pStyle w:val="TableContents"/>
              <w:spacing w:before="0" w:after="283"/>
              <w:rPr/>
            </w:pPr>
            <w:r>
              <w:rPr/>
              <w:t> </w:t>
            </w:r>
          </w:p>
        </w:tc>
        <w:tc>
          <w:tcPr>
            <w:tcW w:w="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799"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1"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791"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0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0"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third quarter of fiscal 2005, compared to fiscal 2004, increased by $5.4 million, or 6.5%; whereas net sales for the nine months ended July 31, 2005, compared to fiscal 2004, decreased by $12.2 million, or 5.8%. Consistent with the historical seasonality of the California avocado harvest, our California avocado business generated a significant portion of our of our consolidated net sales for the third quarter (65.9% for the 3 months ended July 31, 2005, as compared to 80.1% for the same prior year period). For the three and nine month periods, our net sales growth reflects an increasing percentage of our business being generated from our international avocados and perishable food products segment. This increase was driven primarily by an increase in the volume of avocados being imported from Mexico. Net sales generated by our processed products business are not generally subject to the seasonal effect experienced by our other operating segments. For the nine month period, the increase in net sales to third parties delivered by our processed products business was due primarily to an increase in total pounds of product sold, partially offset by a marginal decrease in our price per pound. We anticipate that sales generated from our California avocados and international avocados and perishable food products segments will continue to represent the majority of total net sales and the percentage of total net sales generated from these segments may increase in the future. </w:t>
      </w:r>
    </w:p>
    <w:p>
      <w:pPr>
        <w:pStyle w:val="TextBody"/>
        <w:spacing w:before="120" w:after="283"/>
        <w:jc w:val="left"/>
        <w:rPr/>
      </w:pPr>
      <w:r>
        <w:rPr/>
        <w:t>     </w:t>
      </w:r>
      <w:r>
        <w:rPr>
          <w:rFonts w:ascii="Times New Roman;Times;serif" w:hAnsi="Times New Roman;Times;serif"/>
          <w:sz w:val="17"/>
        </w:rPr>
        <w:t xml:space="preserve">Net sales to third parties by segment exclude value-added services billed by our Uruapan packinghouse, Uruapan processing plant and Mexicali processing plant to the parent company. All intercompany sales are eliminated in our consolidated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California avocados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decreased by approximately $8.3 million, or 12.4%, for the third quarter of fiscal 2005, when compared to the same period for fiscal 2004. The decrease in sales reflects a 19.2% decrease in pounds of avocados sold, partially offset by an improvement in our average selling prices when compared to the same prior year period. The decrease in pounds is consistent with the expected decrease in the overall harvest of the California avocado crop for the 2004/2005 season. Our market share of California avocados increased slightly to 35.2% in the third quarter of fiscal 2005, when compared to a 33.4% market share for the same prior year period. </w:t>
      </w:r>
    </w:p>
    <w:p>
      <w:pPr>
        <w:pStyle w:val="TextBody"/>
        <w:spacing w:before="120" w:after="283"/>
        <w:jc w:val="left"/>
        <w:rPr/>
      </w:pPr>
      <w:r>
        <w:rPr/>
        <w:t>     </w:t>
      </w:r>
      <w:r>
        <w:rPr>
          <w:rFonts w:ascii="Times New Roman;Times;serif" w:hAnsi="Times New Roman;Times;serif"/>
          <w:sz w:val="17"/>
        </w:rPr>
        <w:t xml:space="preserve">Net sales delivered by the business decreased by approximately $30.0 million, or 24.8%, for the first nine months of fiscal 2005, compared to the same fiscal 2004 period. The decrease in sales reflects a 24.5% decrease in pounds of avocados sold. This decrease in pounds sold is consistent with the expected decrease in the overall harvest of the California avocado crop for the 2004/2005 season. Our market share of California avocados decreased slightly to 33.0% for the nine months ended July 31, 2005, compared to 33.9% for the same period in the prior year.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Average selling prices, on a per carton basis, for California avocados for the third quarter of fiscal 2005 were 10.4% higher when compared to the same prior year period. We attribute some of this increase in these average selling prices to fewer overall pounds sold in the U.S. marketplace. Our average selling prices remained virtually unchanged for the first nine months of fiscal 2005, when compared to the same prior year period. </w:t>
      </w:r>
    </w:p>
    <w:p>
      <w:pPr>
        <w:pStyle w:val="TextBody"/>
        <w:spacing w:before="120" w:after="283"/>
        <w:jc w:val="left"/>
        <w:rPr/>
      </w:pPr>
      <w:r>
        <w:rPr/>
        <w:t>     </w:t>
      </w:r>
      <w:r>
        <w:rPr>
          <w:rFonts w:ascii="Times New Roman;Times;serif" w:hAnsi="Times New Roman;Times;serif"/>
          <w:sz w:val="17"/>
        </w:rPr>
        <w:t xml:space="preserve">We anticipate that our California avocado business will experience a seasonal decrease during the fourth fiscal quarter of 2005.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International and perishable food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July 31, 2005, when compared to the same period for fiscal 2004, sales to third-party customers increased by approximately $12.0 million, or 122.4%. For the nine months of fiscal 2005, when compared to the same period for fiscal 2004, sales to third-party customers increased by approximately $16.5 million, or 24.1%. </w:t>
      </w:r>
    </w:p>
    <w:p>
      <w:pPr>
        <w:pStyle w:val="TextBody"/>
        <w:spacing w:before="120" w:after="283"/>
        <w:jc w:val="left"/>
        <w:rPr/>
      </w:pPr>
      <w:r>
        <w:rPr/>
        <w:t>     </w:t>
      </w:r>
      <w:r>
        <w:rPr>
          <w:rFonts w:ascii="Times New Roman;Times;serif" w:hAnsi="Times New Roman;Times;serif"/>
          <w:sz w:val="17"/>
        </w:rPr>
        <w:t xml:space="preserve">The increased sales to third-parties by our international and perishable food products business were primarily driven by increased sales of Mexican and Chilean grown avocados in the U.S., Japanese, and/or European marketplace. </w:t>
      </w:r>
    </w:p>
    <w:p>
      <w:pPr>
        <w:pStyle w:val="TextBody"/>
        <w:spacing w:before="120" w:after="283"/>
        <w:jc w:val="left"/>
        <w:rPr/>
      </w:pPr>
      <w:r>
        <w:rPr/>
        <w:t>     </w:t>
      </w:r>
      <w:r>
        <w:rPr>
          <w:rFonts w:ascii="Times New Roman;Times;serif" w:hAnsi="Times New Roman;Times;serif"/>
          <w:sz w:val="17"/>
        </w:rPr>
        <w:t xml:space="preserve">For the quarter ended July 31, 2005, the volume of Mexican fruit handled increased by 10.3 million pounds, or 220.0%, when compared to the same prior year period. This increase is primarily related to the year round availability of Mexican sourced fruit into the United States. </w:t>
      </w:r>
    </w:p>
    <w:p>
      <w:pPr>
        <w:pStyle w:val="TextBody"/>
        <w:spacing w:before="120" w:after="283"/>
        <w:jc w:val="left"/>
        <w:rPr/>
      </w:pPr>
      <w:r>
        <w:rPr/>
        <w:t>     </w:t>
      </w:r>
      <w:r>
        <w:rPr>
          <w:rFonts w:ascii="Times New Roman;Times;serif" w:hAnsi="Times New Roman;Times;serif"/>
          <w:sz w:val="17"/>
        </w:rPr>
        <w:t xml:space="preserve">For the nine months ended July 31, 2005, the volume of Mexican and Chilean fruit handled increased by 15.5 million pounds, or 42.4%, and 8.1 million pounds, or 87.5%, when compared to the same prior year period. Such increases, however, were partially offset by decreases in Dominican Republic sourced fruit. For the nine months ended July 31, 2005, the volume of Dominican Republic fruit handled decreased by 4.1 million pounds, or 50.4%, when compared to the same prior year period. </w:t>
      </w:r>
    </w:p>
    <w:p>
      <w:pPr>
        <w:pStyle w:val="TextBody"/>
        <w:spacing w:before="120" w:after="283"/>
        <w:jc w:val="left"/>
        <w:rPr/>
      </w:pPr>
      <w:r>
        <w:rPr/>
        <w:t>     </w:t>
      </w:r>
      <w:r>
        <w:rPr>
          <w:rFonts w:ascii="Times New Roman;Times;serif" w:hAnsi="Times New Roman;Times;serif"/>
          <w:sz w:val="17"/>
        </w:rPr>
        <w:t xml:space="preserve">For the third fiscal quarter of 2005, average selling prices, on a per carton basis, for Mexican avocados were approximately 19.0% higher when compared to the same prior year period. We attribute some of this increase to fewer overall California pounds sold in the U.S. marketplace during such period. For the first nine months of fiscal 2005, average selling prices, on a per carton basis, for Chilean, Mexican, and The Dominican Republic avocados were 28.0% lower, 3.5% higher, and 17.0% lower when compared to the same prior year period. These fluctuations were primarily the result of a significant increase in seasonal imports of Chilean sourced fruit, the initial uncertainty over the effect/impact of the year-round introduction of Mexican avocados in the U.S. marketplace, and fewer overall pounds sold in the U.S. marketplace. </w:t>
      </w:r>
    </w:p>
    <w:p>
      <w:pPr>
        <w:pStyle w:val="TextBody"/>
        <w:spacing w:before="120" w:after="283"/>
        <w:jc w:val="left"/>
        <w:rPr/>
      </w:pPr>
      <w:r>
        <w:rPr/>
        <w:t>     </w:t>
      </w:r>
      <w:r>
        <w:rPr>
          <w:rFonts w:ascii="Times New Roman;Times;serif" w:hAnsi="Times New Roman;Times;serif"/>
          <w:sz w:val="17"/>
        </w:rPr>
        <w:t xml:space="preserve">We anticipate that net sales for this segment will gradually increase in the fourth fiscal quarter of 2005 as compared to the third fiscal quarter of 2005. This is consistent with the cyclical nature of the availability of foreign sourced avocados in the U.S. marketplace.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July 31, 2005, when compared to the same period for fiscal 2004, sales to third-party customers increased by approximately $1.6 million, or 24.3%. This increase is primarily related to a 26.4% increase in total pounds sold. Our net selling prices remained consistent during the third quarter ended July 31, 2005 when compared to the same prior year period. </w:t>
      </w:r>
    </w:p>
    <w:p>
      <w:pPr>
        <w:pStyle w:val="TextBody"/>
        <w:spacing w:before="120" w:after="283"/>
        <w:jc w:val="left"/>
        <w:rPr/>
      </w:pPr>
      <w:r>
        <w:rPr/>
        <w:t>     </w:t>
      </w:r>
      <w:r>
        <w:rPr>
          <w:rFonts w:ascii="Times New Roman;Times;serif" w:hAnsi="Times New Roman;Times;serif"/>
          <w:sz w:val="17"/>
        </w:rPr>
        <w:t xml:space="preserve">For the first nine months of fiscal 2005, when compared to the same period for fiscal 2004, sales to third-party customers increased by approximately $1.3 million, or 6.8%. This increase is primarily related to a 10.6% increase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total pounds sold. Such increase, however, was partially offset by a marginal decrease in our net selling prices of approximately 3.7% during the nine months ended July 31, 2005 when compared to the same prior year period. </w:t>
      </w:r>
    </w:p>
    <w:p>
      <w:pPr>
        <w:pStyle w:val="TextBody"/>
        <w:spacing w:before="120" w:after="283"/>
        <w:jc w:val="left"/>
        <w:rPr/>
      </w:pPr>
      <w:r>
        <w:rPr/>
        <w:t>     </w:t>
      </w:r>
      <w:r>
        <w:rPr>
          <w:rFonts w:ascii="Times New Roman;Times;serif" w:hAnsi="Times New Roman;Times;serif"/>
          <w:sz w:val="17"/>
        </w:rPr>
        <w:t xml:space="preserve">Our ultra high pressure products continue to experience solid demand. During the third quarter ended July 31, 2005, sales of high pressure product totaled approximately $2.6 million, as compared to $1.6 million for the same prior year period. We believe that the introduction of these fresh guacamole products will, in the long-term, successfully address a growing market segment.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 and nine month periods ended July 31, 2005 and 2004: </w:t>
      </w:r>
    </w:p>
    <w:tbl>
      <w:tblPr>
        <w:tblW w:w="5000" w:type="pct"/>
        <w:jc w:val="center"/>
        <w:tblInd w:w="0" w:type="dxa"/>
        <w:tblCellMar>
          <w:top w:w="0" w:type="dxa"/>
          <w:left w:w="0" w:type="dxa"/>
          <w:bottom w:w="0" w:type="dxa"/>
          <w:right w:w="0" w:type="dxa"/>
        </w:tblCellMar>
      </w:tblPr>
      <w:tblGrid>
        <w:gridCol w:w="2093"/>
        <w:gridCol w:w="189"/>
        <w:gridCol w:w="171"/>
        <w:gridCol w:w="711"/>
        <w:gridCol w:w="248"/>
        <w:gridCol w:w="196"/>
        <w:gridCol w:w="98"/>
        <w:gridCol w:w="811"/>
        <w:gridCol w:w="326"/>
        <w:gridCol w:w="196"/>
        <w:gridCol w:w="171"/>
        <w:gridCol w:w="717"/>
        <w:gridCol w:w="224"/>
        <w:gridCol w:w="188"/>
        <w:gridCol w:w="155"/>
        <w:gridCol w:w="758"/>
        <w:gridCol w:w="224"/>
        <w:gridCol w:w="189"/>
        <w:gridCol w:w="104"/>
        <w:gridCol w:w="804"/>
        <w:gridCol w:w="293"/>
        <w:gridCol w:w="189"/>
        <w:gridCol w:w="155"/>
        <w:gridCol w:w="757"/>
        <w:gridCol w:w="238"/>
      </w:tblGrid>
      <w:tr>
        <w:trPr/>
        <w:tc>
          <w:tcPr>
            <w:tcW w:w="20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0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3645"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362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8" w:type="dxa"/>
            <w:tcBorders/>
            <w:shd w:fill="auto" w:val="clear"/>
            <w:vAlign w:val="bottom"/>
          </w:tcPr>
          <w:p>
            <w:pPr>
              <w:pStyle w:val="TableContents"/>
              <w:spacing w:before="0" w:after="283"/>
              <w:rPr/>
            </w:pPr>
            <w:r>
              <w:rPr/>
              <w:t> </w:t>
            </w:r>
          </w:p>
        </w:tc>
      </w:tr>
      <w:tr>
        <w:trPr/>
        <w:tc>
          <w:tcPr>
            <w:tcW w:w="2093"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89" w:type="dxa"/>
            <w:tcBorders/>
            <w:shd w:fill="auto" w:val="clear"/>
            <w:vAlign w:val="bottom"/>
          </w:tcPr>
          <w:p>
            <w:pPr>
              <w:pStyle w:val="TableContents"/>
              <w:spacing w:before="0" w:after="283"/>
              <w:rPr/>
            </w:pPr>
            <w:r>
              <w:rPr/>
              <w:t> </w:t>
            </w:r>
          </w:p>
        </w:tc>
        <w:tc>
          <w:tcPr>
            <w:tcW w:w="8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2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91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2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9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8" w:type="dxa"/>
            <w:tcBorders/>
            <w:shd w:fill="auto" w:val="clear"/>
            <w:vAlign w:val="bottom"/>
          </w:tcPr>
          <w:p>
            <w:pPr>
              <w:pStyle w:val="TableContents"/>
              <w:spacing w:before="0" w:after="283"/>
              <w:rPr/>
            </w:pPr>
            <w:r>
              <w:rPr/>
              <w:t> </w:t>
            </w:r>
          </w:p>
        </w:tc>
      </w:tr>
      <w:tr>
        <w:trPr/>
        <w:tc>
          <w:tcPr>
            <w:tcW w:w="2093" w:type="dxa"/>
            <w:tcBorders/>
            <w:shd w:fill="CCEEFF" w:val="clear"/>
            <w:vAlign w:val="bottom"/>
          </w:tcPr>
          <w:p>
            <w:pPr>
              <w:pStyle w:val="TableContents"/>
              <w:spacing w:before="0" w:after="0"/>
              <w:ind w:left="225" w:right="0" w:hanging="225"/>
              <w:rPr/>
            </w:pPr>
            <w:r>
              <w:rPr/>
              <w:t>Gross margins:</w:t>
            </w:r>
          </w:p>
        </w:tc>
        <w:tc>
          <w:tcPr>
            <w:tcW w:w="18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2093" w:type="dxa"/>
            <w:tcBorders/>
            <w:shd w:fill="auto" w:val="clear"/>
            <w:vAlign w:val="bottom"/>
          </w:tcPr>
          <w:p>
            <w:pPr>
              <w:pStyle w:val="TableContents"/>
              <w:spacing w:before="0" w:after="0"/>
              <w:ind w:left="675" w:right="0" w:hanging="225"/>
              <w:rPr/>
            </w:pPr>
            <w:r>
              <w:rPr/>
              <w:t>California avocados</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711" w:type="dxa"/>
            <w:tcBorders/>
            <w:shd w:fill="auto" w:val="clear"/>
            <w:vAlign w:val="bottom"/>
          </w:tcPr>
          <w:p>
            <w:pPr>
              <w:pStyle w:val="TableContents"/>
              <w:spacing w:before="0" w:after="283"/>
              <w:jc w:val="right"/>
              <w:rPr/>
            </w:pPr>
            <w:r>
              <w:rPr/>
              <w:t>7,194</w:t>
            </w:r>
          </w:p>
        </w:tc>
        <w:tc>
          <w:tcPr>
            <w:tcW w:w="24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(7.5</w:t>
            </w:r>
          </w:p>
        </w:tc>
        <w:tc>
          <w:tcPr>
            <w:tcW w:w="326"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717" w:type="dxa"/>
            <w:tcBorders/>
            <w:shd w:fill="auto" w:val="clear"/>
            <w:vAlign w:val="bottom"/>
          </w:tcPr>
          <w:p>
            <w:pPr>
              <w:pStyle w:val="TableContents"/>
              <w:spacing w:before="0" w:after="283"/>
              <w:jc w:val="right"/>
              <w:rPr/>
            </w:pPr>
            <w:r>
              <w:rPr/>
              <w:t>7,776</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58" w:type="dxa"/>
            <w:tcBorders/>
            <w:shd w:fill="auto" w:val="clear"/>
            <w:vAlign w:val="bottom"/>
          </w:tcPr>
          <w:p>
            <w:pPr>
              <w:pStyle w:val="TableContents"/>
              <w:spacing w:before="0" w:after="283"/>
              <w:jc w:val="right"/>
              <w:rPr/>
            </w:pPr>
            <w:r>
              <w:rPr/>
              <w:t>9,790</w:t>
            </w:r>
          </w:p>
        </w:tc>
        <w:tc>
          <w:tcPr>
            <w:tcW w:w="22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(20.1</w:t>
            </w:r>
          </w:p>
        </w:tc>
        <w:tc>
          <w:tcPr>
            <w:tcW w:w="29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57" w:type="dxa"/>
            <w:tcBorders/>
            <w:shd w:fill="auto" w:val="clear"/>
            <w:vAlign w:val="bottom"/>
          </w:tcPr>
          <w:p>
            <w:pPr>
              <w:pStyle w:val="TableContents"/>
              <w:spacing w:before="0" w:after="283"/>
              <w:jc w:val="right"/>
              <w:rPr/>
            </w:pPr>
            <w:r>
              <w:rPr/>
              <w:t>12,258</w:t>
            </w:r>
          </w:p>
        </w:tc>
        <w:tc>
          <w:tcPr>
            <w:tcW w:w="238" w:type="dxa"/>
            <w:tcBorders/>
            <w:shd w:fill="auto" w:val="clear"/>
            <w:vAlign w:val="bottom"/>
          </w:tcPr>
          <w:p>
            <w:pPr>
              <w:pStyle w:val="TableContents"/>
              <w:spacing w:before="0" w:after="283"/>
              <w:rPr/>
            </w:pPr>
            <w:r>
              <w:rPr/>
              <w:t> </w:t>
            </w:r>
          </w:p>
        </w:tc>
      </w:tr>
      <w:tr>
        <w:trPr/>
        <w:tc>
          <w:tcPr>
            <w:tcW w:w="2093" w:type="dxa"/>
            <w:tcBorders/>
            <w:shd w:fill="CCEEFF" w:val="clear"/>
            <w:vAlign w:val="bottom"/>
          </w:tcPr>
          <w:p>
            <w:pPr>
              <w:pStyle w:val="TableContents"/>
              <w:spacing w:before="0" w:after="0"/>
              <w:ind w:left="675" w:right="0" w:hanging="225"/>
              <w:rPr/>
            </w:pPr>
            <w:r>
              <w:rPr/>
              <w:t>International avocados and perishable food products</w:t>
            </w:r>
          </w:p>
        </w:tc>
        <w:tc>
          <w:tcPr>
            <w:tcW w:w="18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711</w:t>
            </w:r>
          </w:p>
        </w:tc>
        <w:tc>
          <w:tcPr>
            <w:tcW w:w="24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664.5</w:t>
            </w:r>
          </w:p>
        </w:tc>
        <w:tc>
          <w:tcPr>
            <w:tcW w:w="326"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pPr>
            <w:r>
              <w:rPr/>
              <w:t>93</w:t>
            </w:r>
          </w:p>
        </w:tc>
        <w:tc>
          <w:tcPr>
            <w:tcW w:w="22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pPr>
            <w:r>
              <w:rPr/>
              <w:t>4,384</w:t>
            </w:r>
          </w:p>
        </w:tc>
        <w:tc>
          <w:tcPr>
            <w:tcW w:w="22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5.8</w:t>
            </w:r>
          </w:p>
        </w:tc>
        <w:tc>
          <w:tcPr>
            <w:tcW w:w="29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4,144</w:t>
            </w:r>
          </w:p>
        </w:tc>
        <w:tc>
          <w:tcPr>
            <w:tcW w:w="238" w:type="dxa"/>
            <w:tcBorders/>
            <w:shd w:fill="CCEEFF" w:val="clear"/>
            <w:vAlign w:val="bottom"/>
          </w:tcPr>
          <w:p>
            <w:pPr>
              <w:pStyle w:val="TableContents"/>
              <w:spacing w:before="0" w:after="283"/>
              <w:rPr/>
            </w:pPr>
            <w:r>
              <w:rPr/>
              <w:t> </w:t>
            </w:r>
          </w:p>
        </w:tc>
      </w:tr>
      <w:tr>
        <w:trPr/>
        <w:tc>
          <w:tcPr>
            <w:tcW w:w="2093" w:type="dxa"/>
            <w:tcBorders/>
            <w:shd w:fill="auto" w:val="clear"/>
            <w:vAlign w:val="bottom"/>
          </w:tcPr>
          <w:p>
            <w:pPr>
              <w:pStyle w:val="TableContents"/>
              <w:spacing w:before="0" w:after="0"/>
              <w:ind w:left="675" w:right="0" w:hanging="225"/>
              <w:rPr/>
            </w:pPr>
            <w:r>
              <w:rPr/>
              <w:t>Processed products</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jc w:val="right"/>
              <w:rPr/>
            </w:pPr>
            <w:r>
              <w:rPr/>
              <w:t>1,289</w:t>
            </w:r>
          </w:p>
        </w:tc>
        <w:tc>
          <w:tcPr>
            <w:tcW w:w="24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87.6</w:t>
            </w:r>
          </w:p>
        </w:tc>
        <w:tc>
          <w:tcPr>
            <w:tcW w:w="326"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pPr>
            <w:r>
              <w:rPr/>
              <w:t>687</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pPr>
            <w:r>
              <w:rPr/>
              <w:t>3,327</w:t>
            </w:r>
          </w:p>
        </w:tc>
        <w:tc>
          <w:tcPr>
            <w:tcW w:w="22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11.2</w:t>
            </w:r>
          </w:p>
        </w:tc>
        <w:tc>
          <w:tcPr>
            <w:tcW w:w="293"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2,991</w:t>
            </w:r>
          </w:p>
        </w:tc>
        <w:tc>
          <w:tcPr>
            <w:tcW w:w="238" w:type="dxa"/>
            <w:tcBorders/>
            <w:shd w:fill="auto" w:val="clear"/>
            <w:vAlign w:val="bottom"/>
          </w:tcPr>
          <w:p>
            <w:pPr>
              <w:pStyle w:val="TableContents"/>
              <w:spacing w:before="0" w:after="283"/>
              <w:rPr/>
            </w:pPr>
            <w:r>
              <w:rPr/>
              <w:t> </w:t>
            </w:r>
          </w:p>
        </w:tc>
      </w:tr>
      <w:tr>
        <w:trPr/>
        <w:tc>
          <w:tcPr>
            <w:tcW w:w="2093"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8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91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9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2093" w:type="dxa"/>
            <w:tcBorders/>
            <w:shd w:fill="CCEEFF" w:val="clear"/>
            <w:vAlign w:val="bottom"/>
          </w:tcPr>
          <w:p>
            <w:pPr>
              <w:pStyle w:val="TableContents"/>
              <w:spacing w:before="0" w:after="0"/>
              <w:ind w:left="900" w:right="0" w:hanging="225"/>
              <w:rPr/>
            </w:pPr>
            <w:r>
              <w:rPr/>
              <w:t>Total gross margins</w:t>
            </w:r>
          </w:p>
        </w:tc>
        <w:tc>
          <w:tcPr>
            <w:tcW w:w="18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711" w:type="dxa"/>
            <w:tcBorders/>
            <w:shd w:fill="CCEEFF" w:val="clear"/>
            <w:vAlign w:val="bottom"/>
          </w:tcPr>
          <w:p>
            <w:pPr>
              <w:pStyle w:val="TableContents"/>
              <w:spacing w:before="0" w:after="283"/>
              <w:jc w:val="right"/>
              <w:rPr/>
            </w:pPr>
            <w:r>
              <w:rPr/>
              <w:t>9,194</w:t>
            </w:r>
          </w:p>
        </w:tc>
        <w:tc>
          <w:tcPr>
            <w:tcW w:w="248"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7.5</w:t>
            </w:r>
          </w:p>
        </w:tc>
        <w:tc>
          <w:tcPr>
            <w:tcW w:w="326"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717" w:type="dxa"/>
            <w:tcBorders/>
            <w:shd w:fill="CCEEFF" w:val="clear"/>
            <w:vAlign w:val="bottom"/>
          </w:tcPr>
          <w:p>
            <w:pPr>
              <w:pStyle w:val="TableContents"/>
              <w:spacing w:before="0" w:after="283"/>
              <w:jc w:val="right"/>
              <w:rPr/>
            </w:pPr>
            <w:r>
              <w:rPr/>
              <w:t>8,556</w:t>
            </w:r>
          </w:p>
        </w:tc>
        <w:tc>
          <w:tcPr>
            <w:tcW w:w="22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58" w:type="dxa"/>
            <w:tcBorders/>
            <w:shd w:fill="CCEEFF" w:val="clear"/>
            <w:vAlign w:val="bottom"/>
          </w:tcPr>
          <w:p>
            <w:pPr>
              <w:pStyle w:val="TableContents"/>
              <w:spacing w:before="0" w:after="283"/>
              <w:jc w:val="right"/>
              <w:rPr/>
            </w:pPr>
            <w:r>
              <w:rPr/>
              <w:t>17,501</w:t>
            </w:r>
          </w:p>
        </w:tc>
        <w:tc>
          <w:tcPr>
            <w:tcW w:w="224"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283"/>
              <w:jc w:val="right"/>
              <w:rPr/>
            </w:pPr>
            <w:r>
              <w:rPr/>
              <w:t>(9.8</w:t>
            </w:r>
          </w:p>
        </w:tc>
        <w:tc>
          <w:tcPr>
            <w:tcW w:w="293"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57" w:type="dxa"/>
            <w:tcBorders/>
            <w:shd w:fill="CCEEFF" w:val="clear"/>
            <w:vAlign w:val="bottom"/>
          </w:tcPr>
          <w:p>
            <w:pPr>
              <w:pStyle w:val="TableContents"/>
              <w:spacing w:before="0" w:after="283"/>
              <w:jc w:val="right"/>
              <w:rPr/>
            </w:pPr>
            <w:r>
              <w:rPr/>
              <w:t>19,393</w:t>
            </w:r>
          </w:p>
        </w:tc>
        <w:tc>
          <w:tcPr>
            <w:tcW w:w="238" w:type="dxa"/>
            <w:tcBorders/>
            <w:shd w:fill="CCEEFF" w:val="clear"/>
            <w:vAlign w:val="bottom"/>
          </w:tcPr>
          <w:p>
            <w:pPr>
              <w:pStyle w:val="TableContents"/>
              <w:spacing w:before="0" w:after="283"/>
              <w:rPr/>
            </w:pPr>
            <w:r>
              <w:rPr/>
              <w:t> </w:t>
            </w:r>
          </w:p>
        </w:tc>
      </w:tr>
      <w:tr>
        <w:trPr/>
        <w:tc>
          <w:tcPr>
            <w:tcW w:w="2093" w:type="dxa"/>
            <w:tcBorders/>
            <w:shd w:fill="auto" w:val="clear"/>
            <w:vAlign w:val="center"/>
          </w:tcPr>
          <w:p>
            <w:pPr>
              <w:pStyle w:val="TableContents"/>
              <w:spacing w:before="0" w:after="0"/>
              <w:ind w:left="225" w:right="0" w:hanging="225"/>
              <w:rPr/>
            </w:pPr>
            <w:r>
              <w:rPr/>
              <w:t> </w:t>
            </w:r>
          </w:p>
        </w:tc>
        <w:tc>
          <w:tcPr>
            <w:tcW w:w="189" w:type="dxa"/>
            <w:tcBorders/>
            <w:shd w:fill="auto" w:val="clear"/>
            <w:vAlign w:val="center"/>
          </w:tcPr>
          <w:p>
            <w:pPr>
              <w:pStyle w:val="TableContents"/>
              <w:spacing w:before="0" w:after="283"/>
              <w:rPr/>
            </w:pPr>
            <w:r>
              <w:rPr/>
              <w:t> </w:t>
            </w:r>
          </w:p>
        </w:tc>
        <w:tc>
          <w:tcPr>
            <w:tcW w:w="8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8"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811"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283"/>
              <w:rPr/>
            </w:pPr>
            <w:r>
              <w:rPr/>
              <w:t> </w:t>
            </w:r>
          </w:p>
        </w:tc>
        <w:tc>
          <w:tcPr>
            <w:tcW w:w="8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91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4"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804"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9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2093" w:type="dxa"/>
            <w:tcBorders/>
            <w:shd w:fill="auto" w:val="clear"/>
            <w:vAlign w:val="bottom"/>
          </w:tcPr>
          <w:p>
            <w:pPr>
              <w:pStyle w:val="TableContents"/>
              <w:spacing w:before="0" w:after="0"/>
              <w:ind w:left="225" w:right="0" w:hanging="225"/>
              <w:rPr/>
            </w:pPr>
            <w:r>
              <w:rPr/>
              <w:t>Gross profit percentages:</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093" w:type="dxa"/>
            <w:tcBorders/>
            <w:shd w:fill="CCEEFF" w:val="clear"/>
            <w:vAlign w:val="bottom"/>
          </w:tcPr>
          <w:p>
            <w:pPr>
              <w:pStyle w:val="TableContents"/>
              <w:spacing w:before="0" w:after="0"/>
              <w:ind w:left="675" w:right="0" w:hanging="225"/>
              <w:rPr/>
            </w:pPr>
            <w:r>
              <w:rPr/>
              <w:t>California avocados</w:t>
            </w:r>
          </w:p>
        </w:tc>
        <w:tc>
          <w:tcPr>
            <w:tcW w:w="18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711" w:type="dxa"/>
            <w:tcBorders/>
            <w:shd w:fill="CCEEFF" w:val="clear"/>
            <w:vAlign w:val="bottom"/>
          </w:tcPr>
          <w:p>
            <w:pPr>
              <w:pStyle w:val="TableContents"/>
              <w:spacing w:before="0" w:after="283"/>
              <w:jc w:val="right"/>
              <w:rPr/>
            </w:pPr>
            <w:r>
              <w:rPr/>
              <w:t>12.3</w:t>
            </w:r>
          </w:p>
        </w:tc>
        <w:tc>
          <w:tcPr>
            <w:tcW w:w="248"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283"/>
              <w:jc w:val="right"/>
              <w:rPr/>
            </w:pPr>
            <w:r>
              <w:rPr/>
              <w:t>11.7</w:t>
            </w:r>
          </w:p>
        </w:tc>
        <w:tc>
          <w:tcPr>
            <w:tcW w:w="224"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10.7</w:t>
            </w:r>
          </w:p>
        </w:tc>
        <w:tc>
          <w:tcPr>
            <w:tcW w:w="224"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283"/>
              <w:jc w:val="right"/>
              <w:rPr/>
            </w:pPr>
            <w:r>
              <w:rPr/>
              <w:t>10.1</w:t>
            </w:r>
          </w:p>
        </w:tc>
        <w:tc>
          <w:tcPr>
            <w:tcW w:w="238"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675" w:right="0" w:hanging="225"/>
              <w:rPr/>
            </w:pPr>
            <w:r>
              <w:rPr/>
              <w:t>International avocados and perishable food products</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pPr>
            <w:r>
              <w:rPr/>
              <w:t>3.3</w:t>
            </w:r>
          </w:p>
        </w:tc>
        <w:tc>
          <w:tcPr>
            <w:tcW w:w="248"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717" w:type="dxa"/>
            <w:tcBorders/>
            <w:shd w:fill="auto" w:val="clear"/>
            <w:vAlign w:val="bottom"/>
          </w:tcPr>
          <w:p>
            <w:pPr>
              <w:pStyle w:val="TableContents"/>
              <w:spacing w:before="0" w:after="283"/>
              <w:jc w:val="right"/>
              <w:rPr/>
            </w:pPr>
            <w:r>
              <w:rPr/>
              <w:t>0.9</w:t>
            </w:r>
          </w:p>
        </w:tc>
        <w:tc>
          <w:tcPr>
            <w:tcW w:w="224"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5.2</w:t>
            </w:r>
          </w:p>
        </w:tc>
        <w:tc>
          <w:tcPr>
            <w:tcW w:w="224"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right"/>
              <w:rPr/>
            </w:pPr>
            <w:r>
              <w:rPr/>
              <w:t>6.1</w:t>
            </w:r>
          </w:p>
        </w:tc>
        <w:tc>
          <w:tcPr>
            <w:tcW w:w="238" w:type="dxa"/>
            <w:tcBorders/>
            <w:shd w:fill="auto" w:val="clear"/>
            <w:vAlign w:val="bottom"/>
          </w:tcPr>
          <w:p>
            <w:pPr>
              <w:pStyle w:val="TableContents"/>
              <w:spacing w:before="0" w:after="283"/>
              <w:rPr/>
            </w:pPr>
            <w:r>
              <w:rPr/>
              <w:t>%</w:t>
            </w:r>
          </w:p>
        </w:tc>
      </w:tr>
      <w:tr>
        <w:trPr/>
        <w:tc>
          <w:tcPr>
            <w:tcW w:w="2093" w:type="dxa"/>
            <w:tcBorders/>
            <w:shd w:fill="CCEEFF" w:val="clear"/>
            <w:vAlign w:val="bottom"/>
          </w:tcPr>
          <w:p>
            <w:pPr>
              <w:pStyle w:val="TableContents"/>
              <w:spacing w:before="0" w:after="0"/>
              <w:ind w:left="675" w:right="0" w:hanging="225"/>
              <w:rPr/>
            </w:pPr>
            <w:r>
              <w:rPr/>
              <w:t>Processed products</w:t>
            </w:r>
          </w:p>
        </w:tc>
        <w:tc>
          <w:tcPr>
            <w:tcW w:w="189"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711" w:type="dxa"/>
            <w:tcBorders/>
            <w:shd w:fill="CCEEFF" w:val="clear"/>
            <w:vAlign w:val="bottom"/>
          </w:tcPr>
          <w:p>
            <w:pPr>
              <w:pStyle w:val="TableContents"/>
              <w:spacing w:before="0" w:after="283"/>
              <w:jc w:val="right"/>
              <w:rPr/>
            </w:pPr>
            <w:r>
              <w:rPr/>
              <w:t>15.3</w:t>
            </w:r>
          </w:p>
        </w:tc>
        <w:tc>
          <w:tcPr>
            <w:tcW w:w="248" w:type="dxa"/>
            <w:tcBorders/>
            <w:shd w:fill="CCEEFF" w:val="clear"/>
            <w:vAlign w:val="bottom"/>
          </w:tcPr>
          <w:p>
            <w:pPr>
              <w:pStyle w:val="TableContents"/>
              <w:spacing w:before="0" w:after="283"/>
              <w:rPr/>
            </w:pPr>
            <w:r>
              <w:rPr/>
              <w:t>%</w:t>
            </w:r>
          </w:p>
        </w:tc>
        <w:tc>
          <w:tcPr>
            <w:tcW w:w="19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717" w:type="dxa"/>
            <w:tcBorders/>
            <w:shd w:fill="CCEEFF" w:val="clear"/>
            <w:vAlign w:val="bottom"/>
          </w:tcPr>
          <w:p>
            <w:pPr>
              <w:pStyle w:val="TableContents"/>
              <w:spacing w:before="0" w:after="283"/>
              <w:jc w:val="right"/>
              <w:rPr/>
            </w:pPr>
            <w:r>
              <w:rPr/>
              <w:t>10.2</w:t>
            </w:r>
          </w:p>
        </w:tc>
        <w:tc>
          <w:tcPr>
            <w:tcW w:w="224" w:type="dxa"/>
            <w:tcBorders/>
            <w:shd w:fill="CCEEFF" w:val="clear"/>
            <w:vAlign w:val="bottom"/>
          </w:tcPr>
          <w:p>
            <w:pPr>
              <w:pStyle w:val="TableContents"/>
              <w:spacing w:before="0" w:after="283"/>
              <w:rPr/>
            </w:pPr>
            <w:r>
              <w:rPr/>
              <w:t>%</w:t>
            </w:r>
          </w:p>
        </w:tc>
        <w:tc>
          <w:tcPr>
            <w:tcW w:w="18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58" w:type="dxa"/>
            <w:tcBorders/>
            <w:shd w:fill="CCEEFF" w:val="clear"/>
            <w:vAlign w:val="bottom"/>
          </w:tcPr>
          <w:p>
            <w:pPr>
              <w:pStyle w:val="TableContents"/>
              <w:spacing w:before="0" w:after="283"/>
              <w:jc w:val="right"/>
              <w:rPr/>
            </w:pPr>
            <w:r>
              <w:rPr/>
              <w:t>16.0</w:t>
            </w:r>
          </w:p>
        </w:tc>
        <w:tc>
          <w:tcPr>
            <w:tcW w:w="224" w:type="dxa"/>
            <w:tcBorders/>
            <w:shd w:fill="CCEEFF" w:val="clear"/>
            <w:vAlign w:val="bottom"/>
          </w:tcPr>
          <w:p>
            <w:pPr>
              <w:pStyle w:val="TableContents"/>
              <w:spacing w:before="0" w:after="283"/>
              <w:rPr/>
            </w:pPr>
            <w:r>
              <w:rPr/>
              <w:t>%</w:t>
            </w:r>
          </w:p>
        </w:tc>
        <w:tc>
          <w:tcPr>
            <w:tcW w:w="189"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57" w:type="dxa"/>
            <w:tcBorders/>
            <w:shd w:fill="CCEEFF" w:val="clear"/>
            <w:vAlign w:val="bottom"/>
          </w:tcPr>
          <w:p>
            <w:pPr>
              <w:pStyle w:val="TableContents"/>
              <w:spacing w:before="0" w:after="283"/>
              <w:jc w:val="right"/>
              <w:rPr/>
            </w:pPr>
            <w:r>
              <w:rPr/>
              <w:t>15.4</w:t>
            </w:r>
          </w:p>
        </w:tc>
        <w:tc>
          <w:tcPr>
            <w:tcW w:w="238" w:type="dxa"/>
            <w:tcBorders/>
            <w:shd w:fill="CCEEFF" w:val="clear"/>
            <w:vAlign w:val="bottom"/>
          </w:tcPr>
          <w:p>
            <w:pPr>
              <w:pStyle w:val="TableContents"/>
              <w:spacing w:before="0" w:after="283"/>
              <w:rPr/>
            </w:pPr>
            <w:r>
              <w:rPr/>
              <w:t>%</w:t>
            </w:r>
          </w:p>
        </w:tc>
      </w:tr>
      <w:tr>
        <w:trPr/>
        <w:tc>
          <w:tcPr>
            <w:tcW w:w="2093" w:type="dxa"/>
            <w:tcBorders/>
            <w:shd w:fill="auto" w:val="clear"/>
            <w:vAlign w:val="bottom"/>
          </w:tcPr>
          <w:p>
            <w:pPr>
              <w:pStyle w:val="TableContents"/>
              <w:spacing w:before="0" w:after="0"/>
              <w:ind w:left="675" w:right="0" w:hanging="225"/>
              <w:rPr/>
            </w:pPr>
            <w:r>
              <w:rPr/>
              <w:t>Consolidated</w:t>
            </w:r>
          </w:p>
        </w:tc>
        <w:tc>
          <w:tcPr>
            <w:tcW w:w="189"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711" w:type="dxa"/>
            <w:tcBorders/>
            <w:shd w:fill="auto" w:val="clear"/>
            <w:vAlign w:val="bottom"/>
          </w:tcPr>
          <w:p>
            <w:pPr>
              <w:pStyle w:val="TableContents"/>
              <w:spacing w:before="0" w:after="283"/>
              <w:jc w:val="right"/>
              <w:rPr/>
            </w:pPr>
            <w:r>
              <w:rPr/>
              <w:t>10.4</w:t>
            </w:r>
          </w:p>
        </w:tc>
        <w:tc>
          <w:tcPr>
            <w:tcW w:w="248" w:type="dxa"/>
            <w:tcBorders/>
            <w:shd w:fill="auto" w:val="clear"/>
            <w:vAlign w:val="bottom"/>
          </w:tcPr>
          <w:p>
            <w:pPr>
              <w:pStyle w:val="TableContents"/>
              <w:spacing w:before="0" w:after="283"/>
              <w:rPr/>
            </w:pPr>
            <w:r>
              <w:rPr/>
              <w:t>%</w:t>
            </w:r>
          </w:p>
        </w:tc>
        <w:tc>
          <w:tcPr>
            <w:tcW w:w="19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717" w:type="dxa"/>
            <w:tcBorders/>
            <w:shd w:fill="auto" w:val="clear"/>
            <w:vAlign w:val="bottom"/>
          </w:tcPr>
          <w:p>
            <w:pPr>
              <w:pStyle w:val="TableContents"/>
              <w:spacing w:before="0" w:after="283"/>
              <w:jc w:val="right"/>
              <w:rPr/>
            </w:pPr>
            <w:r>
              <w:rPr/>
              <w:t>10.3</w:t>
            </w:r>
          </w:p>
        </w:tc>
        <w:tc>
          <w:tcPr>
            <w:tcW w:w="224" w:type="dxa"/>
            <w:tcBorders/>
            <w:shd w:fill="auto" w:val="clear"/>
            <w:vAlign w:val="bottom"/>
          </w:tcPr>
          <w:p>
            <w:pPr>
              <w:pStyle w:val="TableContents"/>
              <w:spacing w:before="0" w:after="283"/>
              <w:rPr/>
            </w:pPr>
            <w:r>
              <w:rPr/>
              <w:t>%</w:t>
            </w:r>
          </w:p>
        </w:tc>
        <w:tc>
          <w:tcPr>
            <w:tcW w:w="18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58" w:type="dxa"/>
            <w:tcBorders/>
            <w:shd w:fill="auto" w:val="clear"/>
            <w:vAlign w:val="bottom"/>
          </w:tcPr>
          <w:p>
            <w:pPr>
              <w:pStyle w:val="TableContents"/>
              <w:spacing w:before="0" w:after="283"/>
              <w:jc w:val="right"/>
              <w:rPr/>
            </w:pPr>
            <w:r>
              <w:rPr/>
              <w:t>8.9</w:t>
            </w:r>
          </w:p>
        </w:tc>
        <w:tc>
          <w:tcPr>
            <w:tcW w:w="224" w:type="dxa"/>
            <w:tcBorders/>
            <w:shd w:fill="auto" w:val="clear"/>
            <w:vAlign w:val="bottom"/>
          </w:tcPr>
          <w:p>
            <w:pPr>
              <w:pStyle w:val="TableContents"/>
              <w:spacing w:before="0" w:after="283"/>
              <w:rPr/>
            </w:pPr>
            <w:r>
              <w:rPr/>
              <w:t>%</w:t>
            </w:r>
          </w:p>
        </w:tc>
        <w:tc>
          <w:tcPr>
            <w:tcW w:w="189"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right"/>
              <w:rPr/>
            </w:pPr>
            <w:r>
              <w:rPr/>
              <w:t>9.3</w:t>
            </w:r>
          </w:p>
        </w:tc>
        <w:tc>
          <w:tcPr>
            <w:tcW w:w="238"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Consolidated gross margin, as a percent of sales, remained consistent for the three month period ended July 31, 2005. For the nine month period ended July 31, 2005, consolidated gross margin, as a percent of sales, decreased 0.4%. This decrease was principally attributable to decreased profitability in our international avocados and perishable food products operating segment. </w:t>
      </w:r>
    </w:p>
    <w:p>
      <w:pPr>
        <w:pStyle w:val="TextBody"/>
        <w:spacing w:before="120" w:after="283"/>
        <w:jc w:val="left"/>
        <w:rPr/>
      </w:pPr>
      <w:r>
        <w:rPr/>
        <w:t>     </w:t>
      </w:r>
      <w:r>
        <w:rPr>
          <w:rFonts w:ascii="Times New Roman;Times;serif" w:hAnsi="Times New Roman;Times;serif"/>
          <w:sz w:val="17"/>
        </w:rPr>
        <w:t xml:space="preserve">For the nine months ended July 31, 2005, our California avocados segment experienced an increase in its gross profit percentage. This was principally driven by a minor increase in our packing and marketing fee (which is charged to cover our costs and a profit). For the nine months ended July 31, 2005, the gross profit percentages generated by our international avocados and perishable food products business were negatively impacted by an increase in fruit costs. These increases in fruit costs, however, were partially offset by increases in fruit volume, which had the effect of reducing our per pound packing costs. For the nine months ended July 31, 2005, the gross profit percentages for our processed products segment increased primarily as a result of efficiencies related to the relocation of production from Santa Paula, California and Mexicali, Mexico to our newly acquired facility in Uruapan, Mexico. Such efficiencies were partially offset, however, by higher fruit costs and final costs related to the closing of our Mexicali, Mexico facility. We anticipate that the gross profit percentage for our processed product segment will continue to experience significant fluctuations during the next fiscal quarter primarily due to uncertainty of fruit costs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074"/>
        <w:gridCol w:w="190"/>
        <w:gridCol w:w="179"/>
        <w:gridCol w:w="747"/>
        <w:gridCol w:w="261"/>
        <w:gridCol w:w="201"/>
        <w:gridCol w:w="113"/>
        <w:gridCol w:w="782"/>
        <w:gridCol w:w="261"/>
        <w:gridCol w:w="201"/>
        <w:gridCol w:w="179"/>
        <w:gridCol w:w="750"/>
        <w:gridCol w:w="220"/>
        <w:gridCol w:w="190"/>
        <w:gridCol w:w="159"/>
        <w:gridCol w:w="779"/>
        <w:gridCol w:w="230"/>
        <w:gridCol w:w="193"/>
        <w:gridCol w:w="114"/>
        <w:gridCol w:w="781"/>
        <w:gridCol w:w="230"/>
        <w:gridCol w:w="193"/>
        <w:gridCol w:w="159"/>
        <w:gridCol w:w="786"/>
        <w:gridCol w:w="233"/>
      </w:tblGrid>
      <w:tr>
        <w:trPr/>
        <w:tc>
          <w:tcPr>
            <w:tcW w:w="207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r>
      <w:tr>
        <w:trPr/>
        <w:tc>
          <w:tcPr>
            <w:tcW w:w="207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67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3624"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3" w:type="dxa"/>
            <w:tcBorders/>
            <w:shd w:fill="auto" w:val="clear"/>
            <w:vAlign w:val="bottom"/>
          </w:tcPr>
          <w:p>
            <w:pPr>
              <w:pStyle w:val="TableContents"/>
              <w:spacing w:before="0" w:after="283"/>
              <w:rPr/>
            </w:pPr>
            <w:r>
              <w:rPr/>
              <w:t> </w:t>
            </w:r>
          </w:p>
        </w:tc>
      </w:tr>
      <w:tr>
        <w:trPr/>
        <w:tc>
          <w:tcPr>
            <w:tcW w:w="2074"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90" w:type="dxa"/>
            <w:tcBorders/>
            <w:shd w:fill="auto" w:val="clear"/>
            <w:vAlign w:val="bottom"/>
          </w:tcPr>
          <w:p>
            <w:pPr>
              <w:pStyle w:val="TableContents"/>
              <w:spacing w:before="0" w:after="283"/>
              <w:rPr/>
            </w:pPr>
            <w:r>
              <w:rPr/>
              <w:t> </w:t>
            </w:r>
          </w:p>
        </w:tc>
        <w:tc>
          <w:tcPr>
            <w:tcW w:w="92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3" w:type="dxa"/>
            <w:tcBorders/>
            <w:shd w:fill="auto" w:val="clear"/>
            <w:vAlign w:val="bottom"/>
          </w:tcPr>
          <w:p>
            <w:pPr>
              <w:pStyle w:val="TableContents"/>
              <w:spacing w:before="0" w:after="283"/>
              <w:rPr/>
            </w:pPr>
            <w:r>
              <w:rPr/>
              <w:t> </w:t>
            </w:r>
          </w:p>
        </w:tc>
      </w:tr>
      <w:tr>
        <w:trPr/>
        <w:tc>
          <w:tcPr>
            <w:tcW w:w="2074" w:type="dxa"/>
            <w:tcBorders/>
            <w:shd w:fill="auto" w:val="clear"/>
            <w:vAlign w:val="bottom"/>
          </w:tcPr>
          <w:p>
            <w:pPr>
              <w:pStyle w:val="TableContents"/>
              <w:spacing w:before="0" w:after="0"/>
              <w:ind w:left="225" w:right="0" w:hanging="225"/>
              <w:rPr/>
            </w:pPr>
            <w:r>
              <w:rPr/>
              <w:t>Selling, general and administrative</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747" w:type="dxa"/>
            <w:tcBorders/>
            <w:shd w:fill="auto" w:val="clear"/>
            <w:vAlign w:val="bottom"/>
          </w:tcPr>
          <w:p>
            <w:pPr>
              <w:pStyle w:val="TableContents"/>
              <w:spacing w:before="0" w:after="283"/>
              <w:jc w:val="right"/>
              <w:rPr/>
            </w:pPr>
            <w:r>
              <w:rPr/>
              <w:t>4,825</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782" w:type="dxa"/>
            <w:tcBorders/>
            <w:shd w:fill="auto" w:val="clear"/>
            <w:vAlign w:val="bottom"/>
          </w:tcPr>
          <w:p>
            <w:pPr>
              <w:pStyle w:val="TableContents"/>
              <w:spacing w:before="0" w:after="283"/>
              <w:jc w:val="right"/>
              <w:rPr/>
            </w:pPr>
            <w:r>
              <w:rPr/>
              <w:t>25.4</w:t>
            </w:r>
          </w:p>
        </w:tc>
        <w:tc>
          <w:tcPr>
            <w:tcW w:w="261"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750" w:type="dxa"/>
            <w:tcBorders/>
            <w:shd w:fill="auto" w:val="clear"/>
            <w:vAlign w:val="bottom"/>
          </w:tcPr>
          <w:p>
            <w:pPr>
              <w:pStyle w:val="TableContents"/>
              <w:spacing w:before="0" w:after="283"/>
              <w:jc w:val="right"/>
              <w:rPr/>
            </w:pPr>
            <w:r>
              <w:rPr/>
              <w:t>3,848</w:t>
            </w:r>
          </w:p>
        </w:tc>
        <w:tc>
          <w:tcPr>
            <w:tcW w:w="2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79" w:type="dxa"/>
            <w:tcBorders/>
            <w:shd w:fill="auto" w:val="clear"/>
            <w:vAlign w:val="bottom"/>
          </w:tcPr>
          <w:p>
            <w:pPr>
              <w:pStyle w:val="TableContents"/>
              <w:spacing w:before="0" w:after="283"/>
              <w:jc w:val="right"/>
              <w:rPr/>
            </w:pPr>
            <w:r>
              <w:rPr/>
              <w:t>13,645</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781" w:type="dxa"/>
            <w:tcBorders/>
            <w:shd w:fill="auto" w:val="clear"/>
            <w:vAlign w:val="bottom"/>
          </w:tcPr>
          <w:p>
            <w:pPr>
              <w:pStyle w:val="TableContents"/>
              <w:spacing w:before="0" w:after="283"/>
              <w:jc w:val="right"/>
              <w:rPr/>
            </w:pPr>
            <w:r>
              <w:rPr/>
              <w:t>18.6</w:t>
            </w:r>
          </w:p>
        </w:tc>
        <w:tc>
          <w:tcPr>
            <w:tcW w:w="230"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11,504</w:t>
            </w:r>
          </w:p>
        </w:tc>
        <w:tc>
          <w:tcPr>
            <w:tcW w:w="233" w:type="dxa"/>
            <w:tcBorders/>
            <w:shd w:fill="auto" w:val="clear"/>
            <w:vAlign w:val="bottom"/>
          </w:tcPr>
          <w:p>
            <w:pPr>
              <w:pStyle w:val="TableContents"/>
              <w:spacing w:before="0" w:after="283"/>
              <w:rPr/>
            </w:pPr>
            <w:r>
              <w:rPr/>
              <w:t> </w:t>
            </w:r>
          </w:p>
        </w:tc>
      </w:tr>
      <w:tr>
        <w:trPr/>
        <w:tc>
          <w:tcPr>
            <w:tcW w:w="2074" w:type="dxa"/>
            <w:tcBorders/>
            <w:shd w:fill="auto" w:val="clear"/>
            <w:vAlign w:val="bottom"/>
          </w:tcPr>
          <w:p>
            <w:pPr>
              <w:pStyle w:val="TableContents"/>
              <w:spacing w:before="0" w:after="0"/>
              <w:ind w:left="225" w:right="0" w:hanging="225"/>
              <w:rPr/>
            </w:pPr>
            <w:r>
              <w:rPr/>
              <w:t>Percentage of net sales</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283"/>
              <w:jc w:val="right"/>
              <w:rPr/>
            </w:pPr>
            <w:r>
              <w:rPr/>
              <w:t>5.4</w:t>
            </w:r>
          </w:p>
        </w:tc>
        <w:tc>
          <w:tcPr>
            <w:tcW w:w="261" w:type="dxa"/>
            <w:tcBorders/>
            <w:shd w:fill="auto" w:val="clear"/>
            <w:vAlign w:val="bottom"/>
          </w:tcPr>
          <w:p>
            <w:pPr>
              <w:pStyle w:val="TableContents"/>
              <w:spacing w:before="0" w:after="283"/>
              <w:rPr/>
            </w:pPr>
            <w:r>
              <w:rPr/>
              <w:t>%</w:t>
            </w:r>
          </w:p>
        </w:tc>
        <w:tc>
          <w:tcPr>
            <w:tcW w:w="201"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750" w:type="dxa"/>
            <w:tcBorders/>
            <w:shd w:fill="auto" w:val="clear"/>
            <w:vAlign w:val="bottom"/>
          </w:tcPr>
          <w:p>
            <w:pPr>
              <w:pStyle w:val="TableContents"/>
              <w:spacing w:before="0" w:after="283"/>
              <w:jc w:val="right"/>
              <w:rPr/>
            </w:pPr>
            <w:r>
              <w:rPr/>
              <w:t>4.6</w:t>
            </w:r>
          </w:p>
        </w:tc>
        <w:tc>
          <w:tcPr>
            <w:tcW w:w="220"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79" w:type="dxa"/>
            <w:tcBorders/>
            <w:shd w:fill="auto" w:val="clear"/>
            <w:vAlign w:val="bottom"/>
          </w:tcPr>
          <w:p>
            <w:pPr>
              <w:pStyle w:val="TableContents"/>
              <w:spacing w:before="0" w:after="283"/>
              <w:jc w:val="right"/>
              <w:rPr/>
            </w:pPr>
            <w:r>
              <w:rPr/>
              <w:t>6.9</w:t>
            </w:r>
          </w:p>
        </w:tc>
        <w:tc>
          <w:tcPr>
            <w:tcW w:w="230" w:type="dxa"/>
            <w:tcBorders/>
            <w:shd w:fill="auto" w:val="clear"/>
            <w:vAlign w:val="bottom"/>
          </w:tcPr>
          <w:p>
            <w:pPr>
              <w:pStyle w:val="TableContents"/>
              <w:spacing w:before="0" w:after="283"/>
              <w:rPr/>
            </w:pPr>
            <w:r>
              <w:rPr/>
              <w:t>%</w:t>
            </w:r>
          </w:p>
        </w:tc>
        <w:tc>
          <w:tcPr>
            <w:tcW w:w="19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6" w:type="dxa"/>
            <w:tcBorders/>
            <w:shd w:fill="auto" w:val="clear"/>
            <w:vAlign w:val="bottom"/>
          </w:tcPr>
          <w:p>
            <w:pPr>
              <w:pStyle w:val="TableContents"/>
              <w:spacing w:before="0" w:after="283"/>
              <w:jc w:val="right"/>
              <w:rPr/>
            </w:pPr>
            <w:r>
              <w:rPr/>
              <w:t>5.5</w:t>
            </w:r>
          </w:p>
        </w:tc>
        <w:tc>
          <w:tcPr>
            <w:tcW w:w="233"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increased $1.0 million, or 25.4%, for the three months ended July 31, 2005, when compared to the same period for fiscal 2004. This increase was primarily related to higher corporate costs, including, but not limited to, costs related to implementing provisions required under section 404 of the Sarbanes-Oxley Act (totaling approximately $0.5 million) and an increase in bad debt expense (totaling approximately $0.4 million). For the first nine months ended July 31, 2005, when compared to the same prior year period, selling, general and administrative expenses increased by $2.1 million, or 18.6%, compared to the same period for fiscal 2004. This increase was primarily related to higher corporate costs, including, but not limited to, costs related to implementing provisions required under section 404 of the Sarbanes-Oxley Act (totaling approximately $1.1 million), an increase in bad debt expense (totaling approximately $0.4 million), corporate moving expenses (totaling approximately $0.3 million) and final expenses related to the closing of our Mexicali, Mexico facility (totaling approximately $0.1 million). Such higher corporate costs were partially offset by a decrease in employee compensation costs (totaling approximately $0.6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Income,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151"/>
        <w:gridCol w:w="202"/>
        <w:gridCol w:w="215"/>
        <w:gridCol w:w="652"/>
        <w:gridCol w:w="315"/>
        <w:gridCol w:w="226"/>
        <w:gridCol w:w="116"/>
        <w:gridCol w:w="800"/>
        <w:gridCol w:w="315"/>
        <w:gridCol w:w="226"/>
        <w:gridCol w:w="215"/>
        <w:gridCol w:w="576"/>
        <w:gridCol w:w="224"/>
        <w:gridCol w:w="202"/>
        <w:gridCol w:w="180"/>
        <w:gridCol w:w="751"/>
        <w:gridCol w:w="260"/>
        <w:gridCol w:w="212"/>
        <w:gridCol w:w="100"/>
        <w:gridCol w:w="816"/>
        <w:gridCol w:w="260"/>
        <w:gridCol w:w="212"/>
        <w:gridCol w:w="180"/>
        <w:gridCol w:w="559"/>
        <w:gridCol w:w="240"/>
      </w:tblGrid>
      <w:tr>
        <w:trPr/>
        <w:tc>
          <w:tcPr>
            <w:tcW w:w="215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r>
      <w:tr>
        <w:trPr/>
        <w:tc>
          <w:tcPr>
            <w:tcW w:w="215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56"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530"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40" w:type="dxa"/>
            <w:tcBorders/>
            <w:shd w:fill="auto" w:val="clear"/>
            <w:vAlign w:val="bottom"/>
          </w:tcPr>
          <w:p>
            <w:pPr>
              <w:pStyle w:val="TableContents"/>
              <w:spacing w:before="0" w:after="283"/>
              <w:rPr/>
            </w:pPr>
            <w:r>
              <w:rPr/>
              <w:t> </w:t>
            </w:r>
          </w:p>
        </w:tc>
      </w:tr>
      <w:tr>
        <w:trPr/>
        <w:tc>
          <w:tcPr>
            <w:tcW w:w="2151"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202" w:type="dxa"/>
            <w:tcBorders/>
            <w:shd w:fill="auto" w:val="clear"/>
            <w:vAlign w:val="bottom"/>
          </w:tcPr>
          <w:p>
            <w:pPr>
              <w:pStyle w:val="TableContents"/>
              <w:spacing w:before="0" w:after="283"/>
              <w:rPr/>
            </w:pPr>
            <w:r>
              <w:rPr/>
              <w:t> </w:t>
            </w:r>
          </w:p>
        </w:tc>
        <w:tc>
          <w:tcPr>
            <w:tcW w:w="8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7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3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73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40" w:type="dxa"/>
            <w:tcBorders/>
            <w:shd w:fill="auto" w:val="clear"/>
            <w:vAlign w:val="bottom"/>
          </w:tcPr>
          <w:p>
            <w:pPr>
              <w:pStyle w:val="TableContents"/>
              <w:spacing w:before="0" w:after="283"/>
              <w:rPr/>
            </w:pPr>
            <w:r>
              <w:rPr/>
              <w:t> </w:t>
            </w:r>
          </w:p>
        </w:tc>
      </w:tr>
      <w:tr>
        <w:trPr/>
        <w:tc>
          <w:tcPr>
            <w:tcW w:w="2151" w:type="dxa"/>
            <w:tcBorders/>
            <w:shd w:fill="auto" w:val="clear"/>
            <w:vAlign w:val="bottom"/>
          </w:tcPr>
          <w:p>
            <w:pPr>
              <w:pStyle w:val="TableContents"/>
              <w:spacing w:before="0" w:after="0"/>
              <w:ind w:left="225" w:right="0" w:hanging="225"/>
              <w:rPr/>
            </w:pPr>
            <w:r>
              <w:rPr/>
              <w:t>Other income, net</w:t>
            </w:r>
          </w:p>
        </w:tc>
        <w:tc>
          <w:tcPr>
            <w:tcW w:w="2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652" w:type="dxa"/>
            <w:tcBorders/>
            <w:shd w:fill="auto" w:val="clear"/>
            <w:vAlign w:val="bottom"/>
          </w:tcPr>
          <w:p>
            <w:pPr>
              <w:pStyle w:val="TableContents"/>
              <w:spacing w:before="0" w:after="283"/>
              <w:jc w:val="right"/>
              <w:rPr/>
            </w:pPr>
            <w:r>
              <w:rPr/>
              <w:t>153</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68.1</w:t>
            </w:r>
          </w:p>
        </w:tc>
        <w:tc>
          <w:tcPr>
            <w:tcW w:w="315"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576" w:type="dxa"/>
            <w:tcBorders/>
            <w:shd w:fill="auto" w:val="clear"/>
            <w:vAlign w:val="bottom"/>
          </w:tcPr>
          <w:p>
            <w:pPr>
              <w:pStyle w:val="TableContents"/>
              <w:spacing w:before="0" w:after="283"/>
              <w:jc w:val="right"/>
              <w:rPr/>
            </w:pPr>
            <w:r>
              <w:rPr/>
              <w:t>91</w:t>
            </w:r>
          </w:p>
        </w:tc>
        <w:tc>
          <w:tcPr>
            <w:tcW w:w="22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51" w:type="dxa"/>
            <w:tcBorders/>
            <w:shd w:fill="auto" w:val="clear"/>
            <w:vAlign w:val="bottom"/>
          </w:tcPr>
          <w:p>
            <w:pPr>
              <w:pStyle w:val="TableContents"/>
              <w:spacing w:before="0" w:after="283"/>
              <w:jc w:val="right"/>
              <w:rPr/>
            </w:pPr>
            <w:r>
              <w:rPr/>
              <w:t>2,144</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589.4</w:t>
            </w:r>
          </w:p>
        </w:tc>
        <w:tc>
          <w:tcPr>
            <w:tcW w:w="260"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559" w:type="dxa"/>
            <w:tcBorders/>
            <w:shd w:fill="auto" w:val="clear"/>
            <w:vAlign w:val="bottom"/>
          </w:tcPr>
          <w:p>
            <w:pPr>
              <w:pStyle w:val="TableContents"/>
              <w:spacing w:before="0" w:after="283"/>
              <w:jc w:val="right"/>
              <w:rPr/>
            </w:pPr>
            <w:r>
              <w:rPr/>
              <w:t>311</w:t>
            </w:r>
          </w:p>
        </w:tc>
        <w:tc>
          <w:tcPr>
            <w:tcW w:w="240" w:type="dxa"/>
            <w:tcBorders/>
            <w:shd w:fill="auto" w:val="clear"/>
            <w:vAlign w:val="bottom"/>
          </w:tcPr>
          <w:p>
            <w:pPr>
              <w:pStyle w:val="TableContents"/>
              <w:spacing w:before="0" w:after="283"/>
              <w:rPr/>
            </w:pPr>
            <w:r>
              <w:rPr/>
              <w:t> </w:t>
            </w:r>
          </w:p>
        </w:tc>
      </w:tr>
      <w:tr>
        <w:trPr/>
        <w:tc>
          <w:tcPr>
            <w:tcW w:w="2151" w:type="dxa"/>
            <w:tcBorders/>
            <w:shd w:fill="auto" w:val="clear"/>
            <w:vAlign w:val="bottom"/>
          </w:tcPr>
          <w:p>
            <w:pPr>
              <w:pStyle w:val="TableContents"/>
              <w:spacing w:before="0" w:after="0"/>
              <w:ind w:left="225" w:right="0" w:hanging="225"/>
              <w:rPr/>
            </w:pPr>
            <w:r>
              <w:rPr/>
              <w:t>Percentage of net sales</w:t>
            </w:r>
          </w:p>
        </w:tc>
        <w:tc>
          <w:tcPr>
            <w:tcW w:w="20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652" w:type="dxa"/>
            <w:tcBorders/>
            <w:shd w:fill="auto" w:val="clear"/>
            <w:vAlign w:val="bottom"/>
          </w:tcPr>
          <w:p>
            <w:pPr>
              <w:pStyle w:val="TableContents"/>
              <w:spacing w:before="0" w:after="283"/>
              <w:jc w:val="right"/>
              <w:rPr/>
            </w:pPr>
            <w:r>
              <w:rPr/>
              <w:t>0.2</w:t>
            </w:r>
          </w:p>
        </w:tc>
        <w:tc>
          <w:tcPr>
            <w:tcW w:w="315" w:type="dxa"/>
            <w:tcBorders/>
            <w:shd w:fill="auto" w:val="clear"/>
            <w:vAlign w:val="bottom"/>
          </w:tcPr>
          <w:p>
            <w:pPr>
              <w:pStyle w:val="TableContents"/>
              <w:spacing w:before="0" w:after="283"/>
              <w:rPr/>
            </w:pPr>
            <w:r>
              <w:rPr/>
              <w:t>%</w:t>
            </w:r>
          </w:p>
        </w:tc>
        <w:tc>
          <w:tcPr>
            <w:tcW w:w="22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576" w:type="dxa"/>
            <w:tcBorders/>
            <w:shd w:fill="auto" w:val="clear"/>
            <w:vAlign w:val="bottom"/>
          </w:tcPr>
          <w:p>
            <w:pPr>
              <w:pStyle w:val="TableContents"/>
              <w:spacing w:before="0" w:after="283"/>
              <w:jc w:val="right"/>
              <w:rPr/>
            </w:pPr>
            <w:r>
              <w:rPr/>
              <w:t>0.1</w:t>
            </w:r>
          </w:p>
        </w:tc>
        <w:tc>
          <w:tcPr>
            <w:tcW w:w="224" w:type="dxa"/>
            <w:tcBorders/>
            <w:shd w:fill="auto" w:val="clear"/>
            <w:vAlign w:val="bottom"/>
          </w:tcPr>
          <w:p>
            <w:pPr>
              <w:pStyle w:val="TableContents"/>
              <w:spacing w:before="0" w:after="283"/>
              <w:rPr/>
            </w:pPr>
            <w:r>
              <w:rPr/>
              <w:t>%</w:t>
            </w:r>
          </w:p>
        </w:tc>
        <w:tc>
          <w:tcPr>
            <w:tcW w:w="20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51" w:type="dxa"/>
            <w:tcBorders/>
            <w:shd w:fill="auto" w:val="clear"/>
            <w:vAlign w:val="bottom"/>
          </w:tcPr>
          <w:p>
            <w:pPr>
              <w:pStyle w:val="TableContents"/>
              <w:spacing w:before="0" w:after="283"/>
              <w:jc w:val="right"/>
              <w:rPr/>
            </w:pPr>
            <w:r>
              <w:rPr/>
              <w:t>1.1</w:t>
            </w:r>
          </w:p>
        </w:tc>
        <w:tc>
          <w:tcPr>
            <w:tcW w:w="260" w:type="dxa"/>
            <w:tcBorders/>
            <w:shd w:fill="auto" w:val="clear"/>
            <w:vAlign w:val="bottom"/>
          </w:tcPr>
          <w:p>
            <w:pPr>
              <w:pStyle w:val="TableContents"/>
              <w:spacing w:before="0" w:after="283"/>
              <w:rPr/>
            </w:pPr>
            <w:r>
              <w:rPr/>
              <w:t>%</w:t>
            </w:r>
          </w:p>
        </w:tc>
        <w:tc>
          <w:tcPr>
            <w:tcW w:w="21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559" w:type="dxa"/>
            <w:tcBorders/>
            <w:shd w:fill="auto" w:val="clear"/>
            <w:vAlign w:val="bottom"/>
          </w:tcPr>
          <w:p>
            <w:pPr>
              <w:pStyle w:val="TableContents"/>
              <w:spacing w:before="0" w:after="283"/>
              <w:jc w:val="right"/>
              <w:rPr/>
            </w:pPr>
            <w:r>
              <w:rPr/>
              <w:t>0.1</w:t>
            </w:r>
          </w:p>
        </w:tc>
        <w:tc>
          <w:tcPr>
            <w:tcW w:w="240"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Other income, net includes interest income and expense generated in connection with our financing and operating activities, as well as certain other transactions that are outside of the course of normal operations. For the nine months ended July 31, 2005, other income, net includes the gain on the sale of our corporate facility totaling approximately $1.7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Provision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056"/>
        <w:gridCol w:w="180"/>
        <w:gridCol w:w="180"/>
        <w:gridCol w:w="749"/>
        <w:gridCol w:w="264"/>
        <w:gridCol w:w="190"/>
        <w:gridCol w:w="123"/>
        <w:gridCol w:w="784"/>
        <w:gridCol w:w="347"/>
        <w:gridCol w:w="190"/>
        <w:gridCol w:w="179"/>
        <w:gridCol w:w="757"/>
        <w:gridCol w:w="225"/>
        <w:gridCol w:w="180"/>
        <w:gridCol w:w="166"/>
        <w:gridCol w:w="693"/>
        <w:gridCol w:w="242"/>
        <w:gridCol w:w="185"/>
        <w:gridCol w:w="103"/>
        <w:gridCol w:w="805"/>
        <w:gridCol w:w="319"/>
        <w:gridCol w:w="185"/>
        <w:gridCol w:w="166"/>
        <w:gridCol w:w="699"/>
        <w:gridCol w:w="238"/>
      </w:tblGrid>
      <w:tr>
        <w:trPr/>
        <w:tc>
          <w:tcPr>
            <w:tcW w:w="205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749"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2056"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76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July 31,</w:t>
            </w:r>
          </w:p>
        </w:tc>
        <w:tc>
          <w:tcPr>
            <w:tcW w:w="22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3563"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July 31,</w:t>
            </w:r>
          </w:p>
        </w:tc>
        <w:tc>
          <w:tcPr>
            <w:tcW w:w="238" w:type="dxa"/>
            <w:tcBorders/>
            <w:shd w:fill="auto" w:val="clear"/>
            <w:vAlign w:val="bottom"/>
          </w:tcPr>
          <w:p>
            <w:pPr>
              <w:pStyle w:val="TableContents"/>
              <w:spacing w:before="0" w:after="283"/>
              <w:rPr/>
            </w:pPr>
            <w:r>
              <w:rPr/>
              <w:t> </w:t>
            </w:r>
          </w:p>
        </w:tc>
      </w:tr>
      <w:tr>
        <w:trPr/>
        <w:tc>
          <w:tcPr>
            <w:tcW w:w="2056"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180" w:type="dxa"/>
            <w:tcBorders/>
            <w:shd w:fill="auto" w:val="clear"/>
            <w:vAlign w:val="bottom"/>
          </w:tcPr>
          <w:p>
            <w:pPr>
              <w:pStyle w:val="TableContents"/>
              <w:spacing w:before="0" w:after="283"/>
              <w:rPr/>
            </w:pPr>
            <w:r>
              <w:rPr/>
              <w:t> </w:t>
            </w:r>
          </w:p>
        </w:tc>
        <w:tc>
          <w:tcPr>
            <w:tcW w:w="9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4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2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9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1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8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2004</w:t>
            </w:r>
          </w:p>
        </w:tc>
        <w:tc>
          <w:tcPr>
            <w:tcW w:w="238" w:type="dxa"/>
            <w:tcBorders/>
            <w:shd w:fill="auto" w:val="clear"/>
            <w:vAlign w:val="bottom"/>
          </w:tcPr>
          <w:p>
            <w:pPr>
              <w:pStyle w:val="TableContents"/>
              <w:spacing w:before="0" w:after="283"/>
              <w:rPr/>
            </w:pPr>
            <w:r>
              <w:rPr/>
              <w:t> </w:t>
            </w:r>
          </w:p>
        </w:tc>
      </w:tr>
      <w:tr>
        <w:trPr/>
        <w:tc>
          <w:tcPr>
            <w:tcW w:w="2056" w:type="dxa"/>
            <w:tcBorders/>
            <w:shd w:fill="auto" w:val="clear"/>
            <w:vAlign w:val="bottom"/>
          </w:tcPr>
          <w:p>
            <w:pPr>
              <w:pStyle w:val="TableContents"/>
              <w:spacing w:before="0" w:after="0"/>
              <w:ind w:left="225" w:right="0" w:hanging="225"/>
              <w:rPr/>
            </w:pPr>
            <w:r>
              <w:rPr/>
              <w:t>Provision for income taxes</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w:t>
            </w:r>
          </w:p>
        </w:tc>
        <w:tc>
          <w:tcPr>
            <w:tcW w:w="749" w:type="dxa"/>
            <w:tcBorders/>
            <w:shd w:fill="auto" w:val="clear"/>
            <w:vAlign w:val="bottom"/>
          </w:tcPr>
          <w:p>
            <w:pPr>
              <w:pStyle w:val="TableContents"/>
              <w:spacing w:before="0" w:after="283"/>
              <w:jc w:val="right"/>
              <w:rPr/>
            </w:pPr>
            <w:r>
              <w:rPr/>
              <w:t>1,603</w:t>
            </w:r>
          </w:p>
        </w:tc>
        <w:tc>
          <w:tcPr>
            <w:tcW w:w="264"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784" w:type="dxa"/>
            <w:tcBorders/>
            <w:shd w:fill="auto" w:val="clear"/>
            <w:vAlign w:val="bottom"/>
          </w:tcPr>
          <w:p>
            <w:pPr>
              <w:pStyle w:val="TableContents"/>
              <w:spacing w:before="0" w:after="283"/>
              <w:jc w:val="right"/>
              <w:rPr/>
            </w:pPr>
            <w:r>
              <w:rPr/>
              <w:t>(7.8</w:t>
            </w:r>
          </w:p>
        </w:tc>
        <w:tc>
          <w:tcPr>
            <w:tcW w:w="347"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757" w:type="dxa"/>
            <w:tcBorders/>
            <w:shd w:fill="auto" w:val="clear"/>
            <w:vAlign w:val="bottom"/>
          </w:tcPr>
          <w:p>
            <w:pPr>
              <w:pStyle w:val="TableContents"/>
              <w:spacing w:before="0" w:after="283"/>
              <w:jc w:val="right"/>
              <w:rPr/>
            </w:pPr>
            <w:r>
              <w:rPr/>
              <w:t>1,739</w:t>
            </w:r>
          </w:p>
        </w:tc>
        <w:tc>
          <w:tcPr>
            <w:tcW w:w="225"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693" w:type="dxa"/>
            <w:tcBorders/>
            <w:shd w:fill="auto" w:val="clear"/>
            <w:vAlign w:val="bottom"/>
          </w:tcPr>
          <w:p>
            <w:pPr>
              <w:pStyle w:val="TableContents"/>
              <w:spacing w:before="0" w:after="283"/>
              <w:jc w:val="right"/>
              <w:rPr/>
            </w:pPr>
            <w:r>
              <w:rPr/>
              <w:t>2,161</w:t>
            </w:r>
          </w:p>
        </w:tc>
        <w:tc>
          <w:tcPr>
            <w:tcW w:w="24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805" w:type="dxa"/>
            <w:tcBorders/>
            <w:shd w:fill="auto" w:val="clear"/>
            <w:vAlign w:val="bottom"/>
          </w:tcPr>
          <w:p>
            <w:pPr>
              <w:pStyle w:val="TableContents"/>
              <w:spacing w:before="0" w:after="283"/>
              <w:jc w:val="right"/>
              <w:rPr/>
            </w:pPr>
            <w:r>
              <w:rPr/>
              <w:t>(30.3</w:t>
            </w:r>
          </w:p>
        </w:tc>
        <w:tc>
          <w:tcPr>
            <w:tcW w:w="319"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699" w:type="dxa"/>
            <w:tcBorders/>
            <w:shd w:fill="auto" w:val="clear"/>
            <w:vAlign w:val="bottom"/>
          </w:tcPr>
          <w:p>
            <w:pPr>
              <w:pStyle w:val="TableContents"/>
              <w:spacing w:before="0" w:after="283"/>
              <w:jc w:val="right"/>
              <w:rPr/>
            </w:pPr>
            <w:r>
              <w:rPr/>
              <w:t>3,100</w:t>
            </w:r>
          </w:p>
        </w:tc>
        <w:tc>
          <w:tcPr>
            <w:tcW w:w="238" w:type="dxa"/>
            <w:tcBorders/>
            <w:shd w:fill="auto" w:val="clear"/>
            <w:vAlign w:val="bottom"/>
          </w:tcPr>
          <w:p>
            <w:pPr>
              <w:pStyle w:val="TableContents"/>
              <w:spacing w:before="0" w:after="283"/>
              <w:rPr/>
            </w:pPr>
            <w:r>
              <w:rPr/>
              <w:t> </w:t>
            </w:r>
          </w:p>
        </w:tc>
      </w:tr>
      <w:tr>
        <w:trPr/>
        <w:tc>
          <w:tcPr>
            <w:tcW w:w="2056" w:type="dxa"/>
            <w:tcBorders/>
            <w:shd w:fill="auto" w:val="clear"/>
            <w:vAlign w:val="bottom"/>
          </w:tcPr>
          <w:p>
            <w:pPr>
              <w:pStyle w:val="TableContents"/>
              <w:spacing w:before="0" w:after="0"/>
              <w:ind w:left="225" w:right="0" w:hanging="225"/>
              <w:rPr/>
            </w:pPr>
            <w:r>
              <w:rPr/>
              <w:t>Percentage of income before provision for income taxes</w:t>
            </w:r>
          </w:p>
        </w:tc>
        <w:tc>
          <w:tcPr>
            <w:tcW w:w="18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left"/>
              <w:rPr/>
            </w:pPr>
            <w:r>
              <w:rPr/>
              <w:t> </w:t>
            </w:r>
          </w:p>
        </w:tc>
        <w:tc>
          <w:tcPr>
            <w:tcW w:w="749" w:type="dxa"/>
            <w:tcBorders/>
            <w:shd w:fill="auto" w:val="clear"/>
            <w:vAlign w:val="bottom"/>
          </w:tcPr>
          <w:p>
            <w:pPr>
              <w:pStyle w:val="TableContents"/>
              <w:spacing w:before="0" w:after="283"/>
              <w:jc w:val="right"/>
              <w:rPr/>
            </w:pPr>
            <w:r>
              <w:rPr/>
              <w:t>35.4</w:t>
            </w:r>
          </w:p>
        </w:tc>
        <w:tc>
          <w:tcPr>
            <w:tcW w:w="264" w:type="dxa"/>
            <w:tcBorders/>
            <w:shd w:fill="auto" w:val="clear"/>
            <w:vAlign w:val="bottom"/>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 </w:t>
            </w:r>
          </w:p>
        </w:tc>
        <w:tc>
          <w:tcPr>
            <w:tcW w:w="757" w:type="dxa"/>
            <w:tcBorders/>
            <w:shd w:fill="auto" w:val="clear"/>
            <w:vAlign w:val="bottom"/>
          </w:tcPr>
          <w:p>
            <w:pPr>
              <w:pStyle w:val="TableContents"/>
              <w:spacing w:before="0" w:after="283"/>
              <w:jc w:val="right"/>
              <w:rPr/>
            </w:pPr>
            <w:r>
              <w:rPr/>
              <w:t>36.2</w:t>
            </w:r>
          </w:p>
        </w:tc>
        <w:tc>
          <w:tcPr>
            <w:tcW w:w="225" w:type="dxa"/>
            <w:tcBorders/>
            <w:shd w:fill="auto" w:val="clear"/>
            <w:vAlign w:val="bottom"/>
          </w:tcPr>
          <w:p>
            <w:pPr>
              <w:pStyle w:val="TableContents"/>
              <w:spacing w:before="0" w:after="283"/>
              <w:rPr/>
            </w:pPr>
            <w:r>
              <w:rPr/>
              <w:t>%</w:t>
            </w:r>
          </w:p>
        </w:tc>
        <w:tc>
          <w:tcPr>
            <w:tcW w:w="18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693" w:type="dxa"/>
            <w:tcBorders/>
            <w:shd w:fill="auto" w:val="clear"/>
            <w:vAlign w:val="bottom"/>
          </w:tcPr>
          <w:p>
            <w:pPr>
              <w:pStyle w:val="TableContents"/>
              <w:spacing w:before="0" w:after="283"/>
              <w:jc w:val="right"/>
              <w:rPr/>
            </w:pPr>
            <w:r>
              <w:rPr/>
              <w:t>36.0</w:t>
            </w:r>
          </w:p>
        </w:tc>
        <w:tc>
          <w:tcPr>
            <w:tcW w:w="242" w:type="dxa"/>
            <w:tcBorders/>
            <w:shd w:fill="auto" w:val="clear"/>
            <w:vAlign w:val="bottom"/>
          </w:tcPr>
          <w:p>
            <w:pPr>
              <w:pStyle w:val="TableContents"/>
              <w:spacing w:before="0" w:after="283"/>
              <w:rPr/>
            </w:pPr>
            <w:r>
              <w:rPr/>
              <w:t>%</w:t>
            </w:r>
          </w:p>
        </w:tc>
        <w:tc>
          <w:tcPr>
            <w:tcW w:w="18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 </w:t>
            </w:r>
          </w:p>
        </w:tc>
        <w:tc>
          <w:tcPr>
            <w:tcW w:w="699" w:type="dxa"/>
            <w:tcBorders/>
            <w:shd w:fill="auto" w:val="clear"/>
            <w:vAlign w:val="bottom"/>
          </w:tcPr>
          <w:p>
            <w:pPr>
              <w:pStyle w:val="TableContents"/>
              <w:spacing w:before="0" w:after="283"/>
              <w:jc w:val="right"/>
              <w:rPr/>
            </w:pPr>
            <w:r>
              <w:rPr/>
              <w:t>37.8</w:t>
            </w:r>
          </w:p>
        </w:tc>
        <w:tc>
          <w:tcPr>
            <w:tcW w:w="238"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first nine months of fiscal 2005, our provision for income taxes was $2.2 million, as compared to $3.1 million recorded for the comparable prior year period. We expect our effective tax rate to approximate 36.0% during fiscal 2005.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provided by operating activities was $3.9 million for the nine months ended July 31, 2005, compared to $3.7 million for the similar period in fiscal 2004. Operating cash flows for the nine months ended July 31, 2005 reflect our net income of $3.8 million, net non-cash charges (depreciation and amortization, gain on sale of building, stock compensation expense and provision for losses on accounts receivable) of $0.8 million and a net decrease in the noncash components of our working capital of approximately $0.9 million. </w:t>
      </w:r>
    </w:p>
    <w:p>
      <w:pPr>
        <w:pStyle w:val="TextBody"/>
        <w:spacing w:before="120" w:after="283"/>
        <w:jc w:val="left"/>
        <w:rPr/>
      </w:pPr>
      <w:r>
        <w:rPr/>
        <w:t>     </w:t>
      </w:r>
      <w:r>
        <w:rPr>
          <w:rFonts w:ascii="Times New Roman;Times;serif" w:hAnsi="Times New Roman;Times;serif"/>
          <w:sz w:val="17"/>
        </w:rPr>
        <w:t xml:space="preserve">These working capital decreases include an increase in accounts receivable of $13.0 million and an increase in inventory of $4.1 million, partially offset by an increase in payable to growers of $12.2 million, an increase in trade accounts payable and accrued expenses of $2.4 million, a decrease in income tax receivable of $0.8 million, a decrease in prepaid expenses and other current assets of $0.5 million, and other miscellaneous changes totaling $0.3 million. </w:t>
      </w:r>
    </w:p>
    <w:p>
      <w:pPr>
        <w:pStyle w:val="TextBody"/>
        <w:spacing w:before="120" w:after="283"/>
        <w:jc w:val="left"/>
        <w:rPr/>
      </w:pPr>
      <w:r>
        <w:rPr/>
        <w:t>     </w:t>
      </w:r>
      <w:r>
        <w:rPr>
          <w:rFonts w:ascii="Times New Roman;Times;serif" w:hAnsi="Times New Roman;Times;serif"/>
          <w:sz w:val="17"/>
        </w:rPr>
        <w:t xml:space="preserve">Increases in our accounts receivable balance as of July 31, 2005, when compared to October 31, 2004, primarily reflect higher sales recorded in the month of July 2005, as compared to October 2004. The amounts in inventory and payable to our growers primarily reflect an increase in fruit delivered, as well as an increase in the price of California avocados marketed in the month of July 2005, as compared to October 2004. The decrease in income tax receivable primarily relates to the timing of income tax payments made through nine months ended July 31, 2005. </w:t>
      </w:r>
    </w:p>
    <w:p>
      <w:pPr>
        <w:pStyle w:val="TextBody"/>
        <w:spacing w:before="120" w:after="283"/>
        <w:jc w:val="left"/>
        <w:rPr/>
      </w:pPr>
      <w:r>
        <w:rPr/>
        <w:t>     </w:t>
      </w:r>
      <w:r>
        <w:rPr>
          <w:rFonts w:ascii="Times New Roman;Times;serif" w:hAnsi="Times New Roman;Times;serif"/>
          <w:sz w:val="17"/>
        </w:rPr>
        <w:t xml:space="preserve">Cash used in investing activities was $21.5 million for the nine months ended July 31, 2005 and related principally to the purchase of Limoneira stock. </w:t>
      </w:r>
    </w:p>
    <w:p>
      <w:pPr>
        <w:pStyle w:val="TextBody"/>
        <w:spacing w:before="120" w:after="283"/>
        <w:jc w:val="left"/>
        <w:rPr/>
      </w:pPr>
      <w:r>
        <w:rPr/>
        <w:t>     </w:t>
      </w:r>
      <w:r>
        <w:rPr>
          <w:rFonts w:ascii="Times New Roman;Times;serif" w:hAnsi="Times New Roman;Times;serif"/>
          <w:sz w:val="17"/>
        </w:rPr>
        <w:t xml:space="preserve">Cash provided by financing activities was $18.1 million for the nine months ended July 31, 2005 which related principally to the issuance of a new term loan which provided us with $13,000,000, as well as the issuance of stock to Limoneira. Such cash inflows were partially offset by the payment of a $4.1 million dividend and repayments totaling $1.1 million related to our short-term borrowings.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July 31, 2005 and October 31, 2004 totaled $1.2 million and $0.6 million. Our working capital at July 31, 2005 was $25.5 million compared to $20.4 million at October 31, 2004. The overall working capital increase primarily reflects an increase in our accounts receivable and inventory balances, partially offset by increases in our payable to growers and accrued expenses balances. </w:t>
      </w:r>
    </w:p>
    <w:p>
      <w:pPr>
        <w:pStyle w:val="TextBody"/>
        <w:spacing w:before="120" w:after="283"/>
        <w:jc w:val="left"/>
        <w:rPr/>
      </w:pPr>
      <w:r>
        <w:rPr/>
        <w:t>     </w:t>
      </w:r>
      <w:r>
        <w:rPr>
          <w:rFonts w:ascii="Times New Roman;Times;serif" w:hAnsi="Times New Roman;Times;serif"/>
          <w:sz w:val="17"/>
        </w:rPr>
        <w:t xml:space="preserve">We believe that cash flows from operations and existing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January 2006 and April 2006 and are with separate banks. Under the terms of these agreements, we are advanced funds for working capital purposes. Total credit available under the combined short-term borrowing agreements was $24 million, with a weighted-average interest rate of 4.29% and 2.9% at July 31, 2005 and October 31, 2004. Under these credit facilities, $0.9 million was outstanding as of July 31, 2005 and $2.0 million outstanding as of October 31, 2004. The credit facilities contain various financial covenants with which we were in compliance at July 31, 2005.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109"/>
      <w:bookmarkEnd w:id="12"/>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loans to growers,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2005. </w:t>
      </w:r>
    </w:p>
    <w:tbl>
      <w:tblPr>
        <w:tblW w:w="5000" w:type="pct"/>
        <w:jc w:val="center"/>
        <w:tblInd w:w="0" w:type="dxa"/>
        <w:tblCellMar>
          <w:top w:w="0" w:type="dxa"/>
          <w:left w:w="0" w:type="dxa"/>
          <w:bottom w:w="0" w:type="dxa"/>
          <w:right w:w="0" w:type="dxa"/>
        </w:tblCellMar>
      </w:tblPr>
      <w:tblGrid>
        <w:gridCol w:w="2569"/>
        <w:gridCol w:w="74"/>
        <w:gridCol w:w="141"/>
        <w:gridCol w:w="687"/>
        <w:gridCol w:w="62"/>
        <w:gridCol w:w="74"/>
        <w:gridCol w:w="141"/>
        <w:gridCol w:w="569"/>
        <w:gridCol w:w="62"/>
        <w:gridCol w:w="74"/>
        <w:gridCol w:w="141"/>
        <w:gridCol w:w="569"/>
        <w:gridCol w:w="62"/>
        <w:gridCol w:w="74"/>
        <w:gridCol w:w="141"/>
        <w:gridCol w:w="569"/>
        <w:gridCol w:w="62"/>
        <w:gridCol w:w="74"/>
        <w:gridCol w:w="141"/>
        <w:gridCol w:w="569"/>
        <w:gridCol w:w="62"/>
        <w:gridCol w:w="74"/>
        <w:gridCol w:w="198"/>
        <w:gridCol w:w="801"/>
        <w:gridCol w:w="62"/>
        <w:gridCol w:w="74"/>
        <w:gridCol w:w="141"/>
        <w:gridCol w:w="687"/>
        <w:gridCol w:w="62"/>
        <w:gridCol w:w="74"/>
        <w:gridCol w:w="175"/>
        <w:gridCol w:w="854"/>
        <w:gridCol w:w="86"/>
      </w:tblGrid>
      <w:tr>
        <w:trPr/>
        <w:tc>
          <w:tcPr>
            <w:tcW w:w="2569"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283"/>
              <w:rPr/>
            </w:pPr>
            <w:r>
              <w:rPr/>
              <w:t> </w:t>
            </w:r>
          </w:p>
        </w:tc>
        <w:tc>
          <w:tcPr>
            <w:tcW w:w="6696" w:type="dxa"/>
            <w:gridSpan w:val="30"/>
            <w:tcBorders>
              <w:bottom w:val="single" w:sz="2" w:space="0" w:color="000000"/>
            </w:tcBorders>
            <w:shd w:fill="auto" w:val="clear"/>
            <w:tcMar>
              <w:bottom w:w="28" w:type="dxa"/>
            </w:tcMar>
            <w:vAlign w:val="bottom"/>
          </w:tcPr>
          <w:p>
            <w:pPr>
              <w:pStyle w:val="TableContents"/>
              <w:spacing w:before="0" w:after="283"/>
              <w:jc w:val="center"/>
              <w:rPr/>
            </w:pPr>
            <w:r>
              <w:rPr/>
              <w:t>Expected maturity date July 31,</w:t>
            </w:r>
          </w:p>
        </w:tc>
        <w:tc>
          <w:tcPr>
            <w:tcW w:w="854"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rPr>
                <w:sz w:val="4"/>
                <w:szCs w:val="4"/>
              </w:rPr>
            </w:pPr>
            <w:r>
              <w:rPr>
                <w:sz w:val="4"/>
                <w:szCs w:val="4"/>
              </w:rPr>
            </w:r>
          </w:p>
        </w:tc>
      </w:tr>
      <w:tr>
        <w:trPr/>
        <w:tc>
          <w:tcPr>
            <w:tcW w:w="2569" w:type="dxa"/>
            <w:tcBorders>
              <w:bottom w:val="single" w:sz="2" w:space="0" w:color="000000"/>
            </w:tcBorders>
            <w:shd w:fill="auto" w:val="clear"/>
            <w:tcMar>
              <w:bottom w:w="28" w:type="dxa"/>
            </w:tcMar>
            <w:vAlign w:val="bottom"/>
          </w:tcPr>
          <w:p>
            <w:pPr>
              <w:pStyle w:val="TableContents"/>
              <w:spacing w:before="0" w:after="283"/>
              <w:jc w:val="left"/>
              <w:rPr/>
            </w:pPr>
            <w:r>
              <w:rPr/>
              <w:t>(All amounts in thousands)</w:t>
            </w:r>
          </w:p>
        </w:tc>
        <w:tc>
          <w:tcPr>
            <w:tcW w:w="7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2005</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w:t>
            </w:r>
          </w:p>
        </w:tc>
        <w:tc>
          <w:tcPr>
            <w:tcW w:w="86" w:type="dxa"/>
            <w:tcBorders/>
            <w:shd w:fill="auto" w:val="clear"/>
            <w:vAlign w:val="bottom"/>
          </w:tcPr>
          <w:p>
            <w:pPr>
              <w:pStyle w:val="TableContents"/>
              <w:spacing w:before="0" w:after="283"/>
              <w:rPr/>
            </w:pPr>
            <w:r>
              <w:rPr/>
              <w:t> </w:t>
            </w:r>
          </w:p>
        </w:tc>
      </w:tr>
      <w:tr>
        <w:trPr/>
        <w:tc>
          <w:tcPr>
            <w:tcW w:w="2569" w:type="dxa"/>
            <w:tcBorders/>
            <w:shd w:fill="CCEEFF" w:val="clear"/>
            <w:vAlign w:val="bottom"/>
          </w:tcPr>
          <w:p>
            <w:pPr>
              <w:pStyle w:val="TableContents"/>
              <w:spacing w:before="0" w:after="0"/>
              <w:ind w:left="225" w:right="0" w:hanging="225"/>
              <w:rPr/>
            </w:pPr>
            <w:r>
              <w:rPr/>
              <w:t>Assets</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Cash and cash equivalents (1)</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7" w:type="dxa"/>
            <w:tcBorders/>
            <w:shd w:fill="auto" w:val="clear"/>
            <w:vAlign w:val="bottom"/>
          </w:tcPr>
          <w:p>
            <w:pPr>
              <w:pStyle w:val="TableContents"/>
              <w:spacing w:before="0" w:after="283"/>
              <w:jc w:val="right"/>
              <w:rPr/>
            </w:pPr>
            <w:r>
              <w:rPr/>
              <w:t>1,186</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7" w:type="dxa"/>
            <w:tcBorders/>
            <w:shd w:fill="auto" w:val="clear"/>
            <w:vAlign w:val="bottom"/>
          </w:tcPr>
          <w:p>
            <w:pPr>
              <w:pStyle w:val="TableContents"/>
              <w:spacing w:before="0" w:after="283"/>
              <w:jc w:val="right"/>
              <w:rPr/>
            </w:pPr>
            <w:r>
              <w:rPr/>
              <w:t>1,186</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1,186</w:t>
            </w:r>
          </w:p>
        </w:tc>
        <w:tc>
          <w:tcPr>
            <w:tcW w:w="86" w:type="dxa"/>
            <w:tcBorders/>
            <w:shd w:fill="auto" w:val="clear"/>
            <w:vAlign w:val="bottom"/>
          </w:tcPr>
          <w:p>
            <w:pPr>
              <w:pStyle w:val="TableContents"/>
              <w:spacing w:before="0" w:after="283"/>
              <w:rPr/>
            </w:pPr>
            <w:r>
              <w:rPr/>
              <w:t> </w:t>
            </w:r>
          </w:p>
        </w:tc>
      </w:tr>
      <w:tr>
        <w:trPr/>
        <w:tc>
          <w:tcPr>
            <w:tcW w:w="2569" w:type="dxa"/>
            <w:tcBorders/>
            <w:shd w:fill="CCEEFF" w:val="clear"/>
            <w:vAlign w:val="bottom"/>
          </w:tcPr>
          <w:p>
            <w:pPr>
              <w:pStyle w:val="TableContents"/>
              <w:spacing w:before="0" w:after="0"/>
              <w:ind w:left="225" w:right="0" w:hanging="225"/>
              <w:rPr/>
            </w:pPr>
            <w:r>
              <w:rPr/>
              <w:t>Accounts receivable (1)</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33,695</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33,695</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33,695</w:t>
            </w:r>
          </w:p>
        </w:tc>
        <w:tc>
          <w:tcPr>
            <w:tcW w:w="86" w:type="dxa"/>
            <w:tcBorders/>
            <w:shd w:fill="CCEEFF"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Loans to growers (1)</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95</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95</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95</w:t>
            </w:r>
          </w:p>
        </w:tc>
        <w:tc>
          <w:tcPr>
            <w:tcW w:w="86" w:type="dxa"/>
            <w:tcBorders/>
            <w:shd w:fill="auto" w:val="clear"/>
            <w:vAlign w:val="bottom"/>
          </w:tcPr>
          <w:p>
            <w:pPr>
              <w:pStyle w:val="TableContents"/>
              <w:spacing w:before="0" w:after="283"/>
              <w:rPr/>
            </w:pPr>
            <w:r>
              <w:rPr/>
              <w:t> </w:t>
            </w:r>
          </w:p>
        </w:tc>
      </w:tr>
      <w:tr>
        <w:trPr/>
        <w:tc>
          <w:tcPr>
            <w:tcW w:w="2569" w:type="dxa"/>
            <w:tcBorders/>
            <w:shd w:fill="CCEEFF" w:val="clear"/>
            <w:vAlign w:val="bottom"/>
          </w:tcPr>
          <w:p>
            <w:pPr>
              <w:pStyle w:val="TableContents"/>
              <w:spacing w:before="0" w:after="0"/>
              <w:ind w:left="225" w:right="0" w:hanging="225"/>
              <w:rPr/>
            </w:pPr>
            <w:r>
              <w:rPr/>
              <w:t>Notes receivable from shareholders (2)</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197</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2,461</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2,658</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2,658</w:t>
            </w:r>
          </w:p>
        </w:tc>
        <w:tc>
          <w:tcPr>
            <w:tcW w:w="86" w:type="dxa"/>
            <w:tcBorders/>
            <w:shd w:fill="CCEEFF"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Liabilities</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r>
      <w:tr>
        <w:trPr/>
        <w:tc>
          <w:tcPr>
            <w:tcW w:w="2569" w:type="dxa"/>
            <w:tcBorders/>
            <w:shd w:fill="CCEEFF" w:val="clear"/>
            <w:vAlign w:val="bottom"/>
          </w:tcPr>
          <w:p>
            <w:pPr>
              <w:pStyle w:val="TableContents"/>
              <w:spacing w:before="0" w:after="0"/>
              <w:ind w:left="225" w:right="0" w:hanging="225"/>
              <w:rPr/>
            </w:pPr>
            <w:r>
              <w:rPr/>
              <w:t>Payable to growers (1)</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7" w:type="dxa"/>
            <w:tcBorders/>
            <w:shd w:fill="CCEEFF" w:val="clear"/>
            <w:vAlign w:val="bottom"/>
          </w:tcPr>
          <w:p>
            <w:pPr>
              <w:pStyle w:val="TableContents"/>
              <w:spacing w:before="0" w:after="283"/>
              <w:jc w:val="right"/>
              <w:rPr/>
            </w:pPr>
            <w:r>
              <w:rPr/>
              <w:t>18,030</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687" w:type="dxa"/>
            <w:tcBorders/>
            <w:shd w:fill="CCEEFF" w:val="clear"/>
            <w:vAlign w:val="bottom"/>
          </w:tcPr>
          <w:p>
            <w:pPr>
              <w:pStyle w:val="TableContents"/>
              <w:spacing w:before="0" w:after="283"/>
              <w:jc w:val="right"/>
              <w:rPr/>
            </w:pPr>
            <w:r>
              <w:rPr/>
              <w:t>18,030</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18,030</w:t>
            </w:r>
          </w:p>
        </w:tc>
        <w:tc>
          <w:tcPr>
            <w:tcW w:w="86" w:type="dxa"/>
            <w:tcBorders/>
            <w:shd w:fill="CCEEFF"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Accounts payable (1)</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2,383</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2,383</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2,383</w:t>
            </w:r>
          </w:p>
        </w:tc>
        <w:tc>
          <w:tcPr>
            <w:tcW w:w="86" w:type="dxa"/>
            <w:tcBorders/>
            <w:shd w:fill="auto" w:val="clear"/>
            <w:vAlign w:val="bottom"/>
          </w:tcPr>
          <w:p>
            <w:pPr>
              <w:pStyle w:val="TableContents"/>
              <w:spacing w:before="0" w:after="283"/>
              <w:rPr/>
            </w:pPr>
            <w:r>
              <w:rPr/>
              <w:t> </w:t>
            </w:r>
          </w:p>
        </w:tc>
      </w:tr>
      <w:tr>
        <w:trPr/>
        <w:tc>
          <w:tcPr>
            <w:tcW w:w="2569" w:type="dxa"/>
            <w:tcBorders/>
            <w:shd w:fill="CCEEFF" w:val="clear"/>
            <w:vAlign w:val="bottom"/>
          </w:tcPr>
          <w:p>
            <w:pPr>
              <w:pStyle w:val="TableContents"/>
              <w:spacing w:before="0" w:after="0"/>
              <w:ind w:left="225" w:right="0" w:hanging="225"/>
              <w:rPr/>
            </w:pPr>
            <w:r>
              <w:rPr/>
              <w:t>Current borrowings pursuant to credit facilities (1)</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867</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867</w:t>
            </w:r>
          </w:p>
        </w:tc>
        <w:tc>
          <w:tcPr>
            <w:tcW w:w="62"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jc w:val="right"/>
              <w:rPr/>
            </w:pPr>
            <w:r>
              <w:rPr/>
              <w:t>867</w:t>
            </w:r>
          </w:p>
        </w:tc>
        <w:tc>
          <w:tcPr>
            <w:tcW w:w="86" w:type="dxa"/>
            <w:tcBorders/>
            <w:shd w:fill="CCEEFF" w:val="clear"/>
            <w:vAlign w:val="bottom"/>
          </w:tcPr>
          <w:p>
            <w:pPr>
              <w:pStyle w:val="TableContents"/>
              <w:spacing w:before="0" w:after="283"/>
              <w:rPr/>
            </w:pPr>
            <w:r>
              <w:rPr/>
              <w:t> </w:t>
            </w:r>
          </w:p>
        </w:tc>
      </w:tr>
      <w:tr>
        <w:trPr/>
        <w:tc>
          <w:tcPr>
            <w:tcW w:w="2569" w:type="dxa"/>
            <w:tcBorders/>
            <w:shd w:fill="auto" w:val="clear"/>
            <w:vAlign w:val="bottom"/>
          </w:tcPr>
          <w:p>
            <w:pPr>
              <w:pStyle w:val="TableContents"/>
              <w:spacing w:before="0" w:after="0"/>
              <w:ind w:left="225" w:right="0" w:hanging="225"/>
              <w:rPr/>
            </w:pPr>
            <w:r>
              <w:rPr/>
              <w:t>Fixed-rate long-term obligations (3)</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1,316</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1,308</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1,308</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1,303</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1,300</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6,500</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13,035</w:t>
            </w:r>
          </w:p>
        </w:tc>
        <w:tc>
          <w:tcPr>
            <w:tcW w:w="62"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13,035</w:t>
            </w:r>
          </w:p>
        </w:tc>
        <w:tc>
          <w:tcPr>
            <w:tcW w:w="86"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383"/>
        <w:gridCol w:w="2121"/>
        <w:gridCol w:w="1701"/>
      </w:tblGrid>
      <w:tr>
        <w:trPr/>
        <w:tc>
          <w:tcPr>
            <w:tcW w:w="6383" w:type="dxa"/>
            <w:tcBorders/>
            <w:shd w:fill="auto" w:val="clear"/>
            <w:vAlign w:val="center"/>
          </w:tcPr>
          <w:p>
            <w:pPr>
              <w:pStyle w:val="TableContents"/>
              <w:spacing w:before="0" w:after="283"/>
              <w:rPr>
                <w:sz w:val="4"/>
                <w:szCs w:val="4"/>
              </w:rPr>
            </w:pPr>
            <w:r>
              <w:rPr>
                <w:sz w:val="4"/>
                <w:szCs w:val="4"/>
              </w:rPr>
            </w:r>
          </w:p>
        </w:tc>
        <w:tc>
          <w:tcPr>
            <w:tcW w:w="212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(1)</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We believe the carrying amounts of cash and cash equivalents, accounts receivable, loans to growers, payable to growers, accounts payable, and current borrowings pursuant to credit facilities approximate their fair value due to the short maturity of these financial instruments.</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(2)</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8.50%. We project the impact of an increase or decrease in interest rates of 100 basis points would result in a change of fair value of approximately $69,000.</w:t>
            </w:r>
          </w:p>
        </w:tc>
      </w:tr>
      <w:tr>
        <w:trPr/>
        <w:tc>
          <w:tcPr>
            <w:tcW w:w="6383" w:type="dxa"/>
            <w:tcBorders/>
            <w:shd w:fill="auto" w:val="clear"/>
            <w:vAlign w:val="center"/>
          </w:tcPr>
          <w:p>
            <w:pPr>
              <w:pStyle w:val="TableContents"/>
              <w:spacing w:before="0" w:after="283"/>
              <w:rPr/>
            </w:pPr>
            <w:r>
              <w:rPr/>
              <w:t> </w:t>
            </w:r>
          </w:p>
        </w:tc>
        <w:tc>
          <w:tcPr>
            <w:tcW w:w="3822" w:type="dxa"/>
            <w:gridSpan w:val="2"/>
            <w:tcBorders/>
            <w:shd w:fill="auto" w:val="clear"/>
          </w:tcPr>
          <w:p>
            <w:pPr>
              <w:pStyle w:val="TableContents"/>
              <w:spacing w:before="0" w:after="283"/>
              <w:rPr>
                <w:sz w:val="4"/>
                <w:szCs w:val="4"/>
              </w:rPr>
            </w:pPr>
            <w:r>
              <w:rPr>
                <w:sz w:val="4"/>
                <w:szCs w:val="4"/>
              </w:rPr>
            </w:r>
          </w:p>
        </w:tc>
      </w:tr>
      <w:tr>
        <w:trPr/>
        <w:tc>
          <w:tcPr>
            <w:tcW w:w="6383" w:type="dxa"/>
            <w:tcBorders/>
            <w:shd w:fill="auto" w:val="clear"/>
          </w:tcPr>
          <w:p>
            <w:pPr>
              <w:pStyle w:val="TableContents"/>
              <w:spacing w:before="0" w:after="283"/>
              <w:jc w:val="left"/>
              <w:rPr/>
            </w:pPr>
            <w:r>
              <w:rPr/>
              <w:t>(3)</w:t>
            </w:r>
          </w:p>
        </w:tc>
        <w:tc>
          <w:tcPr>
            <w:tcW w:w="2121" w:type="dxa"/>
            <w:tcBorders/>
            <w:shd w:fill="auto" w:val="clear"/>
          </w:tcPr>
          <w:p>
            <w:pPr>
              <w:pStyle w:val="TableContents"/>
              <w:spacing w:before="0" w:after="283"/>
              <w:rPr/>
            </w:pPr>
            <w:r>
              <w:rPr/>
              <w:t> </w:t>
            </w:r>
          </w:p>
        </w:tc>
        <w:tc>
          <w:tcPr>
            <w:tcW w:w="1701" w:type="dxa"/>
            <w:tcBorders/>
            <w:shd w:fill="auto" w:val="clear"/>
          </w:tcPr>
          <w:p>
            <w:pPr>
              <w:pStyle w:val="TableContents"/>
              <w:spacing w:before="0" w:after="283"/>
              <w:rPr/>
            </w:pPr>
            <w:r>
              <w:rPr/>
              <w:t>Fixed-rate long-term obligations bear interest rates ranging from 3.3% to 8.2% with a weighted-average interest rate of 5.7%. We believe that loans with a similar risk profile would currently yield a return of 5.7%. We project the impact of an increase or decrease in interest rates of 100 basis points would not result in a significant change of fair value.</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2004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3" w:name="110"/>
      <w:bookmarkEnd w:id="13"/>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Rule 13a-15(b) under the Securities Exchange Act of 1934 (the Exchange Act), the Companys management, with the participation of the Chief Executive Officer and the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are effective in ensuring that information required to be disclosed in reports that the Company files or submits under the Exchange Act is recorded, processed, summarized, and reported within the time periods specified in the Securities and Exchange Commissions rules and forms. No change in the Companys internal control over financial reporting occurred during the Companys most recent fiscal quarter that materially affected, or is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4" w:name="111"/>
      <w:bookmarkEnd w:id="14"/>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5" w:name="112"/>
      <w:bookmarkEnd w:id="15"/>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6" w:name="113"/>
      <w:bookmarkEnd w:id="16"/>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3"/>
        <w:gridCol w:w="445"/>
        <w:gridCol w:w="116"/>
        <w:gridCol w:w="9341"/>
      </w:tblGrid>
      <w:tr>
        <w:trPr/>
        <w:tc>
          <w:tcPr>
            <w:tcW w:w="303"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10.1</w:t>
            </w:r>
          </w:p>
        </w:tc>
        <w:tc>
          <w:tcPr>
            <w:tcW w:w="116"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Term loan agreement dated July 1, 2005, between Farm Credit West, PCA and Calavo Growers, Inc.</w:t>
            </w:r>
          </w:p>
        </w:tc>
      </w:tr>
      <w:tr>
        <w:trPr/>
        <w:tc>
          <w:tcPr>
            <w:tcW w:w="303" w:type="dxa"/>
            <w:tcBorders/>
            <w:shd w:fill="auto" w:val="clear"/>
            <w:vAlign w:val="center"/>
          </w:tcPr>
          <w:p>
            <w:pPr>
              <w:pStyle w:val="TableContents"/>
              <w:spacing w:before="0" w:after="283"/>
              <w:rPr/>
            </w:pPr>
            <w:r>
              <w:rPr/>
              <w:t> </w:t>
            </w:r>
          </w:p>
        </w:tc>
        <w:tc>
          <w:tcPr>
            <w:tcW w:w="9902" w:type="dxa"/>
            <w:gridSpan w:val="3"/>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31.1</w:t>
            </w:r>
          </w:p>
        </w:tc>
        <w:tc>
          <w:tcPr>
            <w:tcW w:w="116"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Certification of Chief Executive Officer Pursuant to 15 U.S.C. § 7241, as Adopted Pursuant to Section 302 of the Sarbanes-Oxley Act of 2002.</w:t>
            </w:r>
          </w:p>
        </w:tc>
      </w:tr>
      <w:tr>
        <w:trPr/>
        <w:tc>
          <w:tcPr>
            <w:tcW w:w="303" w:type="dxa"/>
            <w:tcBorders/>
            <w:shd w:fill="auto" w:val="clear"/>
            <w:vAlign w:val="center"/>
          </w:tcPr>
          <w:p>
            <w:pPr>
              <w:pStyle w:val="TableContents"/>
              <w:spacing w:before="0" w:after="283"/>
              <w:rPr/>
            </w:pPr>
            <w:r>
              <w:rPr/>
              <w:t> </w:t>
            </w:r>
          </w:p>
        </w:tc>
        <w:tc>
          <w:tcPr>
            <w:tcW w:w="9902" w:type="dxa"/>
            <w:gridSpan w:val="3"/>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31.2</w:t>
            </w:r>
          </w:p>
        </w:tc>
        <w:tc>
          <w:tcPr>
            <w:tcW w:w="116"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Certification of Principal Financial Officer Pursuant to 15 U.S.C. § 7241, as Adopted Pursuant to Section 302 of the Sarbanes-Oxley Act of 2002.</w:t>
            </w:r>
          </w:p>
        </w:tc>
      </w:tr>
      <w:tr>
        <w:trPr/>
        <w:tc>
          <w:tcPr>
            <w:tcW w:w="303" w:type="dxa"/>
            <w:tcBorders/>
            <w:shd w:fill="auto" w:val="clear"/>
            <w:vAlign w:val="center"/>
          </w:tcPr>
          <w:p>
            <w:pPr>
              <w:pStyle w:val="TableContents"/>
              <w:spacing w:before="0" w:after="283"/>
              <w:rPr/>
            </w:pPr>
            <w:r>
              <w:rPr/>
              <w:t> </w:t>
            </w:r>
          </w:p>
        </w:tc>
        <w:tc>
          <w:tcPr>
            <w:tcW w:w="9902" w:type="dxa"/>
            <w:gridSpan w:val="3"/>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32.1</w:t>
            </w:r>
          </w:p>
        </w:tc>
        <w:tc>
          <w:tcPr>
            <w:tcW w:w="116"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Certification of Chief Executive Officer Pursuant to 18 U.S.C. § 1350, as Adopted Pursuant to Section 906 of the Sarbanes-Oxley Act of 2002.</w:t>
            </w:r>
          </w:p>
        </w:tc>
      </w:tr>
      <w:tr>
        <w:trPr/>
        <w:tc>
          <w:tcPr>
            <w:tcW w:w="303" w:type="dxa"/>
            <w:tcBorders/>
            <w:shd w:fill="auto" w:val="clear"/>
            <w:vAlign w:val="center"/>
          </w:tcPr>
          <w:p>
            <w:pPr>
              <w:pStyle w:val="TableContents"/>
              <w:spacing w:before="0" w:after="283"/>
              <w:rPr/>
            </w:pPr>
            <w:r>
              <w:rPr/>
              <w:t> </w:t>
            </w:r>
          </w:p>
        </w:tc>
        <w:tc>
          <w:tcPr>
            <w:tcW w:w="9902" w:type="dxa"/>
            <w:gridSpan w:val="3"/>
            <w:tcBorders/>
            <w:shd w:fill="auto" w:val="clear"/>
          </w:tcPr>
          <w:p>
            <w:pPr>
              <w:pStyle w:val="TableContents"/>
              <w:spacing w:before="0" w:after="283"/>
              <w:rPr>
                <w:sz w:val="4"/>
                <w:szCs w:val="4"/>
              </w:rPr>
            </w:pPr>
            <w:r>
              <w:rPr>
                <w:sz w:val="4"/>
                <w:szCs w:val="4"/>
              </w:rPr>
            </w:r>
          </w:p>
        </w:tc>
      </w:tr>
      <w:tr>
        <w:trPr/>
        <w:tc>
          <w:tcPr>
            <w:tcW w:w="303" w:type="dxa"/>
            <w:tcBorders/>
            <w:shd w:fill="auto" w:val="clear"/>
          </w:tcPr>
          <w:p>
            <w:pPr>
              <w:pStyle w:val="TableContents"/>
              <w:spacing w:before="0" w:after="283"/>
              <w:rPr/>
            </w:pPr>
            <w:r>
              <w:rPr/>
              <w:t> </w:t>
            </w:r>
          </w:p>
        </w:tc>
        <w:tc>
          <w:tcPr>
            <w:tcW w:w="445" w:type="dxa"/>
            <w:tcBorders/>
            <w:shd w:fill="auto" w:val="clear"/>
          </w:tcPr>
          <w:p>
            <w:pPr>
              <w:pStyle w:val="TableContents"/>
              <w:spacing w:before="0" w:after="283"/>
              <w:jc w:val="left"/>
              <w:rPr/>
            </w:pPr>
            <w:r>
              <w:rPr/>
              <w:t>32.2</w:t>
            </w:r>
          </w:p>
        </w:tc>
        <w:tc>
          <w:tcPr>
            <w:tcW w:w="116" w:type="dxa"/>
            <w:tcBorders/>
            <w:shd w:fill="auto" w:val="clear"/>
          </w:tcPr>
          <w:p>
            <w:pPr>
              <w:pStyle w:val="TableContents"/>
              <w:spacing w:before="0" w:after="283"/>
              <w:rPr/>
            </w:pPr>
            <w:r>
              <w:rPr/>
              <w:t> </w:t>
            </w:r>
          </w:p>
        </w:tc>
        <w:tc>
          <w:tcPr>
            <w:tcW w:w="9341" w:type="dxa"/>
            <w:tcBorders/>
            <w:shd w:fill="auto" w:val="clear"/>
          </w:tcPr>
          <w:p>
            <w:pPr>
              <w:pStyle w:val="TableContents"/>
              <w:spacing w:before="0" w:after="283"/>
              <w:rPr/>
            </w:pPr>
            <w:r>
              <w:rPr/>
              <w:t>Certification of Principal Financial Officer Pursuant to 18 U.S.C. § 1350, as Adopted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7" w:name="114"/>
      <w:bookmarkEnd w:id="17"/>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750"/>
        <w:gridCol w:w="131"/>
        <w:gridCol w:w="315"/>
        <w:gridCol w:w="131"/>
        <w:gridCol w:w="4878"/>
      </w:tblGrid>
      <w:tr>
        <w:trPr/>
        <w:tc>
          <w:tcPr>
            <w:tcW w:w="475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vAlign w:val="bottom"/>
          </w:tcPr>
          <w:p>
            <w:pPr>
              <w:pStyle w:val="TableContents"/>
              <w:spacing w:before="0" w:after="283"/>
              <w:rPr/>
            </w:pPr>
            <w:r>
              <w:rPr/>
              <w:t> </w:t>
            </w:r>
          </w:p>
        </w:tc>
      </w:tr>
      <w:tr>
        <w:trPr/>
        <w:tc>
          <w:tcPr>
            <w:tcW w:w="475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324" w:type="dxa"/>
            <w:gridSpan w:val="3"/>
            <w:tcBorders/>
            <w:shd w:fill="auto" w:val="clear"/>
          </w:tcPr>
          <w:p>
            <w:pPr>
              <w:pStyle w:val="TableContents"/>
              <w:spacing w:before="0" w:after="283"/>
              <w:jc w:val="left"/>
              <w:rPr/>
            </w:pPr>
            <w:r>
              <w:rPr/>
              <w:t>Calavo Growers, Inc.</w:t>
            </w:r>
          </w:p>
        </w:tc>
      </w:tr>
      <w:tr>
        <w:trPr/>
        <w:tc>
          <w:tcPr>
            <w:tcW w:w="4750"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324" w:type="dxa"/>
            <w:gridSpan w:val="3"/>
            <w:tcBorders/>
            <w:shd w:fill="auto" w:val="clear"/>
          </w:tcPr>
          <w:p>
            <w:pPr>
              <w:pStyle w:val="TableContents"/>
              <w:spacing w:before="0" w:after="283"/>
              <w:jc w:val="left"/>
              <w:rPr/>
            </w:pPr>
            <w:r>
              <w:rPr/>
              <w:t>(Registrant)</w:t>
            </w:r>
          </w:p>
        </w:tc>
      </w:tr>
      <w:tr>
        <w:trPr/>
        <w:tc>
          <w:tcPr>
            <w:tcW w:w="475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 </w:t>
            </w:r>
          </w:p>
        </w:tc>
      </w:tr>
      <w:tr>
        <w:trPr/>
        <w:tc>
          <w:tcPr>
            <w:tcW w:w="4750" w:type="dxa"/>
            <w:tcBorders/>
            <w:shd w:fill="auto" w:val="clear"/>
          </w:tcPr>
          <w:p>
            <w:pPr>
              <w:pStyle w:val="TableContents"/>
              <w:spacing w:before="0" w:after="0"/>
              <w:ind w:left="0" w:right="0" w:hanging="0"/>
              <w:rPr/>
            </w:pPr>
            <w:r>
              <w:rPr/>
              <w:t xml:space="preserve">Date: September 8, 2005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/s/ Lecil E. Cole</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487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Lecil E. Cole</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Chairman of the Board of Directors,</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Chief Executive Officer and President</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(Principal Executive Officer)</w:t>
            </w:r>
          </w:p>
        </w:tc>
      </w:tr>
      <w:tr>
        <w:trPr/>
        <w:tc>
          <w:tcPr>
            <w:tcW w:w="4750"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 </w:t>
            </w:r>
          </w:p>
        </w:tc>
      </w:tr>
      <w:tr>
        <w:trPr/>
        <w:tc>
          <w:tcPr>
            <w:tcW w:w="4750" w:type="dxa"/>
            <w:tcBorders/>
            <w:shd w:fill="auto" w:val="clear"/>
          </w:tcPr>
          <w:p>
            <w:pPr>
              <w:pStyle w:val="TableContents"/>
              <w:spacing w:before="0" w:after="0"/>
              <w:ind w:left="0" w:right="0" w:hanging="0"/>
              <w:rPr/>
            </w:pPr>
            <w:r>
              <w:rPr/>
              <w:t xml:space="preserve">Date: September 8, 2005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/s/ Arthur J. Bruno</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487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Arthur J. Bruno</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Chief Operating Officer, Chief Financial Officer and</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Corporate Secretary</w:t>
            </w:r>
          </w:p>
        </w:tc>
      </w:tr>
      <w:tr>
        <w:trPr/>
        <w:tc>
          <w:tcPr>
            <w:tcW w:w="4750"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878" w:type="dxa"/>
            <w:tcBorders/>
            <w:shd w:fill="auto" w:val="clear"/>
          </w:tcPr>
          <w:p>
            <w:pPr>
              <w:pStyle w:val="TableContents"/>
              <w:spacing w:before="0" w:after="283"/>
              <w:jc w:val="left"/>
              <w:rPr/>
            </w:pPr>
            <w:r>
              <w:rPr/>
              <w:t>(Principal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8" w:name="115"/>
      <w:bookmarkEnd w:id="18"/>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28"/>
        <w:gridCol w:w="218"/>
        <w:gridCol w:w="9159"/>
      </w:tblGrid>
      <w:tr>
        <w:trPr/>
        <w:tc>
          <w:tcPr>
            <w:tcW w:w="828"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9159" w:type="dxa"/>
            <w:tcBorders/>
            <w:shd w:fill="auto" w:val="clear"/>
            <w:vAlign w:val="bottom"/>
          </w:tcPr>
          <w:p>
            <w:pPr>
              <w:pStyle w:val="TableContents"/>
              <w:spacing w:before="0" w:after="283"/>
              <w:rPr/>
            </w:pPr>
            <w:r>
              <w:rPr/>
              <w:t> </w:t>
            </w:r>
          </w:p>
        </w:tc>
      </w:tr>
      <w:tr>
        <w:trPr/>
        <w:tc>
          <w:tcPr>
            <w:tcW w:w="828" w:type="dxa"/>
            <w:tcBorders/>
            <w:shd w:fill="auto" w:val="clear"/>
            <w:vAlign w:val="bottom"/>
          </w:tcPr>
          <w:p>
            <w:pPr>
              <w:pStyle w:val="TableContents"/>
              <w:spacing w:before="0" w:after="283"/>
              <w:jc w:val="left"/>
              <w:rPr/>
            </w:pPr>
            <w:r>
              <w:rPr/>
              <w:t>Exhibit</w:t>
            </w:r>
          </w:p>
        </w:tc>
        <w:tc>
          <w:tcPr>
            <w:tcW w:w="218" w:type="dxa"/>
            <w:tcBorders/>
            <w:shd w:fill="auto" w:val="clear"/>
            <w:vAlign w:val="bottom"/>
          </w:tcPr>
          <w:p>
            <w:pPr>
              <w:pStyle w:val="TableContents"/>
              <w:spacing w:before="0" w:after="283"/>
              <w:rPr/>
            </w:pPr>
            <w:r>
              <w:rPr/>
              <w:t> </w:t>
            </w:r>
          </w:p>
        </w:tc>
        <w:tc>
          <w:tcPr>
            <w:tcW w:w="9159" w:type="dxa"/>
            <w:tcBorders/>
            <w:shd w:fill="auto" w:val="clear"/>
            <w:vAlign w:val="bottom"/>
          </w:tcPr>
          <w:p>
            <w:pPr>
              <w:pStyle w:val="TableContents"/>
              <w:spacing w:before="0" w:after="283"/>
              <w:jc w:val="center"/>
              <w:rPr/>
            </w:pPr>
            <w:r>
              <w:rPr/>
              <w:t> </w:t>
            </w:r>
          </w:p>
        </w:tc>
      </w:tr>
      <w:tr>
        <w:trPr/>
        <w:tc>
          <w:tcPr>
            <w:tcW w:w="828"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18" w:type="dxa"/>
            <w:tcBorders/>
            <w:shd w:fill="auto" w:val="clear"/>
            <w:vAlign w:val="bottom"/>
          </w:tcPr>
          <w:p>
            <w:pPr>
              <w:pStyle w:val="TableContents"/>
              <w:spacing w:before="0" w:after="283"/>
              <w:rPr/>
            </w:pPr>
            <w:r>
              <w:rPr/>
              <w:t> </w:t>
            </w:r>
          </w:p>
        </w:tc>
        <w:tc>
          <w:tcPr>
            <w:tcW w:w="9159"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8" w:type="dxa"/>
            <w:tcBorders/>
            <w:shd w:fill="auto" w:val="clear"/>
          </w:tcPr>
          <w:p>
            <w:pPr>
              <w:pStyle w:val="TableContents"/>
              <w:spacing w:before="0" w:after="0"/>
              <w:ind w:left="0" w:right="0" w:hanging="0"/>
              <w:jc w:val="center"/>
              <w:rPr/>
            </w:pPr>
            <w:r>
              <w:rPr/>
              <w:t xml:space="preserve">10.1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Term loan agreement dated July 1, 2005 between Farm Credit West, PCA and Calavo Growers, Inc.</w:t>
            </w:r>
          </w:p>
        </w:tc>
      </w:tr>
      <w:tr>
        <w:trPr/>
        <w:tc>
          <w:tcPr>
            <w:tcW w:w="828" w:type="dxa"/>
            <w:tcBorders/>
            <w:shd w:fill="auto" w:val="clear"/>
          </w:tcPr>
          <w:p>
            <w:pPr>
              <w:pStyle w:val="TableContents"/>
              <w:spacing w:before="0" w:after="0"/>
              <w:ind w:left="0" w:right="0" w:hanging="0"/>
              <w:jc w:val="center"/>
              <w:rPr/>
            </w:pPr>
            <w:r>
              <w:rPr/>
              <w:t>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31.1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31.2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32.1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Certification of Chief Executive Officer Pursuant to 18 U.S.C. § 1350, as Adopted Pursuant to Section 906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32.2 </w:t>
            </w:r>
          </w:p>
        </w:tc>
        <w:tc>
          <w:tcPr>
            <w:tcW w:w="218" w:type="dxa"/>
            <w:tcBorders/>
            <w:shd w:fill="auto" w:val="clear"/>
            <w:vAlign w:val="bottom"/>
          </w:tcPr>
          <w:p>
            <w:pPr>
              <w:pStyle w:val="TableContents"/>
              <w:spacing w:before="0" w:after="283"/>
              <w:rPr/>
            </w:pPr>
            <w:r>
              <w:rPr/>
              <w:t> </w:t>
            </w:r>
          </w:p>
        </w:tc>
        <w:tc>
          <w:tcPr>
            <w:tcW w:w="9159" w:type="dxa"/>
            <w:tcBorders/>
            <w:shd w:fill="auto" w:val="clear"/>
          </w:tcPr>
          <w:p>
            <w:pPr>
              <w:pStyle w:val="TableContents"/>
              <w:spacing w:before="0" w:after="283"/>
              <w:jc w:val="left"/>
              <w:rPr/>
            </w:pPr>
            <w:r>
              <w:rPr/>
              <w:t>Certification of Principal Financial Officer Pursuant to 18 U.S.C. § 1350, as Adopted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r>
        <w:br w:type="page"/>
      </w:r>
    </w:p>
    <w:p>
      <w:pPr>
        <w:pStyle w:val="Heading5"/>
        <w:jc w:val="left"/>
        <w:rPr/>
      </w:pPr>
      <w:bookmarkStart w:id="19" w:name="v12377exv10w1.htm"/>
      <w:bookmarkStart w:id="20" w:name="ksv12377exv10w1"/>
      <w:bookmarkEnd w:id="19"/>
      <w:bookmarkEnd w:id="20"/>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TERM LOAN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THIS TERM LOAN AGREEMENT </w:t>
      </w:r>
      <w:r>
        <w:rPr>
          <w:rFonts w:ascii="Times New Roman;Times;serif" w:hAnsi="Times New Roman;Times;serif"/>
          <w:sz w:val="17"/>
        </w:rPr>
        <w:t xml:space="preserve">(Term Loan Agreement) is entered into as of July 1, 2005, between </w:t>
      </w:r>
      <w:r>
        <w:rPr>
          <w:rFonts w:ascii="Times New Roman;Times;serif" w:hAnsi="Times New Roman;Times;serif"/>
          <w:b/>
          <w:sz w:val="17"/>
        </w:rPr>
        <w:t>FARM CREDIT WEST, PCA</w:t>
      </w:r>
      <w:r>
        <w:rPr>
          <w:rFonts w:ascii="Times New Roman;Times;serif" w:hAnsi="Times New Roman;Times;serif"/>
          <w:sz w:val="17"/>
        </w:rPr>
        <w:t xml:space="preserve">, Visalia, California </w:t>
      </w:r>
      <w:r>
        <w:rPr>
          <w:rFonts w:ascii="Times New Roman;Times;serif" w:hAnsi="Times New Roman;Times;serif"/>
          <w:b/>
          <w:sz w:val="17"/>
        </w:rPr>
        <w:t>(</w:t>
      </w:r>
      <w:r>
        <w:rPr>
          <w:rFonts w:ascii="Times New Roman;Times;serif" w:hAnsi="Times New Roman;Times;serif"/>
          <w:sz w:val="17"/>
        </w:rPr>
        <w:t xml:space="preserve">FCW) and </w:t>
      </w:r>
      <w:r>
        <w:rPr>
          <w:rFonts w:ascii="Times New Roman;Times;serif" w:hAnsi="Times New Roman;Times;serif"/>
          <w:b/>
          <w:sz w:val="17"/>
        </w:rPr>
        <w:t>CALAVO GROWERS, INC.</w:t>
      </w:r>
      <w:r>
        <w:rPr>
          <w:rFonts w:ascii="Times New Roman;Times;serif" w:hAnsi="Times New Roman;Times;serif"/>
          <w:sz w:val="17"/>
        </w:rPr>
        <w:t xml:space="preserve">, Santa Paula, California (the Company). </w:t>
      </w:r>
    </w:p>
    <w:p>
      <w:pPr>
        <w:pStyle w:val="TextBody"/>
        <w:spacing w:before="120" w:after="283"/>
        <w:jc w:val="left"/>
        <w:rPr/>
      </w:pPr>
      <w:r>
        <w:rPr/>
        <w:t>     </w:t>
      </w:r>
      <w:r>
        <w:rPr>
          <w:rFonts w:ascii="Times New Roman;Times;serif" w:hAnsi="Times New Roman;Times;serif"/>
          <w:b/>
          <w:sz w:val="17"/>
        </w:rPr>
        <w:t xml:space="preserve">SECTION 1. The Credit Facility. </w:t>
      </w:r>
      <w:r>
        <w:rPr>
          <w:rFonts w:ascii="Times New Roman;Times;serif" w:hAnsi="Times New Roman;Times;serif"/>
          <w:sz w:val="17"/>
        </w:rPr>
        <w:t xml:space="preserve">On the terms and conditions set forth in this Term Loan Agreement, FCW agrees to make advances to the Company during the period set forth below in an aggregate principal amount not to exceed $13,000,000.00 (the Commitment). </w:t>
      </w:r>
    </w:p>
    <w:p>
      <w:pPr>
        <w:pStyle w:val="TextBody"/>
        <w:spacing w:before="120" w:after="283"/>
        <w:jc w:val="left"/>
        <w:rPr/>
      </w:pPr>
      <w:r>
        <w:rPr/>
        <w:t>     </w:t>
      </w:r>
      <w:r>
        <w:rPr>
          <w:rFonts w:ascii="Times New Roman;Times;serif" w:hAnsi="Times New Roman;Times;serif"/>
          <w:b/>
          <w:sz w:val="17"/>
        </w:rPr>
        <w:t xml:space="preserve">SECTION 2. Sale of Interest. </w:t>
      </w:r>
      <w:r>
        <w:rPr>
          <w:rFonts w:ascii="Times New Roman;Times;serif" w:hAnsi="Times New Roman;Times;serif"/>
          <w:sz w:val="17"/>
        </w:rPr>
        <w:t xml:space="preserve">The Company acknowledges that FCW has the option to participate all or a portion of the Commitment with one or more lenders. </w:t>
      </w:r>
    </w:p>
    <w:p>
      <w:pPr>
        <w:pStyle w:val="TextBody"/>
        <w:spacing w:before="120" w:after="283"/>
        <w:jc w:val="left"/>
        <w:rPr/>
      </w:pPr>
      <w:r>
        <w:rPr/>
        <w:t>     </w:t>
      </w:r>
      <w:r>
        <w:rPr>
          <w:rFonts w:ascii="Times New Roman;Times;serif" w:hAnsi="Times New Roman;Times;serif"/>
          <w:b/>
          <w:sz w:val="17"/>
        </w:rPr>
        <w:t xml:space="preserve">SECTION 3. Purpose. </w:t>
      </w:r>
      <w:r>
        <w:rPr>
          <w:rFonts w:ascii="Times New Roman;Times;serif" w:hAnsi="Times New Roman;Times;serif"/>
          <w:sz w:val="17"/>
        </w:rPr>
        <w:t xml:space="preserve">The purpose of the Commitment is to finance the purchase of stock in the Limoneira Company. </w:t>
      </w:r>
    </w:p>
    <w:p>
      <w:pPr>
        <w:pStyle w:val="TextBody"/>
        <w:spacing w:before="120" w:after="283"/>
        <w:jc w:val="left"/>
        <w:rPr/>
      </w:pPr>
      <w:r>
        <w:rPr/>
        <w:t>     </w:t>
      </w:r>
      <w:r>
        <w:rPr>
          <w:rFonts w:ascii="Times New Roman;Times;serif" w:hAnsi="Times New Roman;Times;serif"/>
          <w:b/>
          <w:sz w:val="17"/>
        </w:rPr>
        <w:t xml:space="preserve">SECTION 4. Term. </w:t>
      </w:r>
      <w:r>
        <w:rPr>
          <w:rFonts w:ascii="Times New Roman;Times;serif" w:hAnsi="Times New Roman;Times;serif"/>
          <w:sz w:val="17"/>
        </w:rPr>
        <w:t xml:space="preserve">The term of the Commitment shall be from the date hereof, up to and including July 1, 2015. </w:t>
      </w:r>
    </w:p>
    <w:p>
      <w:pPr>
        <w:pStyle w:val="TextBody"/>
        <w:spacing w:before="120" w:after="283"/>
        <w:jc w:val="left"/>
        <w:rPr/>
      </w:pPr>
      <w:r>
        <w:rPr/>
        <w:t>     </w:t>
      </w:r>
      <w:r>
        <w:rPr>
          <w:rFonts w:ascii="Times New Roman;Times;serif" w:hAnsi="Times New Roman;Times;serif"/>
          <w:b/>
          <w:sz w:val="17"/>
        </w:rPr>
        <w:t xml:space="preserve">SECTION 5. Availability. </w:t>
      </w:r>
      <w:r>
        <w:rPr>
          <w:rFonts w:ascii="Times New Roman;Times;serif" w:hAnsi="Times New Roman;Times;serif"/>
          <w:sz w:val="17"/>
        </w:rPr>
        <w:t xml:space="preserve">Subject to the provisions of Section 25, advances will be made available on any day on which FCW and the Federal Reserve Banks are open for business upon the telephonic or written request of the Company. Requests for advances must be received no later than 12:00 Noon, Companys local time, on the date the advance is desired. Advances will be made available by FCW by wire transfer of immediately available funds to such account or accounts as may be authorized by the Company. The Company shall furnish to FCW a duly completed and executed copy of a FCW Delegation and Wire and Electronic Transfer Authorization Form, and FCW shall be entitled to rely on (and shall incur no liability to the Company in acting on) any request or direction furnished in accordance with the terms thereof. Notwithstanding anything else contained herein or in the Note, FCW shall not be obligated to honor requests for advances received after July 30, 2005, nor shall FCW be obligated to readvance any amounts which have previously been repaid. </w:t>
      </w:r>
    </w:p>
    <w:p>
      <w:pPr>
        <w:pStyle w:val="TextBody"/>
        <w:spacing w:before="120" w:after="283"/>
        <w:jc w:val="left"/>
        <w:rPr/>
      </w:pPr>
      <w:r>
        <w:rPr/>
        <w:t>     </w:t>
      </w:r>
      <w:r>
        <w:rPr>
          <w:rFonts w:ascii="Times New Roman;Times;serif" w:hAnsi="Times New Roman;Times;serif"/>
          <w:b/>
          <w:sz w:val="17"/>
        </w:rPr>
        <w:t>SECTION 6. Interest and Fees.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Interest. </w:t>
      </w:r>
      <w:r>
        <w:rPr>
          <w:rFonts w:ascii="Times New Roman;Times;serif" w:hAnsi="Times New Roman;Times;serif"/>
          <w:sz w:val="17"/>
        </w:rPr>
        <w:t xml:space="preserve">The Company agrees to pay interest on the unpaid balance of the Commitment at an interest rate chosen by the Company and to be disclosed by FCW at the time the Commitment is closed (Subsequent Disclosure). Upon the Commitment closing, the Subsequent Disclosure shall set forth any prepayment provisions that apply to the Commitment based on the interest rate chosen by the Company. </w:t>
      </w:r>
    </w:p>
    <w:p>
      <w:pPr>
        <w:pStyle w:val="TextBody"/>
        <w:spacing w:before="120" w:after="283"/>
        <w:jc w:val="left"/>
        <w:rPr/>
      </w:pPr>
      <w:r>
        <w:rPr/>
        <w:t>          </w:t>
      </w:r>
      <w:r>
        <w:rPr>
          <w:rFonts w:ascii="Times New Roman;Times;serif" w:hAnsi="Times New Roman;Times;serif"/>
          <w:sz w:val="17"/>
        </w:rPr>
        <w:t xml:space="preserve">Interest shall be calculated on the actual number of days the loan is outstanding on the basis of a year consisting of 365 days and shall be payable monthly in arrears by the 1st day of the following month or on such other day in such month as FCW shall require in a written notice to the Company. </w:t>
      </w:r>
    </w:p>
    <w:p>
      <w:pPr>
        <w:pStyle w:val="TextBody"/>
        <w:spacing w:before="120" w:after="283"/>
        <w:jc w:val="left"/>
        <w:rPr/>
      </w:pPr>
      <w:r>
        <w:rPr/>
        <w:t>          </w:t>
      </w:r>
      <w:r>
        <w:rPr>
          <w:rFonts w:ascii="Times New Roman;Times;serif" w:hAnsi="Times New Roman;Times;serif"/>
          <w:b/>
          <w:sz w:val="17"/>
        </w:rPr>
        <w:t xml:space="preserve">(B) Documentation Fee. </w:t>
      </w:r>
      <w:r>
        <w:rPr>
          <w:rFonts w:ascii="Times New Roman;Times;serif" w:hAnsi="Times New Roman;Times;serif"/>
          <w:sz w:val="17"/>
        </w:rPr>
        <w:t xml:space="preserve">In consideration of the Commitment, the Company agrees to pay to FCW a documentation fee of $2,500.00. </w:t>
      </w:r>
    </w:p>
    <w:p>
      <w:pPr>
        <w:pStyle w:val="TextBody"/>
        <w:spacing w:before="120" w:after="283"/>
        <w:jc w:val="left"/>
        <w:rPr/>
      </w:pPr>
      <w:r>
        <w:rPr/>
        <w:t>     </w:t>
      </w:r>
      <w:r>
        <w:rPr>
          <w:rFonts w:ascii="Times New Roman;Times;serif" w:hAnsi="Times New Roman;Times;serif"/>
          <w:b/>
          <w:sz w:val="17"/>
        </w:rPr>
        <w:t xml:space="preserve">SECTION 7. Repayment and Maturity. </w:t>
      </w:r>
      <w:r>
        <w:rPr>
          <w:rFonts w:ascii="Times New Roman;Times;serif" w:hAnsi="Times New Roman;Times;serif"/>
          <w:sz w:val="17"/>
        </w:rPr>
        <w:t xml:space="preserve">The unpaid principal balance of the Commitment shall mature and be due and payable on July 1, 2015 (the Maturity Date). </w:t>
      </w:r>
    </w:p>
    <w:p>
      <w:pPr>
        <w:pStyle w:val="TextBody"/>
        <w:spacing w:before="120" w:after="283"/>
        <w:jc w:val="left"/>
        <w:rPr/>
      </w:pPr>
      <w:r>
        <w:rPr/>
        <w:t>     </w:t>
      </w:r>
      <w:r>
        <w:rPr>
          <w:rFonts w:ascii="Times New Roman;Times;serif" w:hAnsi="Times New Roman;Times;serif"/>
          <w:b/>
          <w:sz w:val="17"/>
        </w:rPr>
        <w:t xml:space="preserve">SECTION 8. Promissory Note. </w:t>
      </w:r>
      <w:r>
        <w:rPr>
          <w:rFonts w:ascii="Times New Roman;Times;serif" w:hAnsi="Times New Roman;Times;serif"/>
          <w:sz w:val="17"/>
        </w:rPr>
        <w:t xml:space="preserve">The Companys obligation to repay the Commitment shall be evidenced by a promissory note in the form attached hereto as Exhibit A (Note). </w:t>
      </w:r>
    </w:p>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 xml:space="preserve">SECTION 9. Manner and Time of Payment. </w:t>
      </w:r>
      <w:r>
        <w:rPr>
          <w:rFonts w:ascii="Times New Roman;Times;serif" w:hAnsi="Times New Roman;Times;serif"/>
          <w:sz w:val="17"/>
        </w:rPr>
        <w:t xml:space="preserve">FCW shall maintain a record of the Commitment, the interest accrued thereon, and all payments made with respect thereto, and such record shall, absent proof of manifest error, be conclusive evidence of the outstanding principal and interest on the Commitment. All payments shall be made by wire transfer of immediately available funds, by check, or by automated clearing house or other similar cash handling processes as specified by separate agreement between the Company and FCW. Wire transfers shall be made to ABA No. 101104562 for advice to and credit of FCW (or to such other account as FCW may direct by notice). The Company shall give FCW telephonic notice no later than 12:00 Noon Companys local time of its intent to pay by wire and funds received after 3:00 p.m. Companys local time shall be credited on the next business day. Checks shall be mailed to FCW, P.O. Box 631, Visalia, CA 93279 (or to such other place as FCW may direct by notice). Credit for payment by check will not be given until the later of: (a) the day on which FCW receives immediately available funds; or (b) the next business day after receipt of the check. </w:t>
      </w:r>
    </w:p>
    <w:p>
      <w:pPr>
        <w:pStyle w:val="TextBody"/>
        <w:spacing w:before="120" w:after="283"/>
        <w:jc w:val="left"/>
        <w:rPr/>
      </w:pPr>
      <w:r>
        <w:rPr/>
        <w:t>     </w:t>
      </w:r>
      <w:r>
        <w:rPr>
          <w:rFonts w:ascii="Times New Roman;Times;serif" w:hAnsi="Times New Roman;Times;serif"/>
          <w:b/>
          <w:sz w:val="17"/>
        </w:rPr>
        <w:t xml:space="preserve">SECTION 10. Capitalization. </w:t>
      </w:r>
      <w:r>
        <w:rPr>
          <w:rFonts w:ascii="Times New Roman;Times;serif" w:hAnsi="Times New Roman;Times;serif"/>
          <w:sz w:val="17"/>
        </w:rPr>
        <w:t xml:space="preserve">The Company has purchased a $1,000.00 stock investment under FCWs capitalization plan. The Company understands that FCWs stock is at risk and that any reference to FCW equities or to stock or participation certificates required by Lenders bylaws in any document, agreement or Loan Document shall mean the FCW stock investment described herein. </w:t>
      </w:r>
    </w:p>
    <w:p>
      <w:pPr>
        <w:pStyle w:val="TextBody"/>
        <w:spacing w:before="120" w:after="283"/>
        <w:jc w:val="left"/>
        <w:rPr/>
      </w:pPr>
      <w:r>
        <w:rPr/>
        <w:t>     </w:t>
      </w:r>
      <w:r>
        <w:rPr>
          <w:rFonts w:ascii="Times New Roman;Times;serif" w:hAnsi="Times New Roman;Times;serif"/>
          <w:b/>
          <w:sz w:val="17"/>
        </w:rPr>
        <w:t xml:space="preserve">SECTION 11. Patronage. </w:t>
      </w:r>
      <w:r>
        <w:rPr>
          <w:rFonts w:ascii="Times New Roman;Times;serif" w:hAnsi="Times New Roman;Times;serif"/>
          <w:sz w:val="17"/>
        </w:rPr>
        <w:t xml:space="preserve">The Commitment is eligible for patronage under the plan and in accordance with the provisions of FCWs bylaws and its practices and procedures related to patronage distribution and as set forth in Section 27. </w:t>
      </w:r>
    </w:p>
    <w:p>
      <w:pPr>
        <w:pStyle w:val="TextBody"/>
        <w:spacing w:before="120" w:after="283"/>
        <w:jc w:val="left"/>
        <w:rPr/>
      </w:pPr>
      <w:r>
        <w:rPr/>
        <w:t>     </w:t>
      </w:r>
      <w:r>
        <w:rPr>
          <w:rFonts w:ascii="Times New Roman;Times;serif" w:hAnsi="Times New Roman;Times;serif"/>
          <w:b/>
          <w:sz w:val="17"/>
        </w:rPr>
        <w:t xml:space="preserve">SECTION 12. Security. </w:t>
      </w:r>
      <w:r>
        <w:rPr>
          <w:rFonts w:ascii="Times New Roman;Times;serif" w:hAnsi="Times New Roman;Times;serif"/>
          <w:sz w:val="17"/>
        </w:rPr>
        <w:t xml:space="preserve">The Companys obligations under this Term Loan Agreement and the Note shall be secured by a statutory first lien on all equity which the Company may now own or hereafter acquire in FCW. With the exception of the security referenced in the preceding sentence, the Companys obligations under this Term Loan Agreement and the Note shall be unsecured. </w:t>
      </w:r>
    </w:p>
    <w:p>
      <w:pPr>
        <w:pStyle w:val="TextBody"/>
        <w:spacing w:before="120" w:after="283"/>
        <w:jc w:val="left"/>
        <w:rPr/>
      </w:pPr>
      <w:r>
        <w:rPr/>
        <w:t>     </w:t>
      </w:r>
      <w:r>
        <w:rPr>
          <w:rFonts w:ascii="Times New Roman;Times;serif" w:hAnsi="Times New Roman;Times;serif"/>
          <w:b/>
          <w:sz w:val="17"/>
        </w:rPr>
        <w:t xml:space="preserve">SECTION 13. Conditions Precedent. </w:t>
      </w:r>
      <w:r>
        <w:rPr>
          <w:rFonts w:ascii="Times New Roman;Times;serif" w:hAnsi="Times New Roman;Times;serif"/>
          <w:sz w:val="17"/>
        </w:rPr>
        <w:t xml:space="preserve">FCWs obligation to make advances hereunder is subject to the condition precedent that FCW receive, in form and content satisfactory to FCW, each of the following: </w:t>
      </w:r>
    </w:p>
    <w:p>
      <w:pPr>
        <w:pStyle w:val="TextBody"/>
        <w:spacing w:before="120" w:after="283"/>
        <w:jc w:val="left"/>
        <w:rPr/>
      </w:pPr>
      <w:r>
        <w:rPr/>
        <w:t>          </w:t>
      </w:r>
      <w:r>
        <w:rPr>
          <w:rFonts w:ascii="Times New Roman;Times;serif" w:hAnsi="Times New Roman;Times;serif"/>
          <w:b/>
          <w:sz w:val="17"/>
        </w:rPr>
        <w:t xml:space="preserve">(A) This Term Loan Agreement. </w:t>
      </w:r>
      <w:r>
        <w:rPr>
          <w:rFonts w:ascii="Times New Roman;Times;serif" w:hAnsi="Times New Roman;Times;serif"/>
          <w:sz w:val="17"/>
        </w:rPr>
        <w:t xml:space="preserve">A duly executed copy of this Term Loan Agreement and all instruments and documents contemplated hereby. </w:t>
      </w:r>
    </w:p>
    <w:p>
      <w:pPr>
        <w:pStyle w:val="TextBody"/>
        <w:spacing w:before="120" w:after="283"/>
        <w:jc w:val="left"/>
        <w:rPr/>
      </w:pPr>
      <w:r>
        <w:rPr/>
        <w:t>          </w:t>
      </w:r>
      <w:r>
        <w:rPr>
          <w:rFonts w:ascii="Times New Roman;Times;serif" w:hAnsi="Times New Roman;Times;serif"/>
          <w:b/>
          <w:sz w:val="17"/>
        </w:rPr>
        <w:t xml:space="preserve">(B) Evidence of Authority. </w:t>
      </w:r>
      <w:r>
        <w:rPr>
          <w:rFonts w:ascii="Times New Roman;Times;serif" w:hAnsi="Times New Roman;Times;serif"/>
          <w:sz w:val="17"/>
        </w:rPr>
        <w:t xml:space="preserve">Such certified board resolutions, evidence of incumbency, and other evidence that FCW may require that this Term Loan Agreement and the Note have been duly authorized and executed. </w:t>
      </w:r>
    </w:p>
    <w:p>
      <w:pPr>
        <w:pStyle w:val="TextBody"/>
        <w:spacing w:before="120" w:after="283"/>
        <w:jc w:val="left"/>
        <w:rPr/>
      </w:pPr>
      <w:r>
        <w:rPr/>
        <w:t>          </w:t>
      </w:r>
      <w:r>
        <w:rPr>
          <w:rFonts w:ascii="Times New Roman;Times;serif" w:hAnsi="Times New Roman;Times;serif"/>
          <w:b/>
          <w:sz w:val="17"/>
        </w:rPr>
        <w:t xml:space="preserve">(C) Fees and Other Charges. </w:t>
      </w:r>
      <w:r>
        <w:rPr>
          <w:rFonts w:ascii="Times New Roman;Times;serif" w:hAnsi="Times New Roman;Times;serif"/>
          <w:sz w:val="17"/>
        </w:rPr>
        <w:t xml:space="preserve">All fees and other charges provided for herein. </w:t>
      </w:r>
    </w:p>
    <w:p>
      <w:pPr>
        <w:pStyle w:val="TextBody"/>
        <w:spacing w:before="120" w:after="283"/>
        <w:jc w:val="left"/>
        <w:rPr/>
      </w:pPr>
      <w:r>
        <w:rPr/>
        <w:t>          </w:t>
      </w:r>
      <w:r>
        <w:rPr>
          <w:rFonts w:ascii="Times New Roman;Times;serif" w:hAnsi="Times New Roman;Times;serif"/>
          <w:b/>
          <w:sz w:val="17"/>
        </w:rPr>
        <w:t xml:space="preserve">(D) Evidence of Insurance. </w:t>
      </w:r>
      <w:r>
        <w:rPr>
          <w:rFonts w:ascii="Times New Roman;Times;serif" w:hAnsi="Times New Roman;Times;serif"/>
          <w:sz w:val="17"/>
        </w:rPr>
        <w:t xml:space="preserve">Such evidence as FCW may require that the Company is in compliance with Section 15(C) hereof. </w:t>
      </w:r>
    </w:p>
    <w:p>
      <w:pPr>
        <w:pStyle w:val="TextBody"/>
        <w:spacing w:before="120" w:after="283"/>
        <w:jc w:val="left"/>
        <w:rPr/>
      </w:pPr>
      <w:r>
        <w:rPr/>
        <w:t>          </w:t>
      </w:r>
      <w:r>
        <w:rPr>
          <w:rFonts w:ascii="Times New Roman;Times;serif" w:hAnsi="Times New Roman;Times;serif"/>
          <w:b/>
          <w:sz w:val="17"/>
        </w:rPr>
        <w:t xml:space="preserve">(E) Event of Default. </w:t>
      </w:r>
      <w:r>
        <w:rPr>
          <w:rFonts w:ascii="Times New Roman;Times;serif" w:hAnsi="Times New Roman;Times;serif"/>
          <w:sz w:val="17"/>
        </w:rPr>
        <w:t xml:space="preserve">That no Event of Default (as defined in Section 18 hereof) or event which with the giving of notice and/or the passage of time would become an Event of Default hereunder (a Potential Default), shall have occurred and be continuing. </w:t>
      </w:r>
    </w:p>
    <w:p>
      <w:pPr>
        <w:pStyle w:val="TextBody"/>
        <w:spacing w:before="120" w:after="283"/>
        <w:jc w:val="left"/>
        <w:rPr/>
      </w:pPr>
      <w:r>
        <w:rPr/>
        <w:t>     </w:t>
      </w:r>
      <w:r>
        <w:rPr>
          <w:rFonts w:ascii="Times New Roman;Times;serif" w:hAnsi="Times New Roman;Times;serif"/>
          <w:b/>
          <w:sz w:val="17"/>
        </w:rPr>
        <w:t>SECTION 14. Representations and Warranties.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b/>
          <w:sz w:val="17"/>
        </w:rPr>
        <w:t xml:space="preserve">(A) This Term Loan Agreement. </w:t>
      </w:r>
      <w:r>
        <w:rPr>
          <w:rFonts w:ascii="Times New Roman;Times;serif" w:hAnsi="Times New Roman;Times;serif"/>
          <w:sz w:val="17"/>
        </w:rPr>
        <w:t xml:space="preserve">The Company represents and warrants to FCW that as of the date of this Term Loan Agreement: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b/>
          <w:sz w:val="17"/>
        </w:rPr>
        <w:t xml:space="preserve">1) Compliance. </w:t>
      </w:r>
      <w:r>
        <w:rPr>
          <w:rFonts w:ascii="Times New Roman;Times;serif" w:hAnsi="Times New Roman;Times;serif"/>
          <w:sz w:val="17"/>
        </w:rPr>
        <w:t xml:space="preserve">The Company and, to the extent contemplated hereunder, each Subsidiary (as defined below), is in compliance with all of the terms of this Term Loan Agreement, and no Event of Default or Potential Default exists hereunder. </w:t>
      </w:r>
    </w:p>
    <w:p>
      <w:pPr>
        <w:pStyle w:val="TextBody"/>
        <w:spacing w:before="120" w:after="283"/>
        <w:jc w:val="left"/>
        <w:rPr/>
      </w:pPr>
      <w:r>
        <w:rPr/>
        <w:t>               </w:t>
      </w:r>
      <w:r>
        <w:rPr>
          <w:rFonts w:ascii="Times New Roman;Times;serif" w:hAnsi="Times New Roman;Times;serif"/>
          <w:b/>
          <w:sz w:val="17"/>
        </w:rPr>
        <w:t>(2) Due Organization</w:t>
      </w:r>
      <w:r>
        <w:rPr>
          <w:rFonts w:ascii="Times New Roman;Times;serif" w:hAnsi="Times New Roman;Times;serif"/>
          <w:sz w:val="17"/>
        </w:rPr>
        <w:t xml:space="preserve">. The Company and each Subsidiary is duly organized and validly existing under the laws of its state or nationality of organization and is duly qualified to conduct business in each jurisdiction in which its business is conducted. </w:t>
      </w:r>
    </w:p>
    <w:p>
      <w:pPr>
        <w:pStyle w:val="TextBody"/>
        <w:spacing w:before="120" w:after="283"/>
        <w:jc w:val="left"/>
        <w:rPr/>
      </w:pPr>
      <w:r>
        <w:rPr/>
        <w:t>               </w:t>
      </w:r>
      <w:r>
        <w:rPr>
          <w:rFonts w:ascii="Times New Roman;Times;serif" w:hAnsi="Times New Roman;Times;serif"/>
          <w:b/>
          <w:sz w:val="17"/>
        </w:rPr>
        <w:t xml:space="preserve">(3) Conflicting Agreements. </w:t>
      </w:r>
      <w:r>
        <w:rPr>
          <w:rFonts w:ascii="Times New Roman;Times;serif" w:hAnsi="Times New Roman;Times;serif"/>
          <w:sz w:val="17"/>
        </w:rPr>
        <w:t xml:space="preserve">This Term Loan Agreement, the Note and any other documents or instruments executed or delivered by Company in connection herewith (collectively, at any time, the Loan Documents), do not conflict with, or require the consent of any party to, any other agreement to which the Company is a party or by which it or its property may be bound or affected, and do not conflict with any provision of the Companys bylaws, articles of incorporation, or other organizational documents. </w:t>
      </w:r>
    </w:p>
    <w:p>
      <w:pPr>
        <w:pStyle w:val="TextBody"/>
        <w:spacing w:before="120" w:after="283"/>
        <w:jc w:val="left"/>
        <w:rPr/>
      </w:pPr>
      <w:r>
        <w:rPr/>
        <w:t>               </w:t>
      </w:r>
      <w:r>
        <w:rPr>
          <w:rFonts w:ascii="Times New Roman;Times;serif" w:hAnsi="Times New Roman;Times;serif"/>
          <w:b/>
          <w:sz w:val="17"/>
        </w:rPr>
        <w:t xml:space="preserve">(4) Due Authorization. </w:t>
      </w:r>
      <w:r>
        <w:rPr>
          <w:rFonts w:ascii="Times New Roman;Times;serif" w:hAnsi="Times New Roman;Times;serif"/>
          <w:sz w:val="17"/>
        </w:rPr>
        <w:t xml:space="preserve">The execution, delivery and performance of the Loan Documents to be executed by Company are within Companys corporate powers and have been duly authorized by all necessary corporate action by Company. </w:t>
      </w:r>
    </w:p>
    <w:p>
      <w:pPr>
        <w:pStyle w:val="TextBody"/>
        <w:spacing w:before="120" w:after="283"/>
        <w:jc w:val="left"/>
        <w:rPr/>
      </w:pPr>
      <w:r>
        <w:rPr/>
        <w:t>               </w:t>
      </w:r>
      <w:r>
        <w:rPr>
          <w:rFonts w:ascii="Times New Roman;Times;serif" w:hAnsi="Times New Roman;Times;serif"/>
          <w:b/>
          <w:sz w:val="17"/>
        </w:rPr>
        <w:t>(5) Financial Information.</w:t>
      </w:r>
      <w:r>
        <w:rPr>
          <w:rFonts w:ascii="Times New Roman;Times;serif" w:hAnsi="Times New Roman;Times;serif"/>
          <w:sz w:val="17"/>
        </w:rPr>
        <w:t xml:space="preserve"> All financial statements and other financial information submitted by Company to FCW are true and correct in all material respects, and there has been no material adverse change in Companys financial condition since the date of the latest of such financial statements. </w:t>
      </w:r>
    </w:p>
    <w:p>
      <w:pPr>
        <w:pStyle w:val="TextBody"/>
        <w:spacing w:before="120" w:after="283"/>
        <w:jc w:val="left"/>
        <w:rPr/>
      </w:pPr>
      <w:r>
        <w:rPr/>
        <w:t>               </w:t>
      </w:r>
      <w:r>
        <w:rPr>
          <w:rFonts w:ascii="Times New Roman;Times;serif" w:hAnsi="Times New Roman;Times;serif"/>
          <w:b/>
          <w:sz w:val="17"/>
        </w:rPr>
        <w:t xml:space="preserve">(6) Subsidiaries. </w:t>
      </w:r>
      <w:r>
        <w:rPr>
          <w:rFonts w:ascii="Times New Roman;Times;serif" w:hAnsi="Times New Roman;Times;serif"/>
          <w:sz w:val="17"/>
        </w:rPr>
        <w:t xml:space="preserve">The Company has the following Subsidiaries: Calavo Foods, Inc. (CFI); Maui Fresh International, Inc.; Calavo de Mexico S.A. de C.V.; and Calavo Foods de Mexico S.A. de C.V. . For purposes hereof, a Subsidiary shall mean (i) a corporation of which shares of stock having ordinary voting power to elect a majority of the board of directors or other managers of such corporation, (ii) a limited liability company of which membership interests constituting a majority interest or the voting power to elect a majority of the managers of such limited liability company, or (iii) a partnership of which a majority of the general partnership interests, are owned, directly or indirectly, by the Company. </w:t>
      </w:r>
    </w:p>
    <w:p>
      <w:pPr>
        <w:pStyle w:val="TextBody"/>
        <w:spacing w:before="120" w:after="283"/>
        <w:jc w:val="left"/>
        <w:rPr/>
      </w:pPr>
      <w:r>
        <w:rPr/>
        <w:t>               </w:t>
      </w:r>
      <w:r>
        <w:rPr>
          <w:rFonts w:ascii="Times New Roman;Times;serif" w:hAnsi="Times New Roman;Times;serif"/>
          <w:b/>
          <w:sz w:val="17"/>
        </w:rPr>
        <w:t xml:space="preserve">(7) Binding Agreement. </w:t>
      </w:r>
      <w:r>
        <w:rPr>
          <w:rFonts w:ascii="Times New Roman;Times;serif" w:hAnsi="Times New Roman;Times;serif"/>
          <w:sz w:val="17"/>
        </w:rPr>
        <w:t xml:space="preserve">The Loan Documents create legal, valid, and binding obligations of the Company which are enforceable in accordance with their terms, except to the extent that enforcement may be limited by applicable bankruptcy, insolvency, or similar laws affecting creditors rights generally. </w:t>
      </w:r>
    </w:p>
    <w:p>
      <w:pPr>
        <w:pStyle w:val="TextBody"/>
        <w:spacing w:before="120" w:after="283"/>
        <w:jc w:val="left"/>
        <w:rPr/>
      </w:pPr>
      <w:r>
        <w:rPr/>
        <w:t>               </w:t>
      </w:r>
      <w:r>
        <w:rPr>
          <w:rFonts w:ascii="Times New Roman;Times;serif" w:hAnsi="Times New Roman;Times;serif"/>
          <w:b/>
          <w:sz w:val="17"/>
        </w:rPr>
        <w:t>(8) Good Standing</w:t>
      </w:r>
      <w:r>
        <w:rPr>
          <w:rFonts w:ascii="Times New Roman;Times;serif" w:hAnsi="Times New Roman;Times;serif"/>
          <w:sz w:val="17"/>
        </w:rPr>
        <w:t xml:space="preserve">. The Company and each Subsidiary are properly licensed and in good standing in each State and nationality in which such person is doing business, and the Company and each Subsidiary has complied with all laws and regulations affecting such person. </w:t>
      </w:r>
    </w:p>
    <w:p>
      <w:pPr>
        <w:pStyle w:val="TextBody"/>
        <w:spacing w:before="120" w:after="283"/>
        <w:jc w:val="left"/>
        <w:rPr/>
      </w:pPr>
      <w:r>
        <w:rPr/>
        <w:t>               </w:t>
      </w:r>
      <w:r>
        <w:rPr>
          <w:rFonts w:ascii="Times New Roman;Times;serif" w:hAnsi="Times New Roman;Times;serif"/>
          <w:b/>
          <w:sz w:val="17"/>
        </w:rPr>
        <w:t xml:space="preserve">(9) Regulation U. </w:t>
      </w:r>
      <w:r>
        <w:rPr>
          <w:rFonts w:ascii="Times New Roman;Times;serif" w:hAnsi="Times New Roman;Times;serif"/>
          <w:sz w:val="17"/>
        </w:rPr>
        <w:t xml:space="preserve">Neither the Company nor any Subsidiary is engaged in the business of extending credit for the purpose of, and no part of the Loan will be used, directly or indirectly, for purchasing and carrying margin stock within the meaning of Federal Reserve Board Reg. U. </w:t>
      </w:r>
    </w:p>
    <w:p>
      <w:pPr>
        <w:pStyle w:val="TextBody"/>
        <w:spacing w:before="120" w:after="283"/>
        <w:jc w:val="left"/>
        <w:rPr/>
      </w:pPr>
      <w:r>
        <w:rPr/>
        <w:t>               </w:t>
      </w:r>
      <w:r>
        <w:rPr>
          <w:rFonts w:ascii="Times New Roman;Times;serif" w:hAnsi="Times New Roman;Times;serif"/>
          <w:b/>
          <w:sz w:val="17"/>
        </w:rPr>
        <w:t xml:space="preserve">(10) Compliance with Laws. </w:t>
      </w:r>
      <w:r>
        <w:rPr>
          <w:rFonts w:ascii="Times New Roman;Times;serif" w:hAnsi="Times New Roman;Times;serif"/>
          <w:sz w:val="17"/>
        </w:rPr>
        <w:t xml:space="preserve">The Company and each Subsidiary is in compliance with each applicable law, rule, regulation, ordinance, code, order, and the like (collectively, Laws), including, without limitation all Laws relating to environmental protection, which are applicable to the Company, the Subsidiaries or any of their business.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b/>
          <w:sz w:val="17"/>
        </w:rPr>
        <w:t xml:space="preserve">11) Assets. </w:t>
      </w:r>
      <w:r>
        <w:rPr>
          <w:rFonts w:ascii="Times New Roman;Times;serif" w:hAnsi="Times New Roman;Times;serif"/>
          <w:sz w:val="17"/>
        </w:rPr>
        <w:t xml:space="preserve">All property of the Company and each Subsidiary that is necessary to or useful in the proper conduct of its business is in good working condition and repair, ordinary wear and tear excepted. </w:t>
      </w:r>
    </w:p>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(12) Other Facts and Circumstances.</w:t>
      </w:r>
      <w:r>
        <w:rPr>
          <w:rFonts w:ascii="Times New Roman;Times;serif" w:hAnsi="Times New Roman;Times;serif"/>
          <w:sz w:val="17"/>
        </w:rPr>
        <w:t xml:space="preserve"> The Company is not aware of any fact, occurrence or circumstance which Company has not disclosed to FCW in writing which has, or could reasonably be expected to have, a material adverse effect on the Companys ability to repay the Loan or perform its obligations under the Loan Documents. </w:t>
      </w:r>
    </w:p>
    <w:p>
      <w:pPr>
        <w:pStyle w:val="TextBody"/>
        <w:spacing w:before="120" w:after="283"/>
        <w:jc w:val="left"/>
        <w:rPr/>
      </w:pPr>
      <w:r>
        <w:rPr/>
        <w:t>     </w:t>
      </w:r>
      <w:r>
        <w:rPr>
          <w:rFonts w:ascii="Times New Roman;Times;serif" w:hAnsi="Times New Roman;Times;serif"/>
          <w:b/>
          <w:sz w:val="17"/>
        </w:rPr>
        <w:t xml:space="preserve">SECTION 15. Affirmative Covenants. </w:t>
      </w:r>
      <w:r>
        <w:rPr>
          <w:rFonts w:ascii="Times New Roman;Times;serif" w:hAnsi="Times New Roman;Times;serif"/>
          <w:sz w:val="17"/>
        </w:rPr>
        <w:t xml:space="preserve">Unless otherwise agreed to in writing by FCW, while this Term Loan Agreement is in effect, the Company agrees to and with respect to Subsections 15(A) through 15(F) hereof, agrees to cause each Subsidiary, if any, to: </w:t>
      </w:r>
    </w:p>
    <w:p>
      <w:pPr>
        <w:pStyle w:val="TextBody"/>
        <w:spacing w:before="120" w:after="283"/>
        <w:jc w:val="left"/>
        <w:rPr/>
      </w:pPr>
      <w:r>
        <w:rPr/>
        <w:t>          </w:t>
      </w:r>
      <w:r>
        <w:rPr>
          <w:rFonts w:ascii="Times New Roman;Times;serif" w:hAnsi="Times New Roman;Times;serif"/>
          <w:b/>
          <w:sz w:val="17"/>
        </w:rPr>
        <w:t xml:space="preserve">(A) Corporate Existence, Licenses. </w:t>
      </w:r>
      <w:r>
        <w:rPr>
          <w:rFonts w:ascii="Times New Roman;Times;serif" w:hAnsi="Times New Roman;Times;serif"/>
          <w:sz w:val="17"/>
        </w:rPr>
        <w:t xml:space="preserve">(i) Preserve and keep in full force and effect its existence and good standing in the jurisdiction of its incorporation or 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Laws. </w:t>
      </w:r>
    </w:p>
    <w:p>
      <w:pPr>
        <w:pStyle w:val="TextBody"/>
        <w:spacing w:before="120" w:after="283"/>
        <w:jc w:val="left"/>
        <w:rPr/>
      </w:pPr>
      <w:r>
        <w:rPr/>
        <w:t>          </w:t>
      </w:r>
      <w:r>
        <w:rPr>
          <w:rFonts w:ascii="Times New Roman;Times;serif" w:hAnsi="Times New Roman;Times;serif"/>
          <w:b/>
          <w:sz w:val="17"/>
        </w:rPr>
        <w:t xml:space="preserve">(B) Compliance with Laws. </w:t>
      </w:r>
      <w:r>
        <w:rPr>
          <w:rFonts w:ascii="Times New Roman;Times;serif" w:hAnsi="Times New Roman;Times;serif"/>
          <w:sz w:val="17"/>
        </w:rPr>
        <w:t xml:space="preserve">Comply in all material respects with all applicable Laws, including, without limitation, all Laws relating to environmental protection. In addition, the Company agrees to cause all persons occupying or present on any of its properties, and to cause each Subsidiary, if any, to cause all persons occupying or present on any of its properties, to comply in all material respects with all environmental protection Laws. </w:t>
      </w:r>
    </w:p>
    <w:p>
      <w:pPr>
        <w:pStyle w:val="TextBody"/>
        <w:spacing w:before="120" w:after="283"/>
        <w:jc w:val="left"/>
        <w:rPr/>
      </w:pPr>
      <w:r>
        <w:rPr/>
        <w:t>          </w:t>
      </w:r>
      <w:r>
        <w:rPr>
          <w:rFonts w:ascii="Times New Roman;Times;serif" w:hAnsi="Times New Roman;Times;serif"/>
          <w:b/>
          <w:sz w:val="17"/>
        </w:rPr>
        <w:t xml:space="preserve">(C) Insurance. </w:t>
      </w:r>
      <w:r>
        <w:rPr>
          <w:rFonts w:ascii="Times New Roman;Times;serif" w:hAnsi="Times New Roman;Times;serif"/>
          <w:sz w:val="17"/>
        </w:rPr>
        <w:t xml:space="preserve">Maintain insurance with insurance companies or associations acceptable to FCW in such amounts and covering such risks as are usually carried by companies engaged in the same or similar business and similarly situated, and make such increases in the type or amount of coverage as FCW may request. At FCWs request, all policies (or such other proof of compliance with this Subsection as may be satisfactory to FCW) shall be delivered to FCW. </w:t>
      </w:r>
    </w:p>
    <w:p>
      <w:pPr>
        <w:pStyle w:val="TextBody"/>
        <w:spacing w:before="120" w:after="283"/>
        <w:jc w:val="left"/>
        <w:rPr/>
      </w:pPr>
      <w:r>
        <w:rPr/>
        <w:t>          </w:t>
      </w:r>
      <w:r>
        <w:rPr>
          <w:rFonts w:ascii="Times New Roman;Times;serif" w:hAnsi="Times New Roman;Times;serif"/>
          <w:b/>
          <w:sz w:val="17"/>
        </w:rPr>
        <w:t xml:space="preserve">(D) Property Maintenance. </w:t>
      </w:r>
      <w:r>
        <w:rPr>
          <w:rFonts w:ascii="Times New Roman;Times;serif" w:hAnsi="Times New Roman;Times;serif"/>
          <w:sz w:val="17"/>
        </w:rPr>
        <w:t xml:space="preserve">Maintain all of its property that is necessary to or useful in the proper conduct of its business in good working condition, ordinary wear and tear excepted. </w:t>
      </w:r>
    </w:p>
    <w:p>
      <w:pPr>
        <w:pStyle w:val="TextBody"/>
        <w:spacing w:before="120" w:after="283"/>
        <w:jc w:val="left"/>
        <w:rPr/>
      </w:pPr>
      <w:r>
        <w:rPr/>
        <w:t>          </w:t>
      </w:r>
      <w:r>
        <w:rPr>
          <w:rFonts w:ascii="Times New Roman;Times;serif" w:hAnsi="Times New Roman;Times;serif"/>
          <w:b/>
          <w:sz w:val="17"/>
        </w:rPr>
        <w:t xml:space="preserve">(E) Books and Records. </w:t>
      </w:r>
      <w:r>
        <w:rPr>
          <w:rFonts w:ascii="Times New Roman;Times;serif" w:hAnsi="Times New Roman;Times;serif"/>
          <w:sz w:val="17"/>
        </w:rPr>
        <w:t xml:space="preserve">Keep adequate records and books of account in which complete entries will be made in accordance with generally accepted accounting principles (GAAP) consistently applied. </w:t>
      </w:r>
    </w:p>
    <w:p>
      <w:pPr>
        <w:pStyle w:val="TextBody"/>
        <w:spacing w:before="120" w:after="283"/>
        <w:jc w:val="left"/>
        <w:rPr/>
      </w:pPr>
      <w:r>
        <w:rPr/>
        <w:t>          </w:t>
      </w:r>
      <w:r>
        <w:rPr>
          <w:rFonts w:ascii="Times New Roman;Times;serif" w:hAnsi="Times New Roman;Times;serif"/>
          <w:b/>
          <w:sz w:val="17"/>
        </w:rPr>
        <w:t xml:space="preserve">(F) Inspection. </w:t>
      </w:r>
      <w:r>
        <w:rPr>
          <w:rFonts w:ascii="Times New Roman;Times;serif" w:hAnsi="Times New Roman;Times;serif"/>
          <w:sz w:val="17"/>
        </w:rPr>
        <w:t xml:space="preserve">Permit FCW or its agents, upon reasonable notice and during normal business hours or at such other times as the parties may agree, to examine its properties, books, and records, and to discuss its affairs, finances, and accounts, with its respective officers, directors, employees, and independent certified public accountants. </w:t>
      </w:r>
    </w:p>
    <w:p>
      <w:pPr>
        <w:pStyle w:val="TextBody"/>
        <w:spacing w:before="120" w:after="283"/>
        <w:jc w:val="left"/>
        <w:rPr/>
      </w:pPr>
      <w:r>
        <w:rPr/>
        <w:t>          </w:t>
      </w:r>
      <w:r>
        <w:rPr>
          <w:rFonts w:ascii="Times New Roman;Times;serif" w:hAnsi="Times New Roman;Times;serif"/>
          <w:b/>
          <w:sz w:val="17"/>
        </w:rPr>
        <w:t xml:space="preserve">(G) Reports and Notices. </w:t>
      </w:r>
      <w:r>
        <w:rPr>
          <w:rFonts w:ascii="Times New Roman;Times;serif" w:hAnsi="Times New Roman;Times;serif"/>
          <w:sz w:val="17"/>
        </w:rPr>
        <w:t xml:space="preserve">Furnish to FCW: </w:t>
      </w:r>
    </w:p>
    <w:p>
      <w:pPr>
        <w:pStyle w:val="TextBody"/>
        <w:spacing w:before="120" w:after="283"/>
        <w:jc w:val="left"/>
        <w:rPr/>
      </w:pPr>
      <w:r>
        <w:rPr/>
        <w:t>               </w:t>
      </w:r>
      <w:r>
        <w:rPr>
          <w:rFonts w:ascii="Times New Roman;Times;serif" w:hAnsi="Times New Roman;Times;serif"/>
          <w:b/>
          <w:sz w:val="17"/>
        </w:rPr>
        <w:t xml:space="preserve">(1) Annual Financial Statements. </w:t>
      </w:r>
      <w:r>
        <w:rPr>
          <w:rFonts w:ascii="Times New Roman;Times;serif" w:hAnsi="Times New Roman;Times;serif"/>
          <w:sz w:val="17"/>
        </w:rPr>
        <w:t xml:space="preserve">As soon as available, but in no event more than 90 days after the end of each fiscal year of the Company occurring 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 </w:t>
      </w:r>
    </w:p>
    <w:p>
      <w:pPr>
        <w:pStyle w:val="TextBody"/>
        <w:spacing w:before="120" w:after="283"/>
        <w:jc w:val="left"/>
        <w:rPr/>
      </w:pPr>
      <w:r>
        <w:rPr/>
        <w:t>               </w:t>
      </w:r>
      <w:r>
        <w:rPr>
          <w:rFonts w:ascii="Times New Roman;Times;serif" w:hAnsi="Times New Roman;Times;serif"/>
          <w:b/>
          <w:sz w:val="17"/>
        </w:rPr>
        <w:t xml:space="preserve">(2) Interim Financial Statements. </w:t>
      </w:r>
      <w:r>
        <w:rPr>
          <w:rFonts w:ascii="Times New Roman;Times;serif" w:hAnsi="Times New Roman;Times;serif"/>
          <w:sz w:val="17"/>
        </w:rPr>
        <w:t xml:space="preserve">As soon as available, but in no event more than 30 days after the end of each fiscal quarter, a consolidated balance 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request, all prepared in reasonable detail and in comparative form in accordance with GAAP consistently applied and certified by an authorized officer or employee of the Company acceptable to FCW. </w:t>
      </w:r>
    </w:p>
    <w:p>
      <w:pPr>
        <w:pStyle w:val="TextBody"/>
        <w:spacing w:before="120" w:after="283"/>
        <w:jc w:val="left"/>
        <w:rPr/>
      </w:pPr>
      <w:r>
        <w:rPr/>
        <w:t>               </w:t>
      </w:r>
      <w:r>
        <w:rPr>
          <w:rFonts w:ascii="Times New Roman;Times;serif" w:hAnsi="Times New Roman;Times;serif"/>
          <w:b/>
          <w:sz w:val="17"/>
        </w:rPr>
        <w:t>(3) Notice of Material Communications</w:t>
      </w:r>
      <w:r>
        <w:rPr>
          <w:rFonts w:ascii="Times New Roman;Times;serif" w:hAnsi="Times New Roman;Times;serif"/>
          <w:sz w:val="17"/>
        </w:rPr>
        <w:t xml:space="preserve">. Promptly upon receipt or contemporaneous with sending, copies of all material communications to or from the SEC or NASDAQ, not including, however, those communications to the SEC such as annual reports, 10K, or 10Q which are generally available to the shareholders of the Company. </w:t>
      </w:r>
    </w:p>
    <w:p>
      <w:pPr>
        <w:pStyle w:val="TextBody"/>
        <w:spacing w:before="120" w:after="283"/>
        <w:jc w:val="left"/>
        <w:rPr/>
      </w:pPr>
      <w:r>
        <w:rPr/>
        <w:t>               </w:t>
      </w:r>
      <w:r>
        <w:rPr>
          <w:rFonts w:ascii="Times New Roman;Times;serif" w:hAnsi="Times New Roman;Times;serif"/>
          <w:b/>
          <w:sz w:val="17"/>
        </w:rPr>
        <w:t xml:space="preserve">(4) Notice of Default. </w:t>
      </w:r>
      <w:r>
        <w:rPr>
          <w:rFonts w:ascii="Times New Roman;Times;serif" w:hAnsi="Times New Roman;Times;serif"/>
          <w:sz w:val="17"/>
        </w:rPr>
        <w:t xml:space="preserve">Promptly after becoming aware thereof, notice of the occurrence of an Event of Default or a Potential Default. </w:t>
      </w:r>
    </w:p>
    <w:p>
      <w:pPr>
        <w:pStyle w:val="TextBody"/>
        <w:spacing w:before="120" w:after="283"/>
        <w:jc w:val="left"/>
        <w:rPr/>
      </w:pPr>
      <w:r>
        <w:rPr/>
        <w:t>               </w:t>
      </w:r>
      <w:r>
        <w:rPr>
          <w:rFonts w:ascii="Times New Roman;Times;serif" w:hAnsi="Times New Roman;Times;serif"/>
          <w:b/>
          <w:sz w:val="17"/>
        </w:rPr>
        <w:t xml:space="preserve">(5) Notice of Non-Environmental Litigation. </w:t>
      </w:r>
      <w:r>
        <w:rPr>
          <w:rFonts w:ascii="Times New Roman;Times;serif" w:hAnsi="Times New Roman;Times;serif"/>
          <w:sz w:val="17"/>
        </w:rPr>
        <w:t xml:space="preserve">Promptly after the commencement thereof, notice of the commencement of all actions, suits, or proceedings before any court, arbitrator, or governmental department, commission, board, bureau, agency, or instrumentality affecting the Company or any Subsidiary which, if determined adversely to the Company or any such Subsidiary, could have a material adverse effect on the financial condition, properties, profits, or operations of the Company or any such Subsidiary. </w:t>
      </w:r>
    </w:p>
    <w:p>
      <w:pPr>
        <w:pStyle w:val="TextBody"/>
        <w:spacing w:before="120" w:after="283"/>
        <w:jc w:val="left"/>
        <w:rPr/>
      </w:pPr>
      <w:r>
        <w:rPr/>
        <w:t>               </w:t>
      </w:r>
      <w:r>
        <w:rPr>
          <w:rFonts w:ascii="Times New Roman;Times;serif" w:hAnsi="Times New Roman;Times;serif"/>
          <w:b/>
          <w:sz w:val="17"/>
        </w:rPr>
        <w:t xml:space="preserve">(6) Notice of Environmental Litigation. </w:t>
      </w:r>
      <w:r>
        <w:rPr>
          <w:rFonts w:ascii="Times New Roman;Times;serif" w:hAnsi="Times New Roman;Times;serif"/>
          <w:sz w:val="17"/>
        </w:rPr>
        <w:t xml:space="preserve">Promptly after receipt thereof, notice of the receipt of all pleadings, orders, complaints, indictments, or any 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 </w:t>
      </w:r>
    </w:p>
    <w:p>
      <w:pPr>
        <w:pStyle w:val="TextBody"/>
        <w:spacing w:before="120" w:after="283"/>
        <w:jc w:val="left"/>
        <w:rPr/>
      </w:pPr>
      <w:r>
        <w:rPr/>
        <w:t>               </w:t>
      </w:r>
      <w:r>
        <w:rPr>
          <w:rFonts w:ascii="Times New Roman;Times;serif" w:hAnsi="Times New Roman;Times;serif"/>
          <w:b/>
          <w:sz w:val="17"/>
        </w:rPr>
        <w:t>(7) Notice of Material Disputes with Regulators</w:t>
      </w:r>
      <w:r>
        <w:rPr>
          <w:rFonts w:ascii="Times New Roman;Times;serif" w:hAnsi="Times New Roman;Times;serif"/>
          <w:sz w:val="17"/>
        </w:rPr>
        <w:t xml:space="preserve">. Promptly after becoming aware thereof, notice of any material dispute which may exist between the Company or any Subsidiary and any governmental body or law enforcement body. </w:t>
      </w:r>
    </w:p>
    <w:p>
      <w:pPr>
        <w:pStyle w:val="TextBody"/>
        <w:spacing w:before="120" w:after="283"/>
        <w:jc w:val="left"/>
        <w:rPr/>
      </w:pPr>
      <w:r>
        <w:rPr/>
        <w:t>               </w:t>
      </w:r>
      <w:r>
        <w:rPr>
          <w:rFonts w:ascii="Times New Roman;Times;serif" w:hAnsi="Times New Roman;Times;serif"/>
          <w:b/>
          <w:sz w:val="17"/>
        </w:rPr>
        <w:t xml:space="preserve">(8) Bylaws and Articles. </w:t>
      </w:r>
      <w:r>
        <w:rPr>
          <w:rFonts w:ascii="Times New Roman;Times;serif" w:hAnsi="Times New Roman;Times;serif"/>
          <w:sz w:val="17"/>
        </w:rPr>
        <w:t xml:space="preserve">Promptly after any change in the Companys bylaws or articles of incorporation (or like documents), copies of all such changes, certified by the Companys Secretary. </w:t>
      </w:r>
    </w:p>
    <w:p>
      <w:pPr>
        <w:pStyle w:val="TextBody"/>
        <w:spacing w:before="120" w:after="283"/>
        <w:jc w:val="left"/>
        <w:rPr/>
      </w:pPr>
      <w:r>
        <w:rPr/>
        <w:t>               </w:t>
      </w:r>
      <w:r>
        <w:rPr>
          <w:rFonts w:ascii="Times New Roman;Times;serif" w:hAnsi="Times New Roman;Times;serif"/>
          <w:b/>
          <w:sz w:val="17"/>
        </w:rPr>
        <w:t xml:space="preserve">(9) Other Information. </w:t>
      </w:r>
      <w:r>
        <w:rPr>
          <w:rFonts w:ascii="Times New Roman;Times;serif" w:hAnsi="Times New Roman;Times;serif"/>
          <w:sz w:val="17"/>
        </w:rPr>
        <w:t xml:space="preserve">Such other information regarding the condition or operations, financial or otherwise, of the Company or any Subsidiary as FCW may from time to time reasonably request, including but not limited to copies of all pleadings, notices, and communications referred to in Subsections 15(G)(4) and (5) above. </w:t>
      </w:r>
    </w:p>
    <w:p>
      <w:pPr>
        <w:pStyle w:val="TextBody"/>
        <w:spacing w:before="120" w:after="283"/>
        <w:jc w:val="left"/>
        <w:rPr/>
      </w:pPr>
      <w:r>
        <w:rPr/>
        <w:t>               </w:t>
      </w:r>
      <w:r>
        <w:rPr>
          <w:rFonts w:ascii="Times New Roman;Times;serif" w:hAnsi="Times New Roman;Times;serif"/>
          <w:b/>
          <w:sz w:val="17"/>
        </w:rPr>
        <w:t xml:space="preserve">(10) Financial Certificate. </w:t>
      </w:r>
      <w:r>
        <w:rPr>
          <w:rFonts w:ascii="Times New Roman;Times;serif" w:hAnsi="Times New Roman;Times;serif"/>
          <w:sz w:val="17"/>
        </w:rPr>
        <w:t xml:space="preserve">Together with each set of financial statements furnished to FCW pursuant to Section 15(G)(1), and each quarterly statement 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 </w:t>
      </w:r>
    </w:p>
    <w:tbl>
      <w:tblPr>
        <w:tblW w:w="5000" w:type="pct"/>
        <w:jc w:val="left"/>
        <w:tblInd w:w="0" w:type="dxa"/>
        <w:tblCellMar>
          <w:top w:w="0" w:type="dxa"/>
          <w:left w:w="0" w:type="dxa"/>
          <w:bottom w:w="0" w:type="dxa"/>
          <w:right w:w="0" w:type="dxa"/>
        </w:tblCellMar>
      </w:tblPr>
      <w:tblGrid>
        <w:gridCol w:w="304"/>
        <w:gridCol w:w="352"/>
        <w:gridCol w:w="107"/>
        <w:gridCol w:w="9442"/>
      </w:tblGrid>
      <w:tr>
        <w:trPr/>
        <w:tc>
          <w:tcPr>
            <w:tcW w:w="304" w:type="dxa"/>
            <w:tcBorders/>
            <w:shd w:fill="auto" w:val="clear"/>
          </w:tcPr>
          <w:p>
            <w:pPr>
              <w:pStyle w:val="TableContents"/>
              <w:spacing w:before="0" w:after="283"/>
              <w:rPr/>
            </w:pPr>
            <w:r>
              <w:rPr/>
              <w:t> </w:t>
            </w:r>
          </w:p>
        </w:tc>
        <w:tc>
          <w:tcPr>
            <w:tcW w:w="352" w:type="dxa"/>
            <w:tcBorders/>
            <w:shd w:fill="auto" w:val="clear"/>
          </w:tcPr>
          <w:p>
            <w:pPr>
              <w:pStyle w:val="TableContents"/>
              <w:spacing w:before="0" w:after="283"/>
              <w:jc w:val="left"/>
              <w:rPr>
                <w:b/>
              </w:rPr>
            </w:pPr>
            <w:r>
              <w:rPr>
                <w:b/>
              </w:rPr>
              <w:t>(H)</w:t>
            </w:r>
          </w:p>
        </w:tc>
        <w:tc>
          <w:tcPr>
            <w:tcW w:w="107" w:type="dxa"/>
            <w:tcBorders/>
            <w:shd w:fill="auto" w:val="clear"/>
          </w:tcPr>
          <w:p>
            <w:pPr>
              <w:pStyle w:val="TableContents"/>
              <w:spacing w:before="0" w:after="283"/>
              <w:rPr/>
            </w:pPr>
            <w:r>
              <w:rPr/>
              <w:t> </w:t>
            </w:r>
          </w:p>
        </w:tc>
        <w:tc>
          <w:tcPr>
            <w:tcW w:w="9442" w:type="dxa"/>
            <w:tcBorders/>
            <w:shd w:fill="auto" w:val="clear"/>
          </w:tcPr>
          <w:p>
            <w:pPr>
              <w:pStyle w:val="TableContents"/>
              <w:spacing w:before="0" w:after="283"/>
              <w:rPr/>
            </w:pPr>
            <w:r>
              <w:rPr>
                <w:b/>
              </w:rPr>
              <w:t xml:space="preserve">Certain Organizational Changes. </w:t>
            </w:r>
            <w:r>
              <w:rPr/>
              <w:t>Provide FCW with prior notice (and as early as practicable) of any merger, consolidation reorganization under a different provision of law, acquisition of all or a material part of the assets of another organization, change of name, adoption of any trade name, or creation of any Subsidiary, affiliate or material joint venture(s). For purposes of this covenant, joint venture transaction(s), which alone or in the aggregate exceed $1,000,000, are considered material</w:t>
            </w:r>
            <w:r>
              <w:rPr>
                <w:b/>
              </w:rPr>
              <w:t>.</w:t>
            </w:r>
          </w:p>
        </w:tc>
      </w:tr>
    </w:tbl>
    <w:p>
      <w:pPr>
        <w:pStyle w:val="TextBody"/>
        <w:spacing w:before="120" w:after="283"/>
        <w:jc w:val="left"/>
        <w:rPr/>
      </w:pPr>
      <w:r>
        <w:rPr/>
        <w:t>     </w:t>
      </w:r>
      <w:r>
        <w:rPr>
          <w:rFonts w:ascii="Times New Roman;Times;serif" w:hAnsi="Times New Roman;Times;serif"/>
          <w:b/>
          <w:sz w:val="17"/>
        </w:rPr>
        <w:t xml:space="preserve">SECTION 16. Negative Covenants. </w:t>
      </w:r>
      <w:r>
        <w:rPr>
          <w:rFonts w:ascii="Times New Roman;Times;serif" w:hAnsi="Times New Roman;Times;serif"/>
          <w:sz w:val="17"/>
        </w:rPr>
        <w:t xml:space="preserve">Unless otherwise agreed to in writing by FCW, which agreement will not be unreasonably withheld, while this Term Loan Agreement is in effect, the Company will not and will not permit any Subsidiary to: </w:t>
      </w:r>
    </w:p>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 xml:space="preserve">(A) Borrowings. </w:t>
      </w:r>
      <w:r>
        <w:rPr>
          <w:rFonts w:ascii="Times New Roman;Times;serif" w:hAnsi="Times New Roman;Times;serif"/>
          <w:sz w:val="17"/>
        </w:rPr>
        <w:t xml:space="preserve">Create, incur, assume, or allow to exist, directly or indirectly, any indebtedness or liability for borrowed money (including trade or bankers acceptances), letters of credit, or the deferred purchase price of property or services (including capitalized leases), except for: (i) debt to FCW or CoBank; (ii) accounts payable to trade creditors incurred in the ordinary course of business; and (iii) current operating liabilities (other than for borrowed money) incurred in the ordinary course of business; (iv) debt of the Company to Bank of America in an amount not to exceed $12,000,000.00 and all extensions, renewals, and refinancings thereof; (v) (vi) letters of credit issued by any bank for the account of the Company in an aggregate face amount not to exceed $5,000,000.00 at any one time outstanding; and (vii) capitalized leases existing on the date hereof existing from time to time. </w:t>
      </w:r>
    </w:p>
    <w:p>
      <w:pPr>
        <w:pStyle w:val="TextBody"/>
        <w:spacing w:before="120" w:after="283"/>
        <w:jc w:val="left"/>
        <w:rPr/>
      </w:pPr>
      <w:r>
        <w:rPr/>
        <w:t>          </w:t>
      </w:r>
      <w:r>
        <w:rPr>
          <w:rFonts w:ascii="Times New Roman;Times;serif" w:hAnsi="Times New Roman;Times;serif"/>
          <w:b/>
          <w:sz w:val="17"/>
        </w:rPr>
        <w:t xml:space="preserve">(B) Liens. </w:t>
      </w:r>
      <w:r>
        <w:rPr>
          <w:rFonts w:ascii="Times New Roman;Times;serif" w:hAnsi="Times New Roman;Times;serif"/>
          <w:sz w:val="17"/>
        </w:rPr>
        <w:t xml:space="preserve">Create, incur, assume, or allow to exist any mortgage, deed of trust, pledge, lien (including the lien of an attachment, judgment, or 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 (v) Liens imposed by Law in favor of mechanics, materialmen, warehousemen, and like persons that secure obligations that are not past due; and (vi) 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 </w:t>
      </w:r>
    </w:p>
    <w:p>
      <w:pPr>
        <w:pStyle w:val="TextBody"/>
        <w:spacing w:before="120" w:after="283"/>
        <w:jc w:val="left"/>
        <w:rPr/>
      </w:pPr>
      <w:r>
        <w:rPr/>
        <w:t>          </w:t>
      </w:r>
      <w:r>
        <w:rPr>
          <w:rFonts w:ascii="Times New Roman;Times;serif" w:hAnsi="Times New Roman;Times;serif"/>
          <w:b/>
          <w:sz w:val="17"/>
        </w:rPr>
        <w:t xml:space="preserve">(C) Transfer of Assets. </w:t>
      </w:r>
      <w:r>
        <w:rPr>
          <w:rFonts w:ascii="Times New Roman;Times;serif" w:hAnsi="Times New Roman;Times;serif"/>
          <w:sz w:val="17"/>
        </w:rPr>
        <w:t xml:space="preserve">Sell, transfer, lease, or otherwise dispose of any of its assets, except in the ordinary course of business. </w:t>
      </w:r>
    </w:p>
    <w:p>
      <w:pPr>
        <w:pStyle w:val="TextBody"/>
        <w:spacing w:before="120" w:after="283"/>
        <w:jc w:val="left"/>
        <w:rPr/>
      </w:pPr>
      <w:r>
        <w:rPr/>
        <w:t>          </w:t>
      </w:r>
      <w:r>
        <w:rPr>
          <w:rFonts w:ascii="Times New Roman;Times;serif" w:hAnsi="Times New Roman;Times;serif"/>
          <w:b/>
          <w:sz w:val="17"/>
        </w:rPr>
        <w:t xml:space="preserve">(D) Loans. </w:t>
      </w:r>
      <w:r>
        <w:rPr>
          <w:rFonts w:ascii="Times New Roman;Times;serif" w:hAnsi="Times New Roman;Times;serif"/>
          <w:sz w:val="17"/>
        </w:rPr>
        <w:t xml:space="preserve">Lend or advance money, credit, or property to any person or entity, except for: (i) loans made to U.S. growers under Calavos grower development loan program not to exceed $4,000,000.00 outstanding at any one time; (ii) existing advances and loans to Sierra Pacific; (iii) loans to Mexican growers not to exceed $1,500,000.00 outstanding at any one time; (iv) Chilean pre-season grower advances made under existing program not to exceed a gross amount of $4,000,000.00 outstanding at any one time; and (v) trade credit extended in the ordinary course of business. </w:t>
      </w:r>
    </w:p>
    <w:p>
      <w:pPr>
        <w:pStyle w:val="TextBody"/>
        <w:spacing w:before="120" w:after="283"/>
        <w:jc w:val="left"/>
        <w:rPr/>
      </w:pPr>
      <w:r>
        <w:rPr/>
        <w:t>          </w:t>
      </w:r>
      <w:r>
        <w:rPr>
          <w:rFonts w:ascii="Times New Roman;Times;serif" w:hAnsi="Times New Roman;Times;serif"/>
          <w:b/>
          <w:sz w:val="17"/>
        </w:rPr>
        <w:t xml:space="preserve">(E) Contingent Liabilities. </w:t>
      </w:r>
      <w:r>
        <w:rPr>
          <w:rFonts w:ascii="Times New Roman;Times;serif" w:hAnsi="Times New Roman;Times;serif"/>
          <w:sz w:val="17"/>
        </w:rPr>
        <w:t xml:space="preserve">Assume, guarantee, become liable as a surety, endorse, contingently agree to purchase, or otherwise be or become liable, 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 </w:t>
      </w:r>
    </w:p>
    <w:p>
      <w:pPr>
        <w:pStyle w:val="TextBody"/>
        <w:spacing w:before="120" w:after="283"/>
        <w:jc w:val="left"/>
        <w:rPr/>
      </w:pPr>
      <w:r>
        <w:rPr/>
        <w:t>          </w:t>
      </w:r>
      <w:r>
        <w:rPr>
          <w:rFonts w:ascii="Times New Roman;Times;serif" w:hAnsi="Times New Roman;Times;serif"/>
          <w:b/>
          <w:sz w:val="17"/>
        </w:rPr>
        <w:t xml:space="preserve">(F) Change in Business. </w:t>
      </w:r>
      <w:r>
        <w:rPr>
          <w:rFonts w:ascii="Times New Roman;Times;serif" w:hAnsi="Times New Roman;Times;serif"/>
          <w:sz w:val="17"/>
        </w:rPr>
        <w:t xml:space="preserve">Engage in any business activities or operations substantially different from or unrelated to the Companys present business activities or operations. </w:t>
      </w:r>
    </w:p>
    <w:p>
      <w:pPr>
        <w:pStyle w:val="TextBody"/>
        <w:spacing w:before="120" w:after="283"/>
        <w:jc w:val="left"/>
        <w:rPr/>
      </w:pPr>
      <w:r>
        <w:rPr/>
        <w:t>     </w:t>
      </w:r>
      <w:r>
        <w:rPr>
          <w:rFonts w:ascii="Times New Roman;Times;serif" w:hAnsi="Times New Roman;Times;serif"/>
          <w:b/>
          <w:sz w:val="17"/>
        </w:rPr>
        <w:t xml:space="preserve">SECTION 17. Financial Covenants. </w:t>
      </w:r>
      <w:r>
        <w:rPr>
          <w:rFonts w:ascii="Times New Roman;Times;serif" w:hAnsi="Times New Roman;Times;serif"/>
          <w:sz w:val="17"/>
        </w:rPr>
        <w:t xml:space="preserve">Unless otherwise agreed to in writing, while this Term Loan Agreement is in effect: </w:t>
      </w:r>
    </w:p>
    <w:p>
      <w:pPr>
        <w:pStyle w:val="TextBody"/>
        <w:spacing w:before="120" w:after="283"/>
        <w:jc w:val="left"/>
        <w:rPr/>
      </w:pPr>
      <w:r>
        <w:rPr/>
        <w:t>          </w:t>
      </w:r>
      <w:r>
        <w:rPr>
          <w:rFonts w:ascii="Times New Roman;Times;serif" w:hAnsi="Times New Roman;Times;serif"/>
          <w:b/>
          <w:sz w:val="17"/>
        </w:rPr>
        <w:t xml:space="preserve">(A) Working Capital. </w:t>
      </w:r>
      <w:r>
        <w:rPr>
          <w:rFonts w:ascii="Times New Roman;Times;serif" w:hAnsi="Times New Roman;Times;serif"/>
          <w:sz w:val="17"/>
        </w:rPr>
        <w:t xml:space="preserve">The Company will maintain, on a consolidated basis, current assets in excess of current liabilities of at least Fifteen Million Dollars ($15,000,000), measured on a quarterly basis. </w:t>
      </w:r>
    </w:p>
    <w:p>
      <w:pPr>
        <w:pStyle w:val="TextBody"/>
        <w:spacing w:before="120" w:after="283"/>
        <w:jc w:val="left"/>
        <w:rPr/>
      </w:pPr>
      <w:r>
        <w:rPr/>
        <w:t>          </w:t>
      </w:r>
      <w:r>
        <w:rPr>
          <w:rFonts w:ascii="Times New Roman;Times;serif" w:hAnsi="Times New Roman;Times;serif"/>
          <w:b/>
          <w:sz w:val="17"/>
        </w:rPr>
        <w:t xml:space="preserve">(B) Tangible Net Worth. </w:t>
      </w:r>
      <w:r>
        <w:rPr>
          <w:rFonts w:ascii="Times New Roman;Times;serif" w:hAnsi="Times New Roman;Times;serif"/>
          <w:sz w:val="17"/>
        </w:rPr>
        <w:t xml:space="preserve">The Company will maintain, on a consolidated basis, a Tangible Net Worth equal to at least Thirty-Two Million Five Hundred Thousand Dollars ($32,500,000.00),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shareholders, members or managers) </w:t>
      </w:r>
      <w:r>
        <w:rPr>
          <w:rFonts w:ascii="Times New Roman;Times;serif" w:hAnsi="Times New Roman;Times;serif"/>
          <w:sz w:val="17"/>
          <w:u w:val="single"/>
        </w:rPr>
        <w:t>less</w:t>
      </w:r>
      <w:r>
        <w:rPr>
          <w:rFonts w:ascii="Times New Roman;Times;serif" w:hAnsi="Times New Roman;Times;serif"/>
          <w:sz w:val="17"/>
        </w:rPr>
        <w:t xml:space="preserve"> total liabilities, including but not limited to accrued and deferred income taxes, but excluding the non-current portion of Subordinated Liabilities. Subordinated Liabilities means liabilities subordinated to the Companys obligations to FCW in a manner acceptable to FCW in its sole discretion. </w:t>
      </w:r>
    </w:p>
    <w:p>
      <w:pPr>
        <w:pStyle w:val="TextBody"/>
        <w:spacing w:before="120" w:after="283"/>
        <w:jc w:val="left"/>
        <w:rPr/>
      </w:pPr>
      <w:r>
        <w:rPr/>
        <w:t>          </w:t>
      </w:r>
      <w:r>
        <w:rPr>
          <w:rFonts w:ascii="Times New Roman;Times;serif" w:hAnsi="Times New Roman;Times;serif"/>
          <w:b/>
          <w:sz w:val="17"/>
        </w:rPr>
        <w:t xml:space="preserve">(C) EBITDA. </w:t>
      </w:r>
      <w:r>
        <w:rPr>
          <w:rFonts w:ascii="Times New Roman;Times;serif" w:hAnsi="Times New Roman;Times;serif"/>
          <w:sz w:val="17"/>
        </w:rPr>
        <w:t xml:space="preserve">The Company will maintain an EBITDA of at least Seven Million Five Hundred Thousand Dollars ($7,500,000.00). EBITDA means net income, less income or plus loss from discontinued operations and extraordinary items, </w:t>
      </w:r>
      <w:r>
        <w:rPr>
          <w:rFonts w:ascii="Times New Roman;Times;serif" w:hAnsi="Times New Roman;Times;serif"/>
          <w:sz w:val="17"/>
          <w:u w:val="single"/>
        </w:rPr>
        <w:t>plus</w:t>
      </w:r>
      <w:r>
        <w:rPr>
          <w:rFonts w:ascii="Times New Roman;Times;serif" w:hAnsi="Times New Roman;Times;serif"/>
          <w:sz w:val="17"/>
        </w:rPr>
        <w:t xml:space="preserve"> income taxes, plus interest expense, plus depreciation, depletion, and amortization. This covenant will be calculated at the end of each reporting period for which FCW requires financial statements, using the results of the twelve-month period ending with that reporting period. The current portion of long-term liabilities will be measured as of the last day of the calculation period. </w:t>
      </w:r>
    </w:p>
    <w:p>
      <w:pPr>
        <w:pStyle w:val="TextBody"/>
        <w:spacing w:before="120" w:after="283"/>
        <w:jc w:val="left"/>
        <w:rPr/>
      </w:pPr>
      <w:r>
        <w:rPr/>
        <w:t>     </w:t>
      </w:r>
      <w:r>
        <w:rPr>
          <w:rFonts w:ascii="Times New Roman;Times;serif" w:hAnsi="Times New Roman;Times;serif"/>
          <w:b/>
          <w:sz w:val="17"/>
        </w:rPr>
        <w:t xml:space="preserve">SECTION 18. Events of Default. </w:t>
      </w:r>
      <w:r>
        <w:rPr>
          <w:rFonts w:ascii="Times New Roman;Times;serif" w:hAnsi="Times New Roman;Times;serif"/>
          <w:sz w:val="17"/>
        </w:rPr>
        <w:t xml:space="preserve">Each of the following shall constitute an Event of Default under this Term Loan Agreement: </w:t>
      </w:r>
    </w:p>
    <w:p>
      <w:pPr>
        <w:pStyle w:val="TextBody"/>
        <w:spacing w:before="120" w:after="283"/>
        <w:jc w:val="left"/>
        <w:rPr/>
      </w:pPr>
      <w:r>
        <w:rPr/>
        <w:t>          </w:t>
      </w:r>
      <w:r>
        <w:rPr>
          <w:rFonts w:ascii="Times New Roman;Times;serif" w:hAnsi="Times New Roman;Times;serif"/>
          <w:b/>
          <w:sz w:val="17"/>
        </w:rPr>
        <w:t xml:space="preserve">(A) Payment Default. </w:t>
      </w:r>
      <w:r>
        <w:rPr>
          <w:rFonts w:ascii="Times New Roman;Times;serif" w:hAnsi="Times New Roman;Times;serif"/>
          <w:sz w:val="17"/>
        </w:rPr>
        <w:t xml:space="preserve">The Company should fail to make any payment to FCW when due. </w:t>
      </w:r>
    </w:p>
    <w:p>
      <w:pPr>
        <w:pStyle w:val="TextBody"/>
        <w:spacing w:before="120" w:after="283"/>
        <w:jc w:val="left"/>
        <w:rPr/>
      </w:pPr>
      <w:r>
        <w:rPr/>
        <w:t>          </w:t>
      </w:r>
      <w:r>
        <w:rPr>
          <w:rFonts w:ascii="Times New Roman;Times;serif" w:hAnsi="Times New Roman;Times;serif"/>
          <w:b/>
          <w:sz w:val="17"/>
        </w:rPr>
        <w:t xml:space="preserve">(B) Representations and Warranties. </w:t>
      </w:r>
      <w:r>
        <w:rPr>
          <w:rFonts w:ascii="Times New Roman;Times;serif" w:hAnsi="Times New Roman;Times;serif"/>
          <w:sz w:val="17"/>
        </w:rPr>
        <w:t xml:space="preserve">Any representation or warranty made or deemed made by the Company herein or in the Note, application, agreement, certificate, or other document related to or furnished in connection with this Term Loan Agreement or the Note, shall prove to have been false or misleading in any material respect on or as of the date made or deemed made. </w:t>
      </w:r>
    </w:p>
    <w:p>
      <w:pPr>
        <w:pStyle w:val="TextBody"/>
        <w:spacing w:before="120" w:after="283"/>
        <w:jc w:val="left"/>
        <w:rPr/>
      </w:pPr>
      <w:r>
        <w:rPr/>
        <w:t>          </w:t>
      </w:r>
      <w:r>
        <w:rPr>
          <w:rFonts w:ascii="Times New Roman;Times;serif" w:hAnsi="Times New Roman;Times;serif"/>
          <w:b/>
          <w:sz w:val="17"/>
        </w:rPr>
        <w:t xml:space="preserve">(C) Certain Affirmative Covenants. </w:t>
      </w:r>
      <w:r>
        <w:rPr>
          <w:rFonts w:ascii="Times New Roman;Times;serif" w:hAnsi="Times New Roman;Times;serif"/>
          <w:sz w:val="17"/>
        </w:rPr>
        <w:t xml:space="preserve">The Company or, to the extent required hereunder, any Subsidiary should fail to perform or comply with Sections 15(A) through 15(G)(2), and 15(G)(6) and such failure continues for 15 days after written notice thereof shall have been delivered by FCW to the Company. </w:t>
      </w:r>
    </w:p>
    <w:p>
      <w:pPr>
        <w:pStyle w:val="TextBody"/>
        <w:spacing w:before="120" w:after="283"/>
        <w:jc w:val="left"/>
        <w:rPr/>
      </w:pPr>
      <w:r>
        <w:rPr/>
        <w:t>          </w:t>
      </w:r>
      <w:r>
        <w:rPr>
          <w:rFonts w:ascii="Times New Roman;Times;serif" w:hAnsi="Times New Roman;Times;serif"/>
          <w:b/>
          <w:sz w:val="17"/>
        </w:rPr>
        <w:t xml:space="preserve">(D) Other Covenants and Agreements. </w:t>
      </w:r>
      <w:r>
        <w:rPr>
          <w:rFonts w:ascii="Times New Roman;Times;serif" w:hAnsi="Times New Roman;Times;serif"/>
          <w:sz w:val="17"/>
        </w:rPr>
        <w:t xml:space="preserve">The Company or, to the extent required hereunder, any Subsidiary should fail to perform or comply with any other covenant or agreement contained herein or in any other Loan Document or shall use the proceeds of any loan for an unauthorized purpose. </w:t>
      </w:r>
    </w:p>
    <w:p>
      <w:pPr>
        <w:pStyle w:val="TextBody"/>
        <w:spacing w:before="120" w:after="283"/>
        <w:jc w:val="left"/>
        <w:rPr/>
      </w:pPr>
      <w:r>
        <w:rPr/>
        <w:t>          </w:t>
      </w:r>
      <w:r>
        <w:rPr>
          <w:rFonts w:ascii="Times New Roman;Times;serif" w:hAnsi="Times New Roman;Times;serif"/>
          <w:b/>
          <w:sz w:val="17"/>
        </w:rPr>
        <w:t xml:space="preserve">(E) Cross-Default. </w:t>
      </w:r>
      <w:r>
        <w:rPr>
          <w:rFonts w:ascii="Times New Roman;Times;serif" w:hAnsi="Times New Roman;Times;serif"/>
          <w:sz w:val="17"/>
        </w:rPr>
        <w:t xml:space="preserve">The Company should, after any applicable grace period, breach or be in default under the terms of any other agreement between the Company and FCW . </w:t>
      </w:r>
    </w:p>
    <w:p>
      <w:pPr>
        <w:pStyle w:val="TextBody"/>
        <w:spacing w:before="120" w:after="283"/>
        <w:jc w:val="left"/>
        <w:rPr/>
      </w:pPr>
      <w:r>
        <w:rPr/>
        <w:t>          </w:t>
      </w:r>
      <w:r>
        <w:rPr>
          <w:rFonts w:ascii="Times New Roman;Times;serif" w:hAnsi="Times New Roman;Times;serif"/>
          <w:b/>
          <w:sz w:val="17"/>
        </w:rPr>
        <w:t xml:space="preserve">(F) Other Indebtedness. </w:t>
      </w:r>
      <w:r>
        <w:rPr>
          <w:rFonts w:ascii="Times New Roman;Times;serif" w:hAnsi="Times New Roman;Times;serif"/>
          <w:sz w:val="17"/>
        </w:rPr>
        <w:t xml:space="preserve">The Company or any Subsidiary should fail to pay when due any indebtedness to any other person or entity for borrowed 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 </w:t>
      </w:r>
    </w:p>
    <w:p>
      <w:pPr>
        <w:pStyle w:val="TextBody"/>
        <w:spacing w:before="120" w:after="283"/>
        <w:jc w:val="left"/>
        <w:rPr/>
      </w:pPr>
      <w:r>
        <w:rPr/>
        <w:t>          </w:t>
      </w:r>
      <w:r>
        <w:rPr>
          <w:rFonts w:ascii="Times New Roman;Times;serif" w:hAnsi="Times New Roman;Times;serif"/>
          <w:b/>
          <w:sz w:val="17"/>
        </w:rPr>
        <w:t xml:space="preserve">(G) Judgments. </w:t>
      </w:r>
      <w:r>
        <w:rPr>
          <w:rFonts w:ascii="Times New Roman;Times;serif" w:hAnsi="Times New Roman;Times;serif"/>
          <w:sz w:val="17"/>
        </w:rPr>
        <w:t xml:space="preserve">A judgment, decree, or order for the payment of money shall be rendered against the Company or any Subsidiary and either: (i) enforcement proceedings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 </w:t>
      </w:r>
    </w:p>
    <w:p>
      <w:pPr>
        <w:pStyle w:val="TextBody"/>
        <w:spacing w:before="120" w:after="283"/>
        <w:jc w:val="left"/>
        <w:rPr/>
      </w:pPr>
      <w:r>
        <w:rPr/>
        <w:t>          </w:t>
      </w:r>
      <w:r>
        <w:rPr>
          <w:rFonts w:ascii="Times New Roman;Times;serif" w:hAnsi="Times New Roman;Times;serif"/>
          <w:b/>
          <w:sz w:val="17"/>
        </w:rPr>
        <w:t xml:space="preserve">(H) Insolvency. </w:t>
      </w:r>
      <w:r>
        <w:rPr>
          <w:rFonts w:ascii="Times New Roman;Times;serif" w:hAnsi="Times New Roman;Times;serif"/>
          <w:sz w:val="17"/>
        </w:rPr>
        <w:t xml:space="preserve">The Company or any Subsidiary shall: (i) become insolvent or shall generally not, or shall be unable to, or shall admit in writing its inability to, pay its debts as they 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 </w:t>
      </w:r>
    </w:p>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b/>
          <w:sz w:val="17"/>
        </w:rPr>
        <w:t xml:space="preserve">(I) Material Adverse Change. </w:t>
      </w:r>
      <w:r>
        <w:rPr>
          <w:rFonts w:ascii="Times New Roman;Times;serif" w:hAnsi="Times New Roman;Times;serif"/>
          <w:sz w:val="17"/>
        </w:rPr>
        <w:t xml:space="preserve">Any material adverse change occurs, as reasonably determined by FCW, in the Companys financial condition, results of operation, or ability to perform its obligations hereunder or under any instrument or document contemplated hereby. </w:t>
      </w:r>
    </w:p>
    <w:p>
      <w:pPr>
        <w:pStyle w:val="TextBody"/>
        <w:spacing w:before="120" w:after="283"/>
        <w:jc w:val="left"/>
        <w:rPr/>
      </w:pPr>
      <w:r>
        <w:rPr/>
        <w:t>     </w:t>
      </w:r>
      <w:r>
        <w:rPr>
          <w:rFonts w:ascii="Times New Roman;Times;serif" w:hAnsi="Times New Roman;Times;serif"/>
          <w:b/>
          <w:sz w:val="17"/>
        </w:rPr>
        <w:t xml:space="preserve">SECTION 19. Remedies. </w:t>
      </w:r>
      <w:r>
        <w:rPr>
          <w:rFonts w:ascii="Times New Roman;Times;serif" w:hAnsi="Times New Roman;Times;serif"/>
          <w:sz w:val="17"/>
        </w:rPr>
        <w:t xml:space="preserve">Upon the occurrence and during the continuance of an Event of Default or any Potential Default, FCW shall have no obligation 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all other amounts payable under this Term Loan Agreement, all Supplements, and the other Loan Documents to be immediately due and payable. Upon such a declaration, the unpaid principal balance of the loans and all such other amounts shall become immediately due and payable, without protest, presentment, demand, or further notice of any kind, all of which are hereby expressly waived by the Company. In addition, upon such an acceleration: </w:t>
      </w:r>
    </w:p>
    <w:p>
      <w:pPr>
        <w:pStyle w:val="TextBody"/>
        <w:spacing w:before="120" w:after="283"/>
        <w:jc w:val="left"/>
        <w:rPr/>
      </w:pPr>
      <w:r>
        <w:rPr/>
        <w:t>          </w:t>
      </w:r>
      <w:r>
        <w:rPr>
          <w:rFonts w:ascii="Times New Roman;Times;serif" w:hAnsi="Times New Roman;Times;serif"/>
          <w:b/>
          <w:sz w:val="17"/>
        </w:rPr>
        <w:t xml:space="preserve">(A) Enforcement. </w:t>
      </w:r>
      <w:r>
        <w:rPr>
          <w:rFonts w:ascii="Times New Roman;Times;serif" w:hAnsi="Times New Roman;Times;serif"/>
          <w:sz w:val="17"/>
        </w:rPr>
        <w:t xml:space="preserve">FCW may proceed to protect, exercise, and enforce such rights and remedies as may be provided by this Term Loan Agreement, any other Loan 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 Companys obligations to FCW any cash collateral held by FCW, or any balances held by FCW for the Companys account (whether or not such balances are then due). </w:t>
      </w:r>
    </w:p>
    <w:p>
      <w:pPr>
        <w:pStyle w:val="TextBody"/>
        <w:spacing w:before="120" w:after="283"/>
        <w:jc w:val="left"/>
        <w:rPr/>
      </w:pPr>
      <w:r>
        <w:rPr/>
        <w:t>          </w:t>
      </w:r>
      <w:r>
        <w:rPr>
          <w:rFonts w:ascii="Times New Roman;Times;serif" w:hAnsi="Times New Roman;Times;serif"/>
          <w:b/>
          <w:sz w:val="17"/>
        </w:rPr>
        <w:t xml:space="preserve">(B) Application of Funds. </w:t>
      </w:r>
      <w:r>
        <w:rPr>
          <w:rFonts w:ascii="Times New Roman;Times;serif" w:hAnsi="Times New Roman;Times;serif"/>
          <w:sz w:val="17"/>
        </w:rPr>
        <w:t xml:space="preserve">FCW may apply all payments received by it to the Companys obligations to FCW in such order and manner as FCW may elect in its sole discretion. </w:t>
      </w:r>
    </w:p>
    <w:p>
      <w:pPr>
        <w:pStyle w:val="TextBody"/>
        <w:spacing w:before="120" w:after="283"/>
        <w:jc w:val="left"/>
        <w:rPr/>
      </w:pPr>
      <w:r>
        <w:rPr/>
        <w:t>          </w:t>
      </w:r>
      <w:r>
        <w:rPr>
          <w:rFonts w:ascii="Times New Roman;Times;serif" w:hAnsi="Times New Roman;Times;serif"/>
          <w:sz w:val="17"/>
        </w:rPr>
        <w:t xml:space="preserve">In addition to the rights and remedies set forth above: (i) if the Company fails to make any payment to FCW when due, then at FCWs option in each instance, such payment shall bear interest from the date due to the date paid at 4%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4% per annum in excess of the rate(s) of interest that would otherwise be in effect on that loan. All interest provided for herein shall be payable on demand and shall be calculated on the basis of a year consisting of 365 days. </w:t>
      </w:r>
    </w:p>
    <w:p>
      <w:pPr>
        <w:pStyle w:val="TextBody"/>
        <w:spacing w:before="120" w:after="283"/>
        <w:jc w:val="left"/>
        <w:rPr/>
      </w:pPr>
      <w:r>
        <w:rPr/>
        <w:t>     </w:t>
      </w:r>
      <w:r>
        <w:rPr>
          <w:rFonts w:ascii="Times New Roman;Times;serif" w:hAnsi="Times New Roman;Times;serif"/>
          <w:b/>
          <w:sz w:val="17"/>
        </w:rPr>
        <w:t xml:space="preserve">SECTION 20. Broken Funding Surcharge. </w:t>
      </w:r>
      <w:r>
        <w:rPr>
          <w:rFonts w:ascii="Times New Roman;Times;serif" w:hAnsi="Times New Roman;Times;serif"/>
          <w:sz w:val="17"/>
        </w:rPr>
        <w:t xml:space="preserve">Notwithstanding any provision contained in any Supplement giving the Company the right to repay any loan prior to the date it would otherwise be 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FCW a surcharge in an amount equal to the greater of: (i) an amount as provided for under any Subsequent Disclosure as defined under Section 6(A) of this Term Loan Agreement; (ii) an amount which would result in FCW being made whole (on a present value basis) for the actual or imputed funding losses incurred by FCW as a result of any prepayment; or (iii) $300.00. </w:t>
      </w:r>
    </w:p>
    <w:p>
      <w:pPr>
        <w:pStyle w:val="TextBody"/>
        <w:spacing w:before="120" w:after="283"/>
        <w:jc w:val="left"/>
        <w:rPr/>
      </w:pPr>
      <w:r>
        <w:rPr/>
        <w:t>     </w:t>
      </w:r>
      <w:r>
        <w:rPr>
          <w:rFonts w:ascii="Times New Roman;Times;serif" w:hAnsi="Times New Roman;Times;serif"/>
          <w:b/>
          <w:sz w:val="17"/>
        </w:rPr>
        <w:t xml:space="preserve">SECTION 21. Complete Agreement, Amendments. </w:t>
      </w:r>
      <w:r>
        <w:rPr>
          <w:rFonts w:ascii="Times New Roman;Times;serif" w:hAnsi="Times New Roman;Times;serif"/>
          <w:sz w:val="17"/>
        </w:rPr>
        <w:t xml:space="preserve">This Term Loan Agreement, the Note, and all other instruments and documents contemplated hereby and thereby, are intended by the parties to be a complete and final expression of their agreement. Except for documents and instruments specifically referenced herein, this Term Loan Agreement constitutes the entire agreement between the Company and FCW with regard to the subject matter hereof and supersedes all prior agreements, representations, and understandings of the parties No amendment, modification, or waiver of any provision hereof or thereof, and no consent to any departure by the Company herefrom or therefrom, shall be effective unless approved by FCW and contained in a writing signed by or on behalf </w:t>
      </w:r>
    </w:p>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of FCW, and then such waiver or consent shall be effective only in the specific instance and for the specific purpose for which given. Additionally, any headings used in this Term Loan Loan Agreement are inserted only as a matter of convenience and for reference, and in no way define, limit or describe the scope or intent of any term or provision. As used herein, the word including means including without limitation and/or including but not limited to. </w:t>
      </w:r>
    </w:p>
    <w:p>
      <w:pPr>
        <w:pStyle w:val="TextBody"/>
        <w:spacing w:before="120" w:after="283"/>
        <w:jc w:val="left"/>
        <w:rPr/>
      </w:pPr>
      <w:r>
        <w:rPr/>
        <w:t>     </w:t>
      </w:r>
      <w:r>
        <w:rPr>
          <w:rFonts w:ascii="Times New Roman;Times;serif" w:hAnsi="Times New Roman;Times;serif"/>
          <w:b/>
          <w:sz w:val="17"/>
        </w:rPr>
        <w:t xml:space="preserve">SECTION 22. Applicable Law. </w:t>
      </w:r>
      <w:r>
        <w:rPr>
          <w:rFonts w:ascii="Times New Roman;Times;serif" w:hAnsi="Times New Roman;Times;serif"/>
          <w:sz w:val="17"/>
        </w:rPr>
        <w:t xml:space="preserve">Except to the extent governed by applicable federal law, this Term Loan Agreement and the Note shall be governed by and construed in accordance with the laws of the State of California, without reference to choice of law doctrine. The parties consent to personal jurisdiction in the federal and state courts located in the State of California and waive all rights to have any dispute arising under or in connection with the Term Loan Agreement to be heard in any other jurisdiction. The parties consent to venue in the State Courts of California located in the County of Tulare and in the federal courts in the Eastern District of California in connection with any disputes arising under or in connection with the Term Loan Agreement. </w:t>
      </w:r>
    </w:p>
    <w:p>
      <w:pPr>
        <w:pStyle w:val="TextBody"/>
        <w:spacing w:before="120" w:after="283"/>
        <w:jc w:val="left"/>
        <w:rPr/>
      </w:pPr>
      <w:r>
        <w:rPr/>
        <w:t>     </w:t>
      </w:r>
      <w:r>
        <w:rPr>
          <w:rFonts w:ascii="Times New Roman;Times;serif" w:hAnsi="Times New Roman;Times;serif"/>
          <w:b/>
          <w:sz w:val="17"/>
        </w:rPr>
        <w:t xml:space="preserve">SECTION 23. Notices. </w:t>
      </w:r>
      <w:r>
        <w:rPr>
          <w:rFonts w:ascii="Times New Roman;Times;serif" w:hAnsi="Times New Roman;Times;serif"/>
          <w:sz w:val="17"/>
        </w:rPr>
        <w:t xml:space="preserve">All notices hereunder shall be in writing and shall be deemed to be duly given upon delivery if personally delivered or sent by facsimile transmission, or 3 days after mailing if sent by express, certified or registered mail, to the parties at the following addresses (or such other address for a party as shall be specified by like notice): </w:t>
      </w:r>
    </w:p>
    <w:tbl>
      <w:tblPr>
        <w:tblW w:w="5000" w:type="pct"/>
        <w:jc w:val="center"/>
        <w:tblInd w:w="0" w:type="dxa"/>
        <w:tblCellMar>
          <w:top w:w="0" w:type="dxa"/>
          <w:left w:w="0" w:type="dxa"/>
          <w:bottom w:w="0" w:type="dxa"/>
          <w:right w:w="0" w:type="dxa"/>
        </w:tblCellMar>
      </w:tblPr>
      <w:tblGrid>
        <w:gridCol w:w="5102"/>
        <w:gridCol w:w="212"/>
        <w:gridCol w:w="4891"/>
      </w:tblGrid>
      <w:tr>
        <w:trPr/>
        <w:tc>
          <w:tcPr>
            <w:tcW w:w="510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4891" w:type="dxa"/>
            <w:tcBorders/>
            <w:shd w:fill="auto" w:val="clear"/>
            <w:vAlign w:val="bottom"/>
          </w:tcPr>
          <w:p>
            <w:pPr>
              <w:pStyle w:val="TableContents"/>
              <w:spacing w:before="0" w:after="283"/>
              <w:rPr/>
            </w:pPr>
            <w:r>
              <w:rPr/>
              <w:t> </w:t>
            </w:r>
          </w:p>
        </w:tc>
      </w:tr>
      <w:tr>
        <w:trPr/>
        <w:tc>
          <w:tcPr>
            <w:tcW w:w="5102" w:type="dxa"/>
            <w:tcBorders/>
            <w:shd w:fill="auto" w:val="clear"/>
          </w:tcPr>
          <w:p>
            <w:pPr>
              <w:pStyle w:val="TableContents"/>
              <w:spacing w:before="0" w:after="0"/>
              <w:ind w:left="0" w:right="0" w:hanging="0"/>
              <w:rPr/>
            </w:pPr>
            <w:r>
              <w:rPr/>
              <w:t xml:space="preserve">If to FCW, as follows: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If to the Company, as follows:</w:t>
            </w:r>
          </w:p>
        </w:tc>
      </w:tr>
      <w:tr>
        <w:trPr/>
        <w:tc>
          <w:tcPr>
            <w:tcW w:w="5102"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 </w:t>
            </w:r>
          </w:p>
        </w:tc>
      </w:tr>
      <w:tr>
        <w:trPr/>
        <w:tc>
          <w:tcPr>
            <w:tcW w:w="5102" w:type="dxa"/>
            <w:tcBorders/>
            <w:shd w:fill="auto" w:val="clear"/>
          </w:tcPr>
          <w:p>
            <w:pPr>
              <w:pStyle w:val="TableContents"/>
              <w:spacing w:before="0" w:after="0"/>
              <w:ind w:left="0" w:right="0" w:hanging="0"/>
              <w:rPr/>
            </w:pPr>
            <w:r>
              <w:rPr/>
              <w:t xml:space="preserve">Farm Credit West, PCA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Calavo Growers, Inc.</w:t>
            </w:r>
          </w:p>
        </w:tc>
      </w:tr>
      <w:tr>
        <w:trPr/>
        <w:tc>
          <w:tcPr>
            <w:tcW w:w="5102" w:type="dxa"/>
            <w:tcBorders/>
            <w:shd w:fill="auto" w:val="clear"/>
          </w:tcPr>
          <w:p>
            <w:pPr>
              <w:pStyle w:val="TableContents"/>
              <w:spacing w:before="0" w:after="0"/>
              <w:ind w:left="0" w:right="0" w:hanging="0"/>
              <w:rPr/>
            </w:pPr>
            <w:r>
              <w:rPr/>
              <w:t xml:space="preserve">2929 W. Main Street, Suite A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Attn: Vice President-Finance</w:t>
            </w:r>
          </w:p>
        </w:tc>
      </w:tr>
      <w:tr>
        <w:trPr/>
        <w:tc>
          <w:tcPr>
            <w:tcW w:w="5102" w:type="dxa"/>
            <w:tcBorders/>
            <w:shd w:fill="auto" w:val="clear"/>
          </w:tcPr>
          <w:p>
            <w:pPr>
              <w:pStyle w:val="TableContents"/>
              <w:spacing w:before="0" w:after="0"/>
              <w:ind w:left="0" w:right="0" w:hanging="0"/>
              <w:rPr/>
            </w:pPr>
            <w:r>
              <w:rPr/>
              <w:t xml:space="preserve">Visalia, CA 93291-5700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1141-A Cummings Road</w:t>
            </w:r>
          </w:p>
        </w:tc>
      </w:tr>
      <w:tr>
        <w:trPr/>
        <w:tc>
          <w:tcPr>
            <w:tcW w:w="5102" w:type="dxa"/>
            <w:tcBorders/>
            <w:shd w:fill="auto" w:val="clear"/>
          </w:tcPr>
          <w:p>
            <w:pPr>
              <w:pStyle w:val="TableContents"/>
              <w:spacing w:before="0" w:after="0"/>
              <w:ind w:left="0" w:right="0" w:hanging="0"/>
              <w:rPr/>
            </w:pPr>
            <w:r>
              <w:rPr/>
              <w:t xml:space="preserve">Attention: James Neeley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Santa Paula, CA 93060</w:t>
            </w:r>
          </w:p>
        </w:tc>
      </w:tr>
      <w:tr>
        <w:trPr/>
        <w:tc>
          <w:tcPr>
            <w:tcW w:w="5102" w:type="dxa"/>
            <w:tcBorders/>
            <w:shd w:fill="auto" w:val="clear"/>
          </w:tcPr>
          <w:p>
            <w:pPr>
              <w:pStyle w:val="TableContents"/>
              <w:spacing w:before="0" w:after="0"/>
              <w:ind w:left="0" w:right="0" w:hanging="0"/>
              <w:rPr/>
            </w:pPr>
            <w:r>
              <w:rPr/>
              <w:t xml:space="preserve">Fax No.: 559-627-4728 </w:t>
            </w:r>
          </w:p>
        </w:tc>
        <w:tc>
          <w:tcPr>
            <w:tcW w:w="212" w:type="dxa"/>
            <w:tcBorders/>
            <w:shd w:fill="auto" w:val="clear"/>
            <w:vAlign w:val="bottom"/>
          </w:tcPr>
          <w:p>
            <w:pPr>
              <w:pStyle w:val="TableContents"/>
              <w:spacing w:before="0" w:after="283"/>
              <w:rPr/>
            </w:pPr>
            <w:r>
              <w:rPr/>
              <w:t> </w:t>
            </w:r>
          </w:p>
        </w:tc>
        <w:tc>
          <w:tcPr>
            <w:tcW w:w="4891" w:type="dxa"/>
            <w:tcBorders/>
            <w:shd w:fill="auto" w:val="clear"/>
          </w:tcPr>
          <w:p>
            <w:pPr>
              <w:pStyle w:val="TableContents"/>
              <w:spacing w:before="0" w:after="283"/>
              <w:jc w:val="left"/>
              <w:rPr/>
            </w:pPr>
            <w:r>
              <w:rPr/>
              <w:t>Fax No: (805) 921-3232</w:t>
            </w:r>
          </w:p>
        </w:tc>
      </w:tr>
    </w:tbl>
    <w:p>
      <w:pPr>
        <w:pStyle w:val="TextBody"/>
        <w:spacing w:before="120" w:after="283"/>
        <w:jc w:val="left"/>
        <w:rPr/>
      </w:pPr>
      <w:r>
        <w:rPr/>
        <w:t>     </w:t>
      </w:r>
      <w:r>
        <w:rPr>
          <w:rFonts w:ascii="Times New Roman;Times;serif" w:hAnsi="Times New Roman;Times;serif"/>
          <w:b/>
          <w:sz w:val="17"/>
        </w:rPr>
        <w:t xml:space="preserve">SECTION 24. Taxes and Expenses. </w:t>
      </w:r>
      <w:r>
        <w:rPr>
          <w:rFonts w:ascii="Times New Roman;Times;serif" w:hAnsi="Times New Roman;Times;serif"/>
          <w:sz w:val="17"/>
        </w:rPr>
        <w:t xml:space="preserve">To the extent allowed by law, the Company agrees to reimburse FCW promptly upon demand for all costs and expenses, including without limitation reasonable attorneys fees and expenses (including the fees of FCWs inside counsel), expended or incurred by FCW in connection with the administration, collection, and enforcement of this Term Loan Agreement and the other Loan Documents, including, without limitation in connection with any arbitration, judicial reference, legal action or otherwise in connection with (i) the amendment and enforcement of the Term Loan Agreement and the other Loan Documents, including without limitation during any workout, attempted workout, and/or in connection with the rendering of legal advice as to FCWs rights, remedies and obligations under the Term Loan Agreement and the other Loan Documents, whether or not any form of legal proceeding is commended, (ii) collecting any sum which becomes due FCW under the Term Loan Agreement or any of the other Loan Documents, (iii) any proceeding for declaratory relief, any counterclaim to any proceeding, or any appeal, (iv) the protection, preservation or enforcement of any rights or remedies of FCW, whether or not any form of legal proceedings is commenced, or (v) any action necessary to defend, protect, assert, or preserve any of FCWs rights or remedies as a result of or related to any case or proceeding under Chapter 11 of the United States Code, as amended, or any similar law of any jurisdiction. All of such costs and expenses shall bear interest from the time of demand at the rate then in effect under the Note. </w:t>
      </w:r>
    </w:p>
    <w:p>
      <w:pPr>
        <w:pStyle w:val="TextBody"/>
        <w:spacing w:before="120" w:after="283"/>
        <w:jc w:val="left"/>
        <w:rPr/>
      </w:pPr>
      <w:r>
        <w:rPr/>
        <w:t>     </w:t>
      </w:r>
      <w:r>
        <w:rPr>
          <w:rFonts w:ascii="Times New Roman;Times;serif" w:hAnsi="Times New Roman;Times;serif"/>
          <w:b/>
          <w:sz w:val="17"/>
        </w:rPr>
        <w:t xml:space="preserve">SECTION 25. Effectiveness and Severability. </w:t>
      </w:r>
      <w:r>
        <w:rPr>
          <w:rFonts w:ascii="Times New Roman;Times;serif" w:hAnsi="Times New Roman;Times;serif"/>
          <w:sz w:val="17"/>
        </w:rPr>
        <w:t xml:space="preserve">This Term Loan Agreement shall continue in effect until: (i) all indebtedness and obligations of the Company under this Term Loan Agreement, the Note, and all other Loan Documents shall have been paid or satisfied; and (ii) FCW has no commitment to extend credit to or for the account of the Company hereunder. Any provision of this Term Loan Agreement or any other Loan Document which is prohibited or unenforceable in any jurisdiction shall, as to such jurisdiction, be ineffective to the extent of such prohibition or unenforceability without invalidating the remaining provisions hereof or thereof. </w:t>
      </w:r>
    </w:p>
    <w:p>
      <w:pPr>
        <w:pStyle w:val="TextBody"/>
        <w:spacing w:before="120" w:after="283"/>
        <w:jc w:val="left"/>
        <w:rPr/>
      </w:pPr>
      <w:r>
        <w:rPr/>
        <w:t>     </w:t>
      </w:r>
      <w:r>
        <w:rPr>
          <w:rFonts w:ascii="Times New Roman;Times;serif" w:hAnsi="Times New Roman;Times;serif"/>
          <w:b/>
          <w:sz w:val="17"/>
        </w:rPr>
        <w:t xml:space="preserve">SECTION 26. Successors and Assigns. </w:t>
      </w:r>
      <w:r>
        <w:rPr>
          <w:rFonts w:ascii="Times New Roman;Times;serif" w:hAnsi="Times New Roman;Times;serif"/>
          <w:sz w:val="17"/>
        </w:rPr>
        <w:t xml:space="preserve">This Term Loan Agreement, the Note, and the other Loan Documents shall be binding upon and inure to the benefit of the Company and FCW and their respective successors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assigns, except that the Company may not assign or transfer its rights or obligations under this Term Loan Agreement, the Note or any other Loan Document without the prior written consent of FCW. </w:t>
      </w:r>
    </w:p>
    <w:p>
      <w:pPr>
        <w:pStyle w:val="TextBody"/>
        <w:spacing w:before="120" w:after="283"/>
        <w:jc w:val="left"/>
        <w:rPr/>
      </w:pPr>
      <w:r>
        <w:rPr/>
        <w:t>     </w:t>
      </w:r>
      <w:r>
        <w:rPr>
          <w:rFonts w:ascii="Times New Roman;Times;serif" w:hAnsi="Times New Roman;Times;serif"/>
          <w:b/>
          <w:sz w:val="17"/>
        </w:rPr>
        <w:t xml:space="preserve">SECTION 27. Participations. </w:t>
      </w:r>
      <w:r>
        <w:rPr>
          <w:rFonts w:ascii="Times New Roman;Times;serif" w:hAnsi="Times New Roman;Times;serif"/>
          <w:sz w:val="17"/>
        </w:rPr>
        <w:t xml:space="preserve">From time to time, FCW may sell to one or more banks, financial institutions or other lenders a participation in all or a portion of the Commitment or other extensions of credit made pursuant to this Term Loan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 </w:t>
      </w:r>
    </w:p>
    <w:p>
      <w:pPr>
        <w:pStyle w:val="TextBody"/>
        <w:spacing w:before="120" w:after="283"/>
        <w:jc w:val="left"/>
        <w:rPr/>
      </w:pPr>
      <w:r>
        <w:rPr/>
        <w:t>     </w:t>
      </w:r>
      <w:r>
        <w:rPr>
          <w:rFonts w:ascii="Times New Roman;Times;serif" w:hAnsi="Times New Roman;Times;serif"/>
          <w:b/>
          <w:sz w:val="17"/>
        </w:rPr>
        <w:t>IN WITNESS WHEREOF</w:t>
      </w:r>
      <w:r>
        <w:rPr>
          <w:rFonts w:ascii="Times New Roman;Times;serif" w:hAnsi="Times New Roman;Times;serif"/>
          <w:sz w:val="17"/>
        </w:rPr>
        <w:t xml:space="preserve">, the parties have caused this Term Loan Agreement to be executed by their duly authorized officers as of the date shown above. </w:t>
      </w:r>
    </w:p>
    <w:tbl>
      <w:tblPr>
        <w:tblW w:w="5000" w:type="pct"/>
        <w:jc w:val="center"/>
        <w:tblInd w:w="0" w:type="dxa"/>
        <w:tblCellMar>
          <w:top w:w="0" w:type="dxa"/>
          <w:left w:w="0" w:type="dxa"/>
          <w:bottom w:w="0" w:type="dxa"/>
          <w:right w:w="0" w:type="dxa"/>
        </w:tblCellMar>
      </w:tblPr>
      <w:tblGrid>
        <w:gridCol w:w="463"/>
        <w:gridCol w:w="123"/>
        <w:gridCol w:w="3416"/>
        <w:gridCol w:w="1052"/>
        <w:gridCol w:w="464"/>
        <w:gridCol w:w="123"/>
        <w:gridCol w:w="123"/>
        <w:gridCol w:w="123"/>
        <w:gridCol w:w="4318"/>
      </w:tblGrid>
      <w:tr>
        <w:trPr/>
        <w:tc>
          <w:tcPr>
            <w:tcW w:w="46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16"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vAlign w:val="bottom"/>
          </w:tcPr>
          <w:p>
            <w:pPr>
              <w:pStyle w:val="TableContents"/>
              <w:spacing w:before="0" w:after="283"/>
              <w:rPr/>
            </w:pPr>
            <w:r>
              <w:rPr/>
              <w:t> </w:t>
            </w:r>
          </w:p>
        </w:tc>
      </w:tr>
      <w:tr>
        <w:trPr/>
        <w:tc>
          <w:tcPr>
            <w:tcW w:w="4002" w:type="dxa"/>
            <w:gridSpan w:val="3"/>
            <w:tcBorders/>
            <w:shd w:fill="auto" w:val="clear"/>
          </w:tcPr>
          <w:p>
            <w:pPr>
              <w:pStyle w:val="TableContents"/>
              <w:spacing w:before="0" w:after="283"/>
              <w:jc w:val="left"/>
              <w:rPr>
                <w:b/>
              </w:rPr>
            </w:pPr>
            <w:r>
              <w:rPr>
                <w:b/>
              </w:rPr>
              <w:t>FARM CREDIT WEST, PCA</w:t>
            </w:r>
          </w:p>
        </w:tc>
        <w:tc>
          <w:tcPr>
            <w:tcW w:w="1052" w:type="dxa"/>
            <w:tcBorders/>
            <w:shd w:fill="auto" w:val="clear"/>
            <w:vAlign w:val="bottom"/>
          </w:tcPr>
          <w:p>
            <w:pPr>
              <w:pStyle w:val="TableContents"/>
              <w:spacing w:before="0" w:after="283"/>
              <w:rPr/>
            </w:pPr>
            <w:r>
              <w:rPr/>
              <w:t> </w:t>
            </w:r>
          </w:p>
        </w:tc>
        <w:tc>
          <w:tcPr>
            <w:tcW w:w="5151" w:type="dxa"/>
            <w:gridSpan w:val="5"/>
            <w:tcBorders/>
            <w:shd w:fill="auto" w:val="clear"/>
          </w:tcPr>
          <w:p>
            <w:pPr>
              <w:pStyle w:val="TableContents"/>
              <w:spacing w:before="0" w:after="283"/>
              <w:jc w:val="left"/>
              <w:rPr>
                <w:b/>
              </w:rPr>
            </w:pPr>
            <w:r>
              <w:rPr>
                <w:b/>
              </w:rPr>
              <w:t>CALAVO GROWERS, INC., a California</w:t>
            </w:r>
          </w:p>
        </w:tc>
      </w:tr>
      <w:tr>
        <w:trPr/>
        <w:tc>
          <w:tcPr>
            <w:tcW w:w="463"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5151" w:type="dxa"/>
            <w:gridSpan w:val="5"/>
            <w:tcBorders/>
            <w:shd w:fill="auto" w:val="clear"/>
          </w:tcPr>
          <w:p>
            <w:pPr>
              <w:pStyle w:val="TableContents"/>
              <w:spacing w:before="0" w:after="283"/>
              <w:jc w:val="left"/>
              <w:rPr>
                <w:b/>
              </w:rPr>
            </w:pPr>
            <w:r>
              <w:rPr>
                <w:b/>
              </w:rPr>
              <w:t>Corporation</w:t>
            </w:r>
          </w:p>
        </w:tc>
      </w:tr>
      <w:tr>
        <w:trPr/>
        <w:tc>
          <w:tcPr>
            <w:tcW w:w="463"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 </w:t>
            </w:r>
          </w:p>
        </w:tc>
      </w:tr>
      <w:tr>
        <w:trPr/>
        <w:tc>
          <w:tcPr>
            <w:tcW w:w="463" w:type="dxa"/>
            <w:tcBorders/>
            <w:shd w:fill="auto" w:val="clear"/>
          </w:tcPr>
          <w:p>
            <w:pPr>
              <w:pStyle w:val="TableContents"/>
              <w:spacing w:before="0" w:after="0"/>
              <w:ind w:left="0" w:right="0" w:hanging="0"/>
              <w:rPr/>
            </w:pPr>
            <w:r>
              <w:rPr/>
              <w:t xml:space="preserve">By: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xml:space="preserve">/s/ Mark Littlefield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xml:space="preserve">By: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/s/ Arthur J. Bruno</w:t>
            </w:r>
          </w:p>
        </w:tc>
      </w:tr>
      <w:tr>
        <w:trPr/>
        <w:tc>
          <w:tcPr>
            <w:tcW w:w="463" w:type="dxa"/>
            <w:tcBorders/>
            <w:shd w:fill="auto" w:val="clea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3416" w:type="dxa"/>
            <w:tcBorders>
              <w:top w:val="single" w:sz="2" w:space="0" w:color="000000"/>
            </w:tcBorders>
            <w:shd w:fill="auto" w:val="clear"/>
            <w:tcMar>
              <w:top w:w="28" w:type="dxa"/>
            </w:tcMar>
          </w:tcPr>
          <w:p>
            <w:pPr>
              <w:pStyle w:val="TableContents"/>
              <w:spacing w:before="0" w:after="283"/>
              <w:jc w:val="left"/>
              <w:rPr/>
            </w:pPr>
            <w:r>
              <w:rPr/>
              <w:t> </w:t>
            </w:r>
          </w:p>
        </w:tc>
        <w:tc>
          <w:tcPr>
            <w:tcW w:w="1052" w:type="dxa"/>
            <w:tcBorders/>
            <w:shd w:fill="auto" w:val="clear"/>
            <w:vAlign w:val="center"/>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4564"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63"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Arthur J. Bruno,</w:t>
            </w:r>
          </w:p>
        </w:tc>
      </w:tr>
      <w:tr>
        <w:trPr/>
        <w:tc>
          <w:tcPr>
            <w:tcW w:w="463" w:type="dxa"/>
            <w:tcBorders/>
            <w:shd w:fill="auto" w:val="clear"/>
          </w:tcPr>
          <w:p>
            <w:pPr>
              <w:pStyle w:val="TableContents"/>
              <w:spacing w:before="0" w:after="0"/>
              <w:ind w:left="0" w:right="0" w:hanging="0"/>
              <w:rPr/>
            </w:pPr>
            <w:r>
              <w:rPr/>
              <w:t xml:space="preserve">Title: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xml:space="preserve">Sr. Vice President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xml:space="preserve">Title: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Chief Financial Officer &amp; Secretary</w:t>
            </w:r>
          </w:p>
        </w:tc>
      </w:tr>
      <w:tr>
        <w:trPr/>
        <w:tc>
          <w:tcPr>
            <w:tcW w:w="463" w:type="dxa"/>
            <w:tcBorders/>
            <w:shd w:fill="auto" w:val="clear"/>
          </w:tcPr>
          <w:p>
            <w:pPr>
              <w:pStyle w:val="TableContents"/>
              <w:spacing w:before="0" w:after="0"/>
              <w:ind w:left="0" w:right="0" w:hanging="0"/>
              <w:rPr/>
            </w:pPr>
            <w:r>
              <w:rPr/>
              <w:t xml:space="preserve">  </w:t>
            </w:r>
          </w:p>
        </w:tc>
        <w:tc>
          <w:tcPr>
            <w:tcW w:w="123" w:type="dxa"/>
            <w:tcBorders/>
            <w:shd w:fill="auto" w:val="clear"/>
            <w:vAlign w:val="center"/>
          </w:tcPr>
          <w:p>
            <w:pPr>
              <w:pStyle w:val="TableContents"/>
              <w:spacing w:before="0" w:after="283"/>
              <w:rPr/>
            </w:pPr>
            <w:r>
              <w:rPr/>
              <w:t> </w:t>
            </w:r>
          </w:p>
        </w:tc>
        <w:tc>
          <w:tcPr>
            <w:tcW w:w="3416" w:type="dxa"/>
            <w:tcBorders>
              <w:top w:val="single" w:sz="2" w:space="0" w:color="000000"/>
            </w:tcBorders>
            <w:shd w:fill="auto" w:val="clear"/>
            <w:tcMar>
              <w:top w:w="28" w:type="dxa"/>
            </w:tcMar>
          </w:tcPr>
          <w:p>
            <w:pPr>
              <w:pStyle w:val="TableContents"/>
              <w:spacing w:before="0" w:after="283"/>
              <w:jc w:val="left"/>
              <w:rPr/>
            </w:pPr>
            <w:r>
              <w:rPr/>
              <w:t> </w:t>
            </w:r>
          </w:p>
        </w:tc>
        <w:tc>
          <w:tcPr>
            <w:tcW w:w="1052" w:type="dxa"/>
            <w:tcBorders/>
            <w:shd w:fill="auto" w:val="clear"/>
            <w:vAlign w:val="center"/>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4318" w:type="dxa"/>
            <w:tcBorders/>
            <w:shd w:fill="auto" w:val="clear"/>
          </w:tcPr>
          <w:p>
            <w:pPr>
              <w:pStyle w:val="TableContents"/>
              <w:spacing w:before="0" w:after="283"/>
              <w:jc w:val="left"/>
              <w:rPr/>
            </w:pPr>
            <w:r>
              <w:rPr/>
              <w:t> </w:t>
            </w:r>
          </w:p>
        </w:tc>
      </w:tr>
      <w:tr>
        <w:trPr/>
        <w:tc>
          <w:tcPr>
            <w:tcW w:w="463"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 </w:t>
            </w:r>
          </w:p>
        </w:tc>
      </w:tr>
      <w:tr>
        <w:trPr/>
        <w:tc>
          <w:tcPr>
            <w:tcW w:w="463"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xml:space="preserve">By: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/s/ Scott H Runge</w:t>
            </w:r>
          </w:p>
        </w:tc>
      </w:tr>
      <w:tr>
        <w:trPr/>
        <w:tc>
          <w:tcPr>
            <w:tcW w:w="463" w:type="dxa"/>
            <w:tcBorders/>
            <w:shd w:fill="auto" w:val="clea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center"/>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center"/>
          </w:tcPr>
          <w:p>
            <w:pPr>
              <w:pStyle w:val="TableContents"/>
              <w:spacing w:before="0" w:after="283"/>
              <w:rPr/>
            </w:pPr>
            <w:r>
              <w:rPr/>
              <w:t> </w:t>
            </w:r>
          </w:p>
        </w:tc>
        <w:tc>
          <w:tcPr>
            <w:tcW w:w="4564" w:type="dxa"/>
            <w:gridSpan w:val="3"/>
            <w:tcBorders>
              <w:top w:val="single" w:sz="2" w:space="0" w:color="000000"/>
            </w:tcBorders>
            <w:shd w:fill="auto" w:val="clear"/>
            <w:tcMar>
              <w:top w:w="28" w:type="dxa"/>
            </w:tcMar>
          </w:tcPr>
          <w:p>
            <w:pPr>
              <w:pStyle w:val="TableContents"/>
              <w:spacing w:before="0" w:after="283"/>
              <w:jc w:val="left"/>
              <w:rPr/>
            </w:pPr>
            <w:r>
              <w:rPr/>
              <w:t> </w:t>
            </w:r>
          </w:p>
        </w:tc>
      </w:tr>
      <w:tr>
        <w:trPr/>
        <w:tc>
          <w:tcPr>
            <w:tcW w:w="463"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Scott H. Runge,</w:t>
            </w:r>
          </w:p>
        </w:tc>
      </w:tr>
      <w:tr>
        <w:trPr/>
        <w:tc>
          <w:tcPr>
            <w:tcW w:w="463"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3416" w:type="dxa"/>
            <w:tcBorders/>
            <w:shd w:fill="auto" w:val="clear"/>
          </w:tcPr>
          <w:p>
            <w:pPr>
              <w:pStyle w:val="TableContents"/>
              <w:spacing w:before="0" w:after="283"/>
              <w:jc w:val="left"/>
              <w:rPr/>
            </w:pPr>
            <w:r>
              <w:rPr/>
              <w:t> </w:t>
            </w:r>
          </w:p>
        </w:tc>
        <w:tc>
          <w:tcPr>
            <w:tcW w:w="1052" w:type="dxa"/>
            <w:tcBorders/>
            <w:shd w:fill="auto" w:val="clear"/>
            <w:vAlign w:val="bottom"/>
          </w:tcPr>
          <w:p>
            <w:pPr>
              <w:pStyle w:val="TableContents"/>
              <w:spacing w:before="0" w:after="283"/>
              <w:rPr/>
            </w:pPr>
            <w:r>
              <w:rPr/>
              <w:t> </w:t>
            </w:r>
          </w:p>
        </w:tc>
        <w:tc>
          <w:tcPr>
            <w:tcW w:w="464" w:type="dxa"/>
            <w:tcBorders/>
            <w:shd w:fill="auto" w:val="clear"/>
          </w:tcPr>
          <w:p>
            <w:pPr>
              <w:pStyle w:val="TableContents"/>
              <w:spacing w:before="0" w:after="283"/>
              <w:jc w:val="left"/>
              <w:rPr/>
            </w:pPr>
            <w:r>
              <w:rPr/>
              <w:t xml:space="preserve">Title </w:t>
            </w:r>
          </w:p>
        </w:tc>
        <w:tc>
          <w:tcPr>
            <w:tcW w:w="123"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318" w:type="dxa"/>
            <w:tcBorders/>
            <w:shd w:fill="auto" w:val="clear"/>
          </w:tcPr>
          <w:p>
            <w:pPr>
              <w:pStyle w:val="TableContents"/>
              <w:spacing w:before="0" w:after="283"/>
              <w:jc w:val="left"/>
              <w:rPr/>
            </w:pPr>
            <w:r>
              <w:rPr/>
              <w:t>Treasurer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A</w:t>
      </w:r>
      <w:r>
        <w:rPr>
          <w:rFonts w:ascii="Times New Roman;Times;serif" w:hAnsi="Times New Roman;Times;serif"/>
          <w:sz w:val="17"/>
        </w:rPr>
        <w:br/>
      </w:r>
      <w:r>
        <w:rPr>
          <w:rFonts w:ascii="Times New Roman;Times;serif" w:hAnsi="Times New Roman;Times;serif"/>
          <w:b/>
          <w:sz w:val="17"/>
          <w:u w:val="single"/>
        </w:rPr>
        <w:t>PROMISSORY NOTE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46"/>
        <w:gridCol w:w="512"/>
        <w:gridCol w:w="4847"/>
      </w:tblGrid>
      <w:tr>
        <w:trPr/>
        <w:tc>
          <w:tcPr>
            <w:tcW w:w="4846"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4847" w:type="dxa"/>
            <w:tcBorders/>
            <w:shd w:fill="auto" w:val="clear"/>
            <w:vAlign w:val="bottom"/>
          </w:tcPr>
          <w:p>
            <w:pPr>
              <w:pStyle w:val="TableContents"/>
              <w:spacing w:before="0" w:after="283"/>
              <w:rPr>
                <w:sz w:val="4"/>
                <w:szCs w:val="4"/>
              </w:rPr>
            </w:pPr>
            <w:r>
              <w:rPr>
                <w:sz w:val="4"/>
                <w:szCs w:val="4"/>
              </w:rPr>
            </w:r>
          </w:p>
        </w:tc>
      </w:tr>
      <w:tr>
        <w:trPr/>
        <w:tc>
          <w:tcPr>
            <w:tcW w:w="4846" w:type="dxa"/>
            <w:tcBorders/>
            <w:shd w:fill="auto" w:val="clear"/>
          </w:tcPr>
          <w:p>
            <w:pPr>
              <w:pStyle w:val="TableContents"/>
              <w:spacing w:before="0" w:after="283"/>
              <w:jc w:val="left"/>
              <w:rPr/>
            </w:pPr>
            <w:r>
              <w:rPr/>
              <w:t xml:space="preserve">$13,000,000.00 </w:t>
            </w:r>
          </w:p>
        </w:tc>
        <w:tc>
          <w:tcPr>
            <w:tcW w:w="512" w:type="dxa"/>
            <w:tcBorders/>
            <w:shd w:fill="auto" w:val="clear"/>
            <w:vAlign w:val="bottom"/>
          </w:tcPr>
          <w:p>
            <w:pPr>
              <w:pStyle w:val="TableContents"/>
              <w:spacing w:before="0" w:after="283"/>
              <w:rPr/>
            </w:pPr>
            <w:r>
              <w:rPr/>
              <w:t> </w:t>
            </w:r>
          </w:p>
        </w:tc>
        <w:tc>
          <w:tcPr>
            <w:tcW w:w="4847" w:type="dxa"/>
            <w:tcBorders/>
            <w:shd w:fill="auto" w:val="clear"/>
          </w:tcPr>
          <w:p>
            <w:pPr>
              <w:pStyle w:val="TableContents"/>
              <w:spacing w:before="0" w:after="283"/>
              <w:jc w:val="right"/>
              <w:rPr/>
            </w:pPr>
            <w:r>
              <w:rPr/>
              <w:t>July 1, 2005</w:t>
            </w:r>
          </w:p>
        </w:tc>
      </w:tr>
    </w:tbl>
    <w:p>
      <w:pPr>
        <w:pStyle w:val="TextBody"/>
        <w:spacing w:before="120" w:after="283"/>
        <w:jc w:val="left"/>
        <w:rPr/>
      </w:pPr>
      <w:r>
        <w:rPr/>
        <w:t>     </w:t>
      </w:r>
      <w:r>
        <w:rPr>
          <w:rFonts w:ascii="Times New Roman;Times;serif" w:hAnsi="Times New Roman;Times;serif"/>
          <w:sz w:val="17"/>
        </w:rPr>
        <w:t xml:space="preserve">FOR VALUE RECEIVED, on the Maturity Date as set forth in that certain Term Loan Agreement dated July 1, 2005, or in any amendments thereto (the Term Loan Agreement), the undersigned promises to pay to the order of Farm Credit West, PCA (the Payee), or order, at the place and in the manner set forth under Repayment Terms below and in accordance with the Term Loan Agreement, the principal amount of THIRTEEN MILLION DOLLARS ($13,000,000.00). </w:t>
      </w:r>
    </w:p>
    <w:p>
      <w:pPr>
        <w:pStyle w:val="TextBody"/>
        <w:spacing w:before="120" w:after="283"/>
        <w:jc w:val="left"/>
        <w:rPr/>
      </w:pPr>
      <w:r>
        <w:rPr/>
        <w:t>     </w:t>
      </w:r>
      <w:r>
        <w:rPr>
          <w:rFonts w:ascii="Times New Roman;Times;serif" w:hAnsi="Times New Roman;Times;serif"/>
          <w:sz w:val="17"/>
        </w:rPr>
        <w:t xml:space="preserve">This note is given for advances to be made by Payee to the undersigned from time to time in accordance with the terms and conditions of the Term Loan Agreement, all the terms and conditions of which are incorporated herein by reference. Advances, accrued interest, and payments shall be posted by the Payee upon an appropriate accounting record, shall be prima facie evidence as to all such amounts and shall be binding on the undersigned absent manifest error. The total of such advances may not exceed the face amount of this note. </w:t>
      </w:r>
    </w:p>
    <w:p>
      <w:pPr>
        <w:pStyle w:val="TextBody"/>
        <w:spacing w:before="120" w:after="283"/>
        <w:jc w:val="left"/>
        <w:rPr/>
      </w:pPr>
      <w:r>
        <w:rPr/>
        <w:t>     </w:t>
      </w:r>
      <w:r>
        <w:rPr>
          <w:rFonts w:ascii="Times New Roman;Times;serif" w:hAnsi="Times New Roman;Times;serif"/>
          <w:b/>
          <w:sz w:val="17"/>
        </w:rPr>
        <w:t xml:space="preserve">Repayment Terms: </w:t>
      </w:r>
      <w:r>
        <w:rPr>
          <w:rFonts w:ascii="Times New Roman;Times;serif" w:hAnsi="Times New Roman;Times;serif"/>
          <w:sz w:val="17"/>
        </w:rPr>
        <w:t xml:space="preserve">The undersigned shall pay to Payee, One Hundred Twenty (120) monthly interest only payments in the amount billed, beginning on August 01, 2005; and Nine (9) Annual installments of principal only, in the amount of $1,300,000.00, beginning on July 01, 2006, plus a final installment of any amount necessary to pay the Commitment in full. This note may be prepaid in whole or in part at any time and in any amount during the term of this note, unless limited or prohibited herein or in the Term Loan Agreement or unless otherwise required by FCW in writing. Any prepayment will be subject to applicable broken funding surcharges as defined in the Term Loan Agreement. This note is due and payable in full on July 01, 2015 (Maturity Date), at which time the undersigned shall pay the unpaid principal balance and all accrued interest in full. Any amount of principal hereof which is not paid when due, whether at stated maturity, by acceleration or otherwise, shall bear interest from the date when due until said principal is paid in full, payable on demand, at a rate per annum set forth in the Term Loan Agreement. </w:t>
      </w:r>
    </w:p>
    <w:p>
      <w:pPr>
        <w:pStyle w:val="TextBody"/>
        <w:spacing w:before="120" w:after="283"/>
        <w:jc w:val="left"/>
        <w:rPr/>
      </w:pPr>
      <w:r>
        <w:rPr/>
        <w:t>     </w:t>
      </w:r>
      <w:r>
        <w:rPr>
          <w:rFonts w:ascii="Times New Roman;Times;serif" w:hAnsi="Times New Roman;Times;serif"/>
          <w:sz w:val="17"/>
        </w:rPr>
        <w:t xml:space="preserve">The makers or endorsers hereof hereby waive presentment for payment, demand, protest, and notice of dishonor and nonpayment of this note, and all defenses on the ground of delay or of any extension of time for the payment hereof which may be hereafter given by the holder or holders hereof to them or either of them or to anyone who has assumed the payment of this note, and it is specifically agreed that the obligations of said makers or endorsers shall not be in anyway affected or altered to the prejudice of the holder or holders hereof by reason of the assumption of payment of the same by any other person or entity. </w:t>
      </w:r>
    </w:p>
    <w:p>
      <w:pPr>
        <w:pStyle w:val="TextBody"/>
        <w:spacing w:before="120" w:after="283"/>
        <w:jc w:val="left"/>
        <w:rPr/>
      </w:pPr>
      <w:r>
        <w:rPr/>
        <w:t>     </w:t>
      </w:r>
      <w:r>
        <w:rPr>
          <w:rFonts w:ascii="Times New Roman;Times;serif" w:hAnsi="Times New Roman;Times;serif"/>
          <w:sz w:val="17"/>
        </w:rPr>
        <w:t xml:space="preserve">The undersigned hereby promises to pay all costs and expenses of any rightful holder hereof incurred in collecting the undersigneds obligations hereunder or in enforcing or attempting to enforce any of such holders rights hereunder, including reasonable attorneys fees and disbursements, whether or not an action is filed in connection therewith. </w:t>
      </w:r>
    </w:p>
    <w:p>
      <w:pPr>
        <w:pStyle w:val="TextBody"/>
        <w:spacing w:before="120" w:after="283"/>
        <w:jc w:val="left"/>
        <w:rPr/>
      </w:pPr>
      <w:r>
        <w:rPr/>
        <w:t>     </w:t>
      </w:r>
      <w:r>
        <w:rPr>
          <w:rFonts w:ascii="Times New Roman;Times;serif" w:hAnsi="Times New Roman;Times;serif"/>
          <w:sz w:val="17"/>
        </w:rPr>
        <w:t xml:space="preserve">THIS NOTE SHALL BE GOVERNED BY, AND CONSTRUED AND ENFORCED IN ACCORDANCE WITH, THE LAWS OF THE STATE OF CALIFORNIA. REPRESENTATIVES OF FCW ARE NOT AUTHORIZED TO MAKE ANY ORAL AGREEMENTS OR ASSURANCES. DO NOT SIGN THIS NOTE IF YOU BELIEVE THAT THERE ARE ANY AGREEMENTS OR UNDERSTANDING BETWEEN YOU AND FCW THAT ARE NOT SET FORTH IN WRITING IN THIS NOTE, THE TERM LOAN AGREEMENT OR OTHER LOAN DOCUMENTS EVIDENCING THE COMMITMENT. </w:t>
      </w:r>
    </w:p>
    <w:tbl>
      <w:tblPr>
        <w:tblW w:w="5000" w:type="pct"/>
        <w:jc w:val="center"/>
        <w:tblInd w:w="0" w:type="dxa"/>
        <w:tblCellMar>
          <w:top w:w="0" w:type="dxa"/>
          <w:left w:w="0" w:type="dxa"/>
          <w:bottom w:w="0" w:type="dxa"/>
          <w:right w:w="0" w:type="dxa"/>
        </w:tblCellMar>
      </w:tblPr>
      <w:tblGrid>
        <w:gridCol w:w="4682"/>
        <w:gridCol w:w="119"/>
        <w:gridCol w:w="307"/>
        <w:gridCol w:w="119"/>
        <w:gridCol w:w="4978"/>
      </w:tblGrid>
      <w:tr>
        <w:trPr/>
        <w:tc>
          <w:tcPr>
            <w:tcW w:w="468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4978" w:type="dxa"/>
            <w:tcBorders/>
            <w:shd w:fill="auto" w:val="clear"/>
            <w:vAlign w:val="bottom"/>
          </w:tcPr>
          <w:p>
            <w:pPr>
              <w:pStyle w:val="TableContents"/>
              <w:spacing w:before="0" w:after="283"/>
              <w:rPr/>
            </w:pPr>
            <w:r>
              <w:rPr/>
              <w:t> </w:t>
            </w:r>
          </w:p>
        </w:tc>
      </w:tr>
      <w:tr>
        <w:trPr/>
        <w:tc>
          <w:tcPr>
            <w:tcW w:w="4682" w:type="dxa"/>
            <w:tcBorders/>
            <w:shd w:fill="auto" w:val="clear"/>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404" w:type="dxa"/>
            <w:gridSpan w:val="3"/>
            <w:tcBorders/>
            <w:shd w:fill="auto" w:val="clear"/>
          </w:tcPr>
          <w:p>
            <w:pPr>
              <w:pStyle w:val="TableContents"/>
              <w:spacing w:before="0" w:after="283"/>
              <w:jc w:val="left"/>
              <w:rPr>
                <w:b/>
              </w:rPr>
            </w:pPr>
            <w:r>
              <w:rPr>
                <w:b/>
              </w:rPr>
              <w:t>CALAVO GROWERS, INC.</w:t>
            </w:r>
          </w:p>
        </w:tc>
      </w:tr>
      <w:tr>
        <w:trPr/>
        <w:tc>
          <w:tcPr>
            <w:tcW w:w="4682" w:type="dxa"/>
            <w:tcBorders/>
            <w:shd w:fill="auto" w:val="clear"/>
          </w:tcPr>
          <w:p>
            <w:pPr>
              <w:pStyle w:val="TableContents"/>
              <w:spacing w:before="0" w:after="0"/>
              <w:ind w:left="0" w:right="0" w:hanging="0"/>
              <w:rPr/>
            </w:pPr>
            <w:r>
              <w:rPr/>
              <w:t> </w:t>
            </w:r>
          </w:p>
        </w:tc>
        <w:tc>
          <w:tcPr>
            <w:tcW w:w="119"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978" w:type="dxa"/>
            <w:tcBorders/>
            <w:shd w:fill="auto" w:val="clear"/>
          </w:tcPr>
          <w:p>
            <w:pPr>
              <w:pStyle w:val="TableContents"/>
              <w:spacing w:before="0" w:after="283"/>
              <w:jc w:val="left"/>
              <w:rPr/>
            </w:pPr>
            <w:r>
              <w:rPr/>
              <w:t> </w:t>
            </w:r>
          </w:p>
        </w:tc>
      </w:tr>
      <w:tr>
        <w:trPr/>
        <w:tc>
          <w:tcPr>
            <w:tcW w:w="4682"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19" w:type="dxa"/>
            <w:tcBorders/>
            <w:shd w:fill="auto" w:val="clear"/>
            <w:vAlign w:val="bottom"/>
          </w:tcPr>
          <w:p>
            <w:pPr>
              <w:pStyle w:val="TableContents"/>
              <w:spacing w:before="0" w:after="283"/>
              <w:rPr/>
            </w:pPr>
            <w:r>
              <w:rPr/>
              <w:t> </w:t>
            </w:r>
          </w:p>
        </w:tc>
        <w:tc>
          <w:tcPr>
            <w:tcW w:w="4978" w:type="dxa"/>
            <w:tcBorders/>
            <w:shd w:fill="auto" w:val="clear"/>
          </w:tcPr>
          <w:p>
            <w:pPr>
              <w:pStyle w:val="TableContents"/>
              <w:spacing w:before="0" w:after="283"/>
              <w:jc w:val="left"/>
              <w:rPr/>
            </w:pPr>
            <w:r>
              <w:rPr/>
              <w:t>     </w:t>
            </w:r>
            <w:r>
              <w:rPr/>
              <w:t>/s/ Arthur J. Bruno</w:t>
            </w:r>
          </w:p>
        </w:tc>
      </w:tr>
      <w:tr>
        <w:trPr/>
        <w:tc>
          <w:tcPr>
            <w:tcW w:w="4682" w:type="dxa"/>
            <w:tcBorders/>
            <w:shd w:fill="auto" w:val="clear"/>
          </w:tcPr>
          <w:p>
            <w:pPr>
              <w:pStyle w:val="TableContents"/>
              <w:spacing w:before="0" w:after="0"/>
              <w:ind w:left="0" w:right="0" w:hanging="0"/>
              <w:rPr/>
            </w:pPr>
            <w:r>
              <w:rPr/>
              <w:t xml:space="preserve">  </w:t>
            </w:r>
          </w:p>
        </w:tc>
        <w:tc>
          <w:tcPr>
            <w:tcW w:w="119"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9" w:type="dxa"/>
            <w:tcBorders/>
            <w:shd w:fill="auto" w:val="clear"/>
            <w:vAlign w:val="center"/>
          </w:tcPr>
          <w:p>
            <w:pPr>
              <w:pStyle w:val="TableContents"/>
              <w:spacing w:before="0" w:after="283"/>
              <w:rPr/>
            </w:pPr>
            <w:r>
              <w:rPr/>
              <w:t> </w:t>
            </w:r>
          </w:p>
        </w:tc>
        <w:tc>
          <w:tcPr>
            <w:tcW w:w="497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82"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978" w:type="dxa"/>
            <w:tcBorders/>
            <w:shd w:fill="auto" w:val="clear"/>
          </w:tcPr>
          <w:p>
            <w:pPr>
              <w:pStyle w:val="TableContents"/>
              <w:spacing w:before="0" w:after="283"/>
              <w:jc w:val="left"/>
              <w:rPr/>
            </w:pPr>
            <w:r>
              <w:rPr/>
              <w:t>     </w:t>
            </w:r>
            <w:r>
              <w:rPr/>
              <w:t>Arthur J. Bruno</w:t>
            </w:r>
          </w:p>
        </w:tc>
      </w:tr>
      <w:tr>
        <w:trPr/>
        <w:tc>
          <w:tcPr>
            <w:tcW w:w="4682"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978" w:type="dxa"/>
            <w:tcBorders>
              <w:bottom w:val="single" w:sz="2" w:space="0" w:color="000000"/>
            </w:tcBorders>
            <w:shd w:fill="auto" w:val="clear"/>
            <w:tcMar>
              <w:bottom w:w="28" w:type="dxa"/>
            </w:tcMar>
          </w:tcPr>
          <w:p>
            <w:pPr>
              <w:pStyle w:val="TableContents"/>
              <w:spacing w:before="0" w:after="283"/>
              <w:jc w:val="left"/>
              <w:rPr/>
            </w:pPr>
            <w:r>
              <w:rPr/>
              <w:t>     </w:t>
            </w:r>
            <w:r>
              <w:rPr/>
              <w:t>Chief Operating Officer</w:t>
            </w:r>
          </w:p>
        </w:tc>
      </w:tr>
      <w:tr>
        <w:trPr/>
        <w:tc>
          <w:tcPr>
            <w:tcW w:w="4682" w:type="dxa"/>
            <w:tcBorders/>
            <w:shd w:fill="auto" w:val="clear"/>
          </w:tcPr>
          <w:p>
            <w:pPr>
              <w:pStyle w:val="TableContents"/>
              <w:spacing w:before="0" w:after="0"/>
              <w:ind w:left="0" w:right="0" w:hanging="0"/>
              <w:rPr/>
            </w:pPr>
            <w:r>
              <w:rPr/>
              <w:t xml:space="preserve">  </w:t>
            </w:r>
          </w:p>
        </w:tc>
        <w:tc>
          <w:tcPr>
            <w:tcW w:w="119"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4978" w:type="dxa"/>
            <w:tcBorders/>
            <w:shd w:fill="auto" w:val="clear"/>
          </w:tcPr>
          <w:p>
            <w:pPr>
              <w:pStyle w:val="TableContents"/>
              <w:spacing w:before="0" w:after="283"/>
              <w:jc w:val="left"/>
              <w:rPr/>
            </w:pPr>
            <w:r>
              <w:rPr/>
              <w:t>          </w:t>
            </w:r>
            <w:r>
              <w:rPr/>
              <w:t>[Printed name and title]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40 </w:t>
      </w:r>
      <w:r>
        <w:br w:type="page"/>
      </w:r>
    </w:p>
    <w:p>
      <w:pPr>
        <w:pStyle w:val="Heading5"/>
        <w:jc w:val="left"/>
        <w:rPr/>
      </w:pPr>
      <w:bookmarkStart w:id="21" w:name="v12377exv31w1.htm"/>
      <w:bookmarkStart w:id="22" w:name="ksv12377exv31w1"/>
      <w:bookmarkEnd w:id="21"/>
      <w:bookmarkEnd w:id="22"/>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CERTIFICATION PURSUANT 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15 U.S.C. § 7241</w:t>
        <w:br/>
        <w:t>AS ADOPTED PURSUANT TO</w:t>
        <w:br/>
        <w:t xml:space="preserve">SECTION 302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Lecil E. Cole,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156"/>
        <w:gridCol w:w="107"/>
        <w:gridCol w:w="4942"/>
      </w:tblGrid>
      <w:tr>
        <w:trPr/>
        <w:tc>
          <w:tcPr>
            <w:tcW w:w="515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942" w:type="dxa"/>
            <w:tcBorders/>
            <w:shd w:fill="auto" w:val="clear"/>
            <w:vAlign w:val="bottom"/>
          </w:tcPr>
          <w:p>
            <w:pPr>
              <w:pStyle w:val="TableContents"/>
              <w:spacing w:before="0" w:after="283"/>
              <w:rPr/>
            </w:pPr>
            <w:r>
              <w:rPr/>
              <w:t> </w:t>
            </w:r>
          </w:p>
        </w:tc>
      </w:tr>
      <w:tr>
        <w:trPr/>
        <w:tc>
          <w:tcPr>
            <w:tcW w:w="5156" w:type="dxa"/>
            <w:tcBorders/>
            <w:shd w:fill="auto" w:val="clear"/>
          </w:tcPr>
          <w:p>
            <w:pPr>
              <w:pStyle w:val="TableContents"/>
              <w:spacing w:before="0" w:after="0"/>
              <w:ind w:left="0" w:right="0" w:hanging="0"/>
              <w:rPr/>
            </w:pPr>
            <w:r>
              <w:rPr/>
              <w:t xml:space="preserve">Date: September 8, 2005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/s/ Lecil E. Cole</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center"/>
          </w:tcPr>
          <w:p>
            <w:pPr>
              <w:pStyle w:val="TableContents"/>
              <w:spacing w:before="0" w:after="283"/>
              <w:rPr/>
            </w:pPr>
            <w:r>
              <w:rPr/>
              <w:t> </w:t>
            </w:r>
          </w:p>
        </w:tc>
        <w:tc>
          <w:tcPr>
            <w:tcW w:w="4942" w:type="dxa"/>
            <w:tcBorders>
              <w:top w:val="single" w:sz="2" w:space="0" w:color="000000"/>
            </w:tcBorders>
            <w:shd w:fill="auto" w:val="clear"/>
            <w:tcMar>
              <w:top w:w="28" w:type="dxa"/>
            </w:tcMar>
          </w:tcPr>
          <w:p>
            <w:pPr>
              <w:pStyle w:val="TableContents"/>
              <w:spacing w:before="0" w:after="283"/>
              <w:jc w:val="left"/>
              <w:rPr/>
            </w:pPr>
            <w:r>
              <w:rPr/>
              <w:t> </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Lecil E. Cole</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Chairman of the Board of Directors,</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President and Chief Executive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41 </w:t>
      </w:r>
      <w:r>
        <w:br w:type="page"/>
      </w:r>
    </w:p>
    <w:p>
      <w:pPr>
        <w:pStyle w:val="Heading5"/>
        <w:jc w:val="left"/>
        <w:rPr/>
      </w:pPr>
      <w:bookmarkStart w:id="23" w:name="v12377exv31w2.htm"/>
      <w:bookmarkStart w:id="24" w:name="ksv12377exv31w2"/>
      <w:bookmarkEnd w:id="23"/>
      <w:bookmarkEnd w:id="24"/>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15 U.S.C. § 7241</w:t>
        <w:br/>
        <w:t>AS ADOPTED PURSUANT TO</w:t>
        <w:br/>
        <w:t xml:space="preserve">SECTION 302 OF THE SARBANES-OXLEY ACT OF 2002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Arthur J. Bruno,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5156"/>
        <w:gridCol w:w="107"/>
        <w:gridCol w:w="4942"/>
      </w:tblGrid>
      <w:tr>
        <w:trPr/>
        <w:tc>
          <w:tcPr>
            <w:tcW w:w="5156"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4942" w:type="dxa"/>
            <w:tcBorders/>
            <w:shd w:fill="auto" w:val="clear"/>
            <w:vAlign w:val="bottom"/>
          </w:tcPr>
          <w:p>
            <w:pPr>
              <w:pStyle w:val="TableContents"/>
              <w:spacing w:before="0" w:after="283"/>
              <w:rPr/>
            </w:pPr>
            <w:r>
              <w:rPr/>
              <w:t> </w:t>
            </w:r>
          </w:p>
        </w:tc>
      </w:tr>
      <w:tr>
        <w:trPr/>
        <w:tc>
          <w:tcPr>
            <w:tcW w:w="5156" w:type="dxa"/>
            <w:tcBorders/>
            <w:shd w:fill="auto" w:val="clear"/>
          </w:tcPr>
          <w:p>
            <w:pPr>
              <w:pStyle w:val="TableContents"/>
              <w:spacing w:before="0" w:after="0"/>
              <w:ind w:left="0" w:right="0" w:hanging="0"/>
              <w:rPr/>
            </w:pPr>
            <w:r>
              <w:rPr/>
              <w:t xml:space="preserve">Date: September 8, 2005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/s/ Arthur J. Bruno</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center"/>
          </w:tcPr>
          <w:p>
            <w:pPr>
              <w:pStyle w:val="TableContents"/>
              <w:spacing w:before="0" w:after="283"/>
              <w:rPr/>
            </w:pPr>
            <w:r>
              <w:rPr/>
              <w:t> </w:t>
            </w:r>
          </w:p>
        </w:tc>
        <w:tc>
          <w:tcPr>
            <w:tcW w:w="4942" w:type="dxa"/>
            <w:tcBorders>
              <w:top w:val="single" w:sz="2" w:space="0" w:color="000000"/>
            </w:tcBorders>
            <w:shd w:fill="auto" w:val="clear"/>
            <w:tcMar>
              <w:top w:w="28" w:type="dxa"/>
            </w:tcMar>
          </w:tcPr>
          <w:p>
            <w:pPr>
              <w:pStyle w:val="TableContents"/>
              <w:spacing w:before="0" w:after="283"/>
              <w:jc w:val="left"/>
              <w:rPr/>
            </w:pPr>
            <w:r>
              <w:rPr/>
              <w:t> </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Arthur J. Bruno</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Chief Operating Officer, Chief Financial Officer</w:t>
            </w:r>
          </w:p>
        </w:tc>
      </w:tr>
      <w:tr>
        <w:trPr/>
        <w:tc>
          <w:tcPr>
            <w:tcW w:w="5156" w:type="dxa"/>
            <w:tcBorders/>
            <w:shd w:fill="auto" w:val="clear"/>
          </w:tcPr>
          <w:p>
            <w:pPr>
              <w:pStyle w:val="TableContents"/>
              <w:spacing w:before="0" w:after="0"/>
              <w:ind w:left="0" w:right="0" w:hanging="0"/>
              <w:rPr/>
            </w:pPr>
            <w:r>
              <w:rPr/>
              <w:t xml:space="preserve">  </w:t>
            </w:r>
          </w:p>
        </w:tc>
        <w:tc>
          <w:tcPr>
            <w:tcW w:w="107" w:type="dxa"/>
            <w:tcBorders/>
            <w:shd w:fill="auto" w:val="clear"/>
            <w:vAlign w:val="bottom"/>
          </w:tcPr>
          <w:p>
            <w:pPr>
              <w:pStyle w:val="TableContents"/>
              <w:spacing w:before="0" w:after="283"/>
              <w:rPr/>
            </w:pPr>
            <w:r>
              <w:rPr/>
              <w:t> </w:t>
            </w:r>
          </w:p>
        </w:tc>
        <w:tc>
          <w:tcPr>
            <w:tcW w:w="4942" w:type="dxa"/>
            <w:tcBorders/>
            <w:shd w:fill="auto" w:val="clear"/>
          </w:tcPr>
          <w:p>
            <w:pPr>
              <w:pStyle w:val="TableContents"/>
              <w:spacing w:before="0" w:after="283"/>
              <w:jc w:val="left"/>
              <w:rPr/>
            </w:pPr>
            <w:r>
              <w:rPr/>
              <w:t>and Corporate Secretary (Principal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42 </w:t>
      </w:r>
      <w:r>
        <w:br w:type="page"/>
      </w:r>
    </w:p>
    <w:p>
      <w:pPr>
        <w:pStyle w:val="Heading5"/>
        <w:jc w:val="left"/>
        <w:rPr/>
      </w:pPr>
      <w:bookmarkStart w:id="25" w:name="v12377exv32w1.htm"/>
      <w:bookmarkStart w:id="26" w:name="ksv12377exv32w1"/>
      <w:bookmarkEnd w:id="25"/>
      <w:bookmarkEnd w:id="26"/>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July 31, 2005, as filed with the Securities and Exchange Commission (the Report), I, Lecil E. Cole, Chief Executive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Report fully complies with the requirements of Section 13(a) or 15(d) of the Securities Exchange Act of 1934;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center"/>
        <w:tblInd w:w="0" w:type="dxa"/>
        <w:tblCellMar>
          <w:top w:w="0" w:type="dxa"/>
          <w:left w:w="0" w:type="dxa"/>
          <w:bottom w:w="0" w:type="dxa"/>
          <w:right w:w="0" w:type="dxa"/>
        </w:tblCellMar>
      </w:tblPr>
      <w:tblGrid>
        <w:gridCol w:w="3925"/>
        <w:gridCol w:w="260"/>
        <w:gridCol w:w="6020"/>
      </w:tblGrid>
      <w:tr>
        <w:trPr/>
        <w:tc>
          <w:tcPr>
            <w:tcW w:w="392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20" w:type="dxa"/>
            <w:tcBorders/>
            <w:shd w:fill="auto" w:val="clear"/>
            <w:vAlign w:val="bottom"/>
          </w:tcPr>
          <w:p>
            <w:pPr>
              <w:pStyle w:val="TableContents"/>
              <w:spacing w:before="0" w:after="283"/>
              <w:rPr/>
            </w:pPr>
            <w:r>
              <w:rPr/>
              <w:t> </w:t>
            </w:r>
          </w:p>
        </w:tc>
      </w:tr>
      <w:tr>
        <w:trPr/>
        <w:tc>
          <w:tcPr>
            <w:tcW w:w="3925" w:type="dxa"/>
            <w:tcBorders/>
            <w:shd w:fill="auto" w:val="clear"/>
          </w:tcPr>
          <w:p>
            <w:pPr>
              <w:pStyle w:val="TableContents"/>
              <w:spacing w:before="0" w:after="0"/>
              <w:ind w:left="0" w:right="0" w:hanging="0"/>
              <w:rPr/>
            </w:pPr>
            <w:r>
              <w:rPr/>
              <w:t xml:space="preserve">/s/ Lecil E. Cole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Lecil E. Cole </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r>
        <w:trPr/>
        <w:tc>
          <w:tcPr>
            <w:tcW w:w="3925" w:type="dxa"/>
            <w:tcBorders/>
            <w:shd w:fill="auto" w:val="clear"/>
          </w:tcPr>
          <w:p>
            <w:pPr>
              <w:pStyle w:val="TableContents"/>
              <w:spacing w:before="0" w:after="0"/>
              <w:ind w:left="0" w:right="0" w:hanging="0"/>
              <w:rPr/>
            </w:pPr>
            <w:r>
              <w:rPr/>
              <w:t>Chief Executive Officer</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r>
        <w:trPr/>
        <w:tc>
          <w:tcPr>
            <w:tcW w:w="3925" w:type="dxa"/>
            <w:tcBorders/>
            <w:shd w:fill="auto" w:val="clear"/>
          </w:tcPr>
          <w:p>
            <w:pPr>
              <w:pStyle w:val="TableContents"/>
              <w:spacing w:before="0" w:after="0"/>
              <w:ind w:left="0" w:right="0" w:hanging="0"/>
              <w:rPr/>
            </w:pPr>
            <w:r>
              <w:rPr/>
              <w:t>September 8, 2005</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43 </w:t>
      </w:r>
      <w:r>
        <w:br w:type="page"/>
      </w:r>
    </w:p>
    <w:p>
      <w:pPr>
        <w:pStyle w:val="Heading5"/>
        <w:jc w:val="left"/>
        <w:rPr/>
      </w:pPr>
      <w:bookmarkStart w:id="27" w:name="v12377exv32w2.htm"/>
      <w:bookmarkStart w:id="28" w:name="ksv12377exv32w2"/>
      <w:bookmarkEnd w:id="27"/>
      <w:bookmarkEnd w:id="2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CERTIFICATION PURSUANT TO</w:t>
        <w:br/>
        <w:t>18 U.S.C. § 1350</w:t>
        <w:br/>
        <w:t>AS ADOPTED PURSUANT TO</w:t>
        <w:br/>
        <w:t xml:space="preserve">SECTION 906 OF THE SARBANES-OXLEY ACT OF 2002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Quarterly Report of Calavo Growers, Inc. (the Company) on Form 10-Q for the period ended July 31, 2005, as filed with the Securities and Exchange Commission (the Report), I, Arthur J. Bruno, the Chief Financial Officer of the Company, certify, pursuant to 18 U.S.C. § 1350, as adopted pursuant to Section 906 of the Sarbanes-Oxley Act of 2002, that, to my knowledge: </w:t>
      </w:r>
    </w:p>
    <w:tbl>
      <w:tblPr>
        <w:tblW w:w="5000" w:type="pct"/>
        <w:jc w:val="left"/>
        <w:tblInd w:w="0" w:type="dxa"/>
        <w:tblCellMar>
          <w:top w:w="0" w:type="dxa"/>
          <w:left w:w="0" w:type="dxa"/>
          <w:bottom w:w="0" w:type="dxa"/>
          <w:right w:w="0" w:type="dxa"/>
        </w:tblCellMar>
      </w:tblPr>
      <w:tblGrid>
        <w:gridCol w:w="305"/>
        <w:gridCol w:w="306"/>
        <w:gridCol w:w="101"/>
        <w:gridCol w:w="9493"/>
      </w:tblGrid>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Report fully complies with the requirements of Section 13(a) or 15(d) of the Securities Exchange Act of 1934; and</w:t>
            </w:r>
          </w:p>
        </w:tc>
      </w:tr>
      <w:tr>
        <w:trPr/>
        <w:tc>
          <w:tcPr>
            <w:tcW w:w="305" w:type="dxa"/>
            <w:tcBorders/>
            <w:shd w:fill="auto" w:val="clear"/>
            <w:vAlign w:val="center"/>
          </w:tcPr>
          <w:p>
            <w:pPr>
              <w:pStyle w:val="TableContents"/>
              <w:spacing w:before="0" w:after="283"/>
              <w:rPr/>
            </w:pPr>
            <w:r>
              <w:rPr/>
              <w:t> </w:t>
            </w:r>
          </w:p>
        </w:tc>
        <w:tc>
          <w:tcPr>
            <w:tcW w:w="9900" w:type="dxa"/>
            <w:gridSpan w:val="3"/>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493"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5000" w:type="pct"/>
        <w:jc w:val="center"/>
        <w:tblInd w:w="0" w:type="dxa"/>
        <w:tblCellMar>
          <w:top w:w="0" w:type="dxa"/>
          <w:left w:w="0" w:type="dxa"/>
          <w:bottom w:w="0" w:type="dxa"/>
          <w:right w:w="0" w:type="dxa"/>
        </w:tblCellMar>
      </w:tblPr>
      <w:tblGrid>
        <w:gridCol w:w="3925"/>
        <w:gridCol w:w="260"/>
        <w:gridCol w:w="6020"/>
      </w:tblGrid>
      <w:tr>
        <w:trPr/>
        <w:tc>
          <w:tcPr>
            <w:tcW w:w="392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6020" w:type="dxa"/>
            <w:tcBorders/>
            <w:shd w:fill="auto" w:val="clear"/>
            <w:vAlign w:val="bottom"/>
          </w:tcPr>
          <w:p>
            <w:pPr>
              <w:pStyle w:val="TableContents"/>
              <w:spacing w:before="0" w:after="283"/>
              <w:rPr/>
            </w:pPr>
            <w:r>
              <w:rPr/>
              <w:t> </w:t>
            </w:r>
          </w:p>
        </w:tc>
      </w:tr>
      <w:tr>
        <w:trPr/>
        <w:tc>
          <w:tcPr>
            <w:tcW w:w="3925" w:type="dxa"/>
            <w:tcBorders/>
            <w:shd w:fill="auto" w:val="clear"/>
          </w:tcPr>
          <w:p>
            <w:pPr>
              <w:pStyle w:val="TableContents"/>
              <w:spacing w:before="0" w:after="0"/>
              <w:ind w:left="0" w:right="0" w:hanging="0"/>
              <w:rPr/>
            </w:pPr>
            <w:r>
              <w:rPr/>
              <w:t xml:space="preserve">/s/ Arthur J. Bruno </w:t>
            </w:r>
          </w:p>
          <w:p>
            <w:pPr>
              <w:pStyle w:val="TableContents"/>
              <w:spacing w:before="0" w:after="0"/>
              <w:rPr>
                <w:bdr w:val="single" w:sz="2" w:space="1" w:color="000000"/>
              </w:rPr>
            </w:pPr>
            <w:r>
              <w:rPr>
                <w:bdr w:val="single" w:sz="2" w:space="1" w:color="000000"/>
              </w:rPr>
              <w:t> </w:t>
            </w:r>
          </w:p>
          <w:p>
            <w:pPr>
              <w:pStyle w:val="TableContents"/>
              <w:spacing w:before="0" w:after="0"/>
              <w:rPr/>
            </w:pPr>
            <w:r>
              <w:rPr/>
              <w:t xml:space="preserve">Arthur J. Bruno </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r>
        <w:trPr/>
        <w:tc>
          <w:tcPr>
            <w:tcW w:w="3925" w:type="dxa"/>
            <w:tcBorders/>
            <w:shd w:fill="auto" w:val="clear"/>
          </w:tcPr>
          <w:p>
            <w:pPr>
              <w:pStyle w:val="TableContents"/>
              <w:spacing w:before="0" w:after="0"/>
              <w:ind w:left="0" w:right="0" w:hanging="0"/>
              <w:rPr/>
            </w:pPr>
            <w:r>
              <w:rPr/>
              <w:t>Chief Operating Officer, Chief Financial Officer</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r>
        <w:trPr/>
        <w:tc>
          <w:tcPr>
            <w:tcW w:w="3925" w:type="dxa"/>
            <w:tcBorders/>
            <w:shd w:fill="auto" w:val="clear"/>
          </w:tcPr>
          <w:p>
            <w:pPr>
              <w:pStyle w:val="TableContents"/>
              <w:spacing w:before="0" w:after="0"/>
              <w:ind w:left="0" w:right="0" w:hanging="0"/>
              <w:rPr/>
            </w:pPr>
            <w:r>
              <w:rPr/>
              <w:t>and Corporate Secretary (Principal Financial Officer)</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r>
        <w:trPr/>
        <w:tc>
          <w:tcPr>
            <w:tcW w:w="3925" w:type="dxa"/>
            <w:tcBorders/>
            <w:shd w:fill="auto" w:val="clear"/>
          </w:tcPr>
          <w:p>
            <w:pPr>
              <w:pStyle w:val="TableContents"/>
              <w:spacing w:before="0" w:after="0"/>
              <w:ind w:left="0" w:right="0" w:hanging="0"/>
              <w:rPr/>
            </w:pPr>
            <w:r>
              <w:rPr/>
              <w:t>September 8, 2005</w:t>
            </w:r>
          </w:p>
        </w:tc>
        <w:tc>
          <w:tcPr>
            <w:tcW w:w="260" w:type="dxa"/>
            <w:tcBorders/>
            <w:shd w:fill="auto" w:val="clear"/>
            <w:vAlign w:val="bottom"/>
          </w:tcPr>
          <w:p>
            <w:pPr>
              <w:pStyle w:val="TableContents"/>
              <w:spacing w:before="0" w:after="283"/>
              <w:rPr/>
            </w:pPr>
            <w:r>
              <w:rPr/>
              <w:t> </w:t>
            </w:r>
          </w:p>
        </w:tc>
        <w:tc>
          <w:tcPr>
            <w:tcW w:w="6020" w:type="dxa"/>
            <w:tcBorders/>
            <w:shd w:fill="auto" w:val="clear"/>
          </w:tcPr>
          <w:p>
            <w:pPr>
              <w:pStyle w:val="TableContents"/>
              <w:spacing w:before="0" w:after="283"/>
              <w:jc w:val="left"/>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44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18986</Words>
  <CharactersWithSpaces>122877</CharactersWithSpaces>
  <Paragraphs>7860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