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v06772e10vq.htm"/>
        <w:bookmarkStart w:id="1" w:name="ksv06772e10vq"/>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rPr>
          <w:bdr w:val="single" w:sz="8" w:space="1" w:color="000000"/>
        </w:rPr>
      </w:pPr>
      <w:r>
        <w:rPr>
          <w:bdr w:val="single" w:sz="8" w:space="1" w:color="000000"/>
        </w:rPr>
        <w:t> </w:t>
      </w:r>
    </w:p>
    <w:p>
      <w:pPr>
        <w:pStyle w:val="TextBody"/>
        <w:spacing w:before="0" w:after="0"/>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HorizontalLine"/>
        <w:pBdr>
          <w:bottom w:val="single" w:sz="6" w:space="0" w:color="000000"/>
        </w:pBdr>
        <w:ind w:left="4184" w:right="4184" w:hanging="0"/>
        <w:rPr/>
      </w:pPr>
      <w:r>
        <w:rPr/>
      </w:r>
    </w:p>
    <w:p>
      <w:pPr>
        <w:pStyle w:val="TextBody"/>
        <w:jc w:val="center"/>
        <w:rPr>
          <w:rFonts w:ascii="Times New Roman;Times;serif" w:hAnsi="Times New Roman;Times;serif"/>
          <w:sz w:val="30"/>
        </w:rPr>
      </w:pPr>
      <w:r>
        <w:rPr>
          <w:rFonts w:ascii="Times New Roman;Times;serif" w:hAnsi="Times New Roman;Times;serif"/>
          <w:b/>
          <w:sz w:val="30"/>
        </w:rPr>
        <w:t>FORM 10-Q</w:t>
      </w:r>
      <w:r>
        <w:rPr>
          <w:rFonts w:ascii="Times New Roman;Times;serif" w:hAnsi="Times New Roman;Times;serif"/>
          <w:sz w:val="30"/>
        </w:rPr>
        <w:t xml:space="preserve"> </w:t>
      </w:r>
    </w:p>
    <w:p>
      <w:pPr>
        <w:pStyle w:val="TextBody"/>
        <w:jc w:val="center"/>
        <w:rPr>
          <w:rFonts w:ascii="Times New Roman;Times;serif" w:hAnsi="Times New Roman;Times;serif"/>
          <w:sz w:val="20"/>
        </w:rPr>
      </w:pPr>
      <w:r>
        <w:rPr>
          <w:rFonts w:ascii="Times New Roman;Times;serif" w:hAnsi="Times New Roman;Times;serif"/>
          <w:b/>
          <w:sz w:val="20"/>
        </w:rPr>
        <w:t>[X] QUARTERLY REPORT PURSUANT TO SECTION 13 OR 15(d)</w:t>
        <w:br/>
        <w:t>OF THE SECURITIES EXCHANGE ACT OF 1934</w:t>
      </w:r>
      <w:r>
        <w:rPr>
          <w:rFonts w:ascii="Times New Roman;Times;serif" w:hAnsi="Times New Roman;Times;serif"/>
          <w:sz w:val="20"/>
        </w:rPr>
        <w:t xml:space="preserve"> </w:t>
      </w:r>
    </w:p>
    <w:p>
      <w:pPr>
        <w:pStyle w:val="TextBody"/>
        <w:jc w:val="center"/>
        <w:rPr>
          <w:rFonts w:ascii="Times New Roman;Times;serif" w:hAnsi="Times New Roman;Times;serif"/>
          <w:sz w:val="17"/>
        </w:rPr>
      </w:pPr>
      <w:r>
        <w:rPr>
          <w:rFonts w:ascii="Times New Roman;Times;serif" w:hAnsi="Times New Roman;Times;serif"/>
          <w:b/>
          <w:sz w:val="17"/>
        </w:rPr>
        <w:t>For the quarterly period ended January 31, 2005</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OR</w:t>
      </w:r>
      <w:r>
        <w:rPr>
          <w:rFonts w:ascii="Times New Roman;Times;serif" w:hAnsi="Times New Roman;Times;serif"/>
          <w:sz w:val="17"/>
        </w:rPr>
        <w:t xml:space="preserve"> </w:t>
      </w:r>
    </w:p>
    <w:p>
      <w:pPr>
        <w:pStyle w:val="TextBody"/>
        <w:jc w:val="center"/>
        <w:rPr>
          <w:rFonts w:ascii="Times New Roman;Times;serif" w:hAnsi="Times New Roman;Times;serif"/>
          <w:sz w:val="20"/>
        </w:rPr>
      </w:pPr>
      <w:r>
        <w:rPr>
          <w:rFonts w:ascii="Times New Roman;Times;serif" w:hAnsi="Times New Roman;Times;serif"/>
          <w:b/>
          <w:sz w:val="20"/>
        </w:rPr>
        <w:t>[ ] TRANSITION REPORT PURSUANT TO SECTION 13 OR 15(d)</w:t>
        <w:br/>
        <w:t>OF THE SECURITIES EXCHANGE ACT OF 1934</w:t>
      </w:r>
      <w:r>
        <w:rPr>
          <w:rFonts w:ascii="Times New Roman;Times;serif" w:hAnsi="Times New Roman;Times;serif"/>
          <w:sz w:val="20"/>
        </w:rPr>
        <w:t xml:space="preserve"> </w:t>
      </w:r>
    </w:p>
    <w:p>
      <w:pPr>
        <w:pStyle w:val="TextBody"/>
        <w:jc w:val="center"/>
        <w:rPr>
          <w:rFonts w:ascii="Times New Roman;Times;serif" w:hAnsi="Times New Roman;Times;serif"/>
          <w:sz w:val="17"/>
        </w:rPr>
      </w:pPr>
      <w:r>
        <w:rPr>
          <w:rFonts w:ascii="Times New Roman;Times;serif" w:hAnsi="Times New Roman;Times;serif"/>
          <w:b/>
          <w:sz w:val="17"/>
        </w:rPr>
        <w:t>Commission file number: 000-33385</w:t>
      </w:r>
      <w:r>
        <w:rPr>
          <w:rFonts w:ascii="Times New Roman;Times;serif" w:hAnsi="Times New Roman;Times;serif"/>
          <w:sz w:val="17"/>
        </w:rPr>
        <w:t xml:space="preserve"> </w:t>
      </w:r>
    </w:p>
    <w:p>
      <w:pPr>
        <w:pStyle w:val="TextBody"/>
        <w:spacing w:before="0" w:after="0"/>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283"/>
              <w:jc w:val="center"/>
              <w:rPr/>
            </w:pPr>
            <w:r>
              <w:rPr>
                <w:b/>
              </w:rPr>
              <w:t>California</w:t>
            </w:r>
            <w:r>
              <w:rPr/>
              <w:t xml:space="preserve">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b/>
              </w:rPr>
            </w:pPr>
            <w:r>
              <w:rPr>
                <w:b/>
              </w:rPr>
              <w:t>33-0945304</w:t>
            </w:r>
          </w:p>
        </w:tc>
      </w:tr>
      <w:tr>
        <w:trPr/>
        <w:tc>
          <w:tcPr>
            <w:tcW w:w="4844" w:type="dxa"/>
            <w:tcBorders/>
            <w:shd w:fill="auto" w:val="clear"/>
          </w:tcPr>
          <w:p>
            <w:pPr>
              <w:pStyle w:val="TableContents"/>
              <w:spacing w:before="0" w:after="283"/>
              <w:jc w:val="center"/>
              <w:rPr/>
            </w:pPr>
            <w:r>
              <w:rPr/>
              <w:t xml:space="preserve">(State of incorporation)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(I.R.S. Employer Identification No.)</w:t>
            </w:r>
          </w:p>
        </w:tc>
      </w:tr>
    </w:tbl>
    <w:p>
      <w:pPr>
        <w:pStyle w:val="TextBody"/>
        <w:jc w:val="center"/>
        <w:rPr>
          <w:rFonts w:ascii="Times New Roman;Times;serif" w:hAnsi="Times New Roman;Times;serif"/>
          <w:sz w:val="17"/>
        </w:rPr>
      </w:pPr>
      <w:r>
        <w:rPr>
          <w:rFonts w:ascii="Times New Roman;Times;serif" w:hAnsi="Times New Roman;Times;serif"/>
          <w:b/>
          <w:sz w:val="17"/>
        </w:rPr>
        <w:t>2530 Red Hill Avenue</w:t>
        <w:br/>
        <w:t>Santa Ana, California 92705-5542</w:t>
      </w:r>
      <w:r>
        <w:rPr>
          <w:rFonts w:ascii="Times New Roman;Times;serif" w:hAnsi="Times New Roman;Times;serif"/>
          <w:sz w:val="17"/>
        </w:rPr>
        <w:br/>
        <w:t xml:space="preserve">(Address of principal executive offices) (Zip code) </w:t>
      </w:r>
    </w:p>
    <w:p>
      <w:pPr>
        <w:pStyle w:val="TextBody"/>
        <w:jc w:val="center"/>
        <w:rPr>
          <w:rFonts w:ascii="Times New Roman;Times;serif" w:hAnsi="Times New Roman;Times;serif"/>
          <w:sz w:val="17"/>
        </w:rPr>
      </w:pPr>
      <w:r>
        <w:rPr>
          <w:rFonts w:ascii="Times New Roman;Times;serif" w:hAnsi="Times New Roman;Times;serif"/>
          <w:b/>
          <w:sz w:val="17"/>
        </w:rPr>
        <w:t>(949) 223-1111</w:t>
      </w:r>
      <w:r>
        <w:rPr>
          <w:rFonts w:ascii="Times New Roman;Times;serif" w:hAnsi="Times New Roman;Times;serif"/>
          <w:sz w:val="17"/>
        </w:rPr>
        <w:br/>
        <w:t xml:space="preserve">(Registrants telephone number, including area code) </w:t>
      </w:r>
    </w:p>
    <w:p>
      <w:pPr>
        <w:pStyle w:val="TextBody"/>
        <w:jc w:val="left"/>
        <w:rPr>
          <w:rFonts w:ascii="Times New Roman;Times;serif" w:hAnsi="Times New Roman;Times;serif"/>
          <w:sz w:val="17"/>
        </w:rPr>
      </w:pPr>
      <w:r>
        <w:rPr>
          <w:rFonts w:ascii="Times New Roman;Times;serif" w:hAnsi="Times New Roman;Times;serif"/>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br/>
        <w:t xml:space="preserve">Yes ☑ No </w:t>
      </w:r>
      <w:r>
        <w:rPr>
          <w:rFonts w:ascii="Wingdings" w:hAnsi="Wingdings"/>
          <w:sz w:val="17"/>
        </w:rPr>
        <w:t>o</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sz w:val="17"/>
        </w:rPr>
        <w:t>Indicate by check mark whether the registrant is an accelerated filer (as defined in Rule 12b-2 of the Exchange Act).</w:t>
        <w:br/>
        <w:t xml:space="preserve">Yes ☑ No </w:t>
      </w:r>
      <w:r>
        <w:rPr>
          <w:rFonts w:ascii="Wingdings" w:hAnsi="Wingdings"/>
          <w:sz w:val="17"/>
        </w:rPr>
        <w:t>o</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sz w:val="17"/>
        </w:rPr>
        <w:t xml:space="preserve">Registrants number of shares of common stock outstanding as of January 31, 2005 was 13,506,833. </w:t>
      </w:r>
    </w:p>
    <w:p>
      <w:pPr>
        <w:pStyle w:val="HorizontalLine"/>
        <w:pBdr>
          <w:bottom w:val="single" w:sz="6" w:space="0" w:color="000000"/>
        </w:pBdr>
        <w:ind w:left="3776" w:right="3776" w:hanging="0"/>
        <w:rPr/>
      </w:pPr>
      <w:r>
        <w:rPr/>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center"/>
        <w:rPr>
          <w:rFonts w:ascii="Times New Roman;Times;serif" w:hAnsi="Times New Roman;Times;serif"/>
          <w:sz w:val="17"/>
        </w:rPr>
      </w:pPr>
      <w:r>
        <w:rPr>
          <w:rFonts w:ascii="Times New Roman;Times;serif" w:hAnsi="Times New Roman;Times;serif"/>
          <w:b/>
          <w:sz w:val="17"/>
        </w:rPr>
        <w:t>CAUTIONARY STATEMENT</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This Quarterly Report on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and are subject to the safe harbor created by those sections. Forward-looking statements frequently are identifiable by the use of words such as believe, anticipate, expect, intend, will, and other similar expressions. Our actual results may differ materially from those projected as a result of certain risks and uncertainties. These risks and uncertainties include, but are not limited to: increased competition, conducting substantial amounts of business internationally, pricing pressures on agricultural products, adverse weather and growing conditions confronting avocado growers, new governmental regulations, as well as other risks and uncertainties, including but not limited to those set forth in Part I., Item 1 under the caption Certain Business Risks in our Annual Report on Form 10-K for the fiscal year ended October 31, 2004, and those detailed from time to time in our other filings with the Securities and Exchange Commission. These forward-looking statements are made only as of the date hereof, and we undertake no obligation to update or revise the forward-looking statements, whether as a result of new information, future events, or otherwise.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p>
    <w:p>
      <w:pPr>
        <w:pStyle w:val="TextBody"/>
        <w:jc w:val="center"/>
        <w:rPr>
          <w:rFonts w:ascii="Times New Roman;Times;serif" w:hAnsi="Times New Roman;Times;serif"/>
          <w:sz w:val="17"/>
        </w:rPr>
      </w:pPr>
      <w:bookmarkStart w:id="2" w:name="tocpage"/>
      <w:bookmarkEnd w:id="2"/>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b/>
          <w:sz w:val="17"/>
        </w:rPr>
        <w:t>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991"/>
        <w:gridCol w:w="301"/>
        <w:gridCol w:w="133"/>
        <w:gridCol w:w="641"/>
        <w:gridCol w:w="112"/>
        <w:gridCol w:w="27"/>
      </w:tblGrid>
      <w:tr>
        <w:trPr/>
        <w:tc>
          <w:tcPr>
            <w:tcW w:w="899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77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PAGE</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hyperlink w:anchor="101">
              <w:r>
                <w:rPr>
                  <w:rStyle w:val="InternetLink"/>
                  <w:b/>
                </w:rPr>
                <w:t>PART I. FINANCIAL INFORMATION</w:t>
              </w:r>
            </w:hyperlink>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r>
              <w:rPr/>
              <w:t> </w:t>
            </w:r>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hyperlink w:anchor="102">
              <w:r>
                <w:rPr>
                  <w:rStyle w:val="InternetLink"/>
                </w:rPr>
                <w:t>Item 1. Financial Statements (unaudited):</w:t>
              </w:r>
            </w:hyperlink>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r>
              <w:rPr/>
              <w:t> </w:t>
            </w:r>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450" w:right="0" w:hanging="225"/>
              <w:rPr/>
            </w:pPr>
            <w:hyperlink w:anchor="103">
              <w:r>
                <w:rPr>
                  <w:rStyle w:val="InternetLink"/>
                </w:rPr>
                <w:t>Consolidated Condensed Balance Sheets  January 31, 2005 and October 31, 2004</w:t>
              </w:r>
            </w:hyperlink>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pPr>
            <w:r>
              <w:rPr/>
              <w:t>4</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r>
              <w:rPr/>
              <w:t> </w:t>
            </w:r>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450" w:right="0" w:hanging="225"/>
              <w:rPr/>
            </w:pPr>
            <w:hyperlink w:anchor="104">
              <w:r>
                <w:rPr>
                  <w:rStyle w:val="InternetLink"/>
                </w:rPr>
                <w:t>Consolidated Condensed Statements of Operations  Three Months Ended January 31, 2005 and 2004</w:t>
              </w:r>
            </w:hyperlink>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pPr>
            <w:r>
              <w:rPr/>
              <w:t>5</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r>
              <w:rPr/>
              <w:t> </w:t>
            </w:r>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450" w:right="0" w:hanging="225"/>
              <w:rPr/>
            </w:pPr>
            <w:hyperlink w:anchor="105">
              <w:r>
                <w:rPr>
                  <w:rStyle w:val="InternetLink"/>
                </w:rPr>
                <w:t>Consolidated Condensed Statements of Cash Flows  Three Months Ended January 31, 2005 and 2004</w:t>
              </w:r>
            </w:hyperlink>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pPr>
            <w:r>
              <w:rPr/>
              <w:t>6</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r>
              <w:rPr/>
              <w:t> </w:t>
            </w:r>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450" w:right="0" w:hanging="225"/>
              <w:rPr/>
            </w:pPr>
            <w:hyperlink w:anchor="106">
              <w:r>
                <w:rPr>
                  <w:rStyle w:val="InternetLink"/>
                </w:rPr>
                <w:t>Notes to Consolidated Condensed Financial Statements</w:t>
              </w:r>
            </w:hyperlink>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pPr>
            <w:r>
              <w:rPr/>
              <w:t>7</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r>
              <w:rPr/>
              <w:t> </w:t>
            </w:r>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hyperlink w:anchor="107">
              <w:r>
                <w:rPr>
                  <w:rStyle w:val="InternetLink"/>
                </w:rPr>
                <w:t>Item 2. Managements Discussion and Analysis of Financial Condition and Results of Operations</w:t>
              </w:r>
            </w:hyperlink>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pPr>
            <w:r>
              <w:rPr/>
              <w:t>12</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r>
              <w:rPr/>
              <w:t> </w:t>
            </w:r>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hyperlink w:anchor="108">
              <w:r>
                <w:rPr>
                  <w:rStyle w:val="InternetLink"/>
                </w:rPr>
                <w:t>Item 3. Quantitative and Qualitative Disclosures about Market Risk</w:t>
              </w:r>
            </w:hyperlink>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pPr>
            <w:r>
              <w:rPr/>
              <w:t>18</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r>
              <w:rPr/>
              <w:t> </w:t>
            </w:r>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hyperlink w:anchor="109">
              <w:r>
                <w:rPr>
                  <w:rStyle w:val="InternetLink"/>
                </w:rPr>
                <w:t>Item 4. Controls and Procedures</w:t>
              </w:r>
            </w:hyperlink>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pPr>
            <w:r>
              <w:rPr/>
              <w:t>19</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r>
              <w:rPr/>
              <w:t> </w:t>
            </w:r>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hyperlink w:anchor="110">
              <w:r>
                <w:rPr>
                  <w:rStyle w:val="InternetLink"/>
                  <w:b/>
                </w:rPr>
                <w:t>PART II. OTHER INFORMATION</w:t>
              </w:r>
            </w:hyperlink>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r>
              <w:rPr/>
              <w:t> </w:t>
            </w:r>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hyperlink w:anchor="111">
              <w:r>
                <w:rPr>
                  <w:rStyle w:val="InternetLink"/>
                </w:rPr>
                <w:t>Item 1. Legal Proceedings</w:t>
              </w:r>
            </w:hyperlink>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pPr>
            <w:r>
              <w:rPr/>
              <w:t>20</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r>
              <w:rPr/>
              <w:t> </w:t>
            </w:r>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hyperlink w:anchor="112">
              <w:r>
                <w:rPr>
                  <w:rStyle w:val="InternetLink"/>
                </w:rPr>
                <w:t>Item 6. Exhibits</w:t>
              </w:r>
            </w:hyperlink>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pPr>
            <w:r>
              <w:rPr/>
              <w:t>21</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225" w:right="0" w:hanging="225"/>
              <w:rPr/>
            </w:pPr>
            <w:r>
              <w:rPr/>
              <w:t> </w:t>
            </w:r>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8991" w:type="dxa"/>
            <w:tcBorders/>
            <w:shd w:fill="auto" w:val="clear"/>
            <w:vAlign w:val="bottom"/>
          </w:tcPr>
          <w:p>
            <w:pPr>
              <w:pStyle w:val="TableContents"/>
              <w:spacing w:before="0" w:after="0"/>
              <w:ind w:left="450" w:right="0" w:hanging="225"/>
              <w:rPr/>
            </w:pPr>
            <w:hyperlink w:anchor="113">
              <w:r>
                <w:rPr>
                  <w:rStyle w:val="InternetLink"/>
                </w:rPr>
                <w:t>Signatures</w:t>
              </w:r>
            </w:hyperlink>
          </w:p>
        </w:tc>
        <w:tc>
          <w:tcPr>
            <w:tcW w:w="30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pPr>
            <w:r>
              <w:rPr/>
              <w:t>22</w:t>
            </w:r>
          </w:p>
        </w:tc>
        <w:tc>
          <w:tcPr>
            <w:tcW w:w="112" w:type="dxa"/>
            <w:tcBorders/>
            <w:shd w:fill="auto" w:val="clear"/>
            <w:vAlign w:val="bottom"/>
          </w:tcPr>
          <w:p>
            <w:pPr>
              <w:pStyle w:val="TableContents"/>
              <w:spacing w:before="0" w:after="283"/>
              <w:rPr/>
            </w:pPr>
            <w:r>
              <w:rPr/>
              <w:t> </w:t>
            </w:r>
          </w:p>
        </w:tc>
        <w:tc>
          <w:tcPr>
            <w:tcW w:w="27"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hyperlink w:anchor="v06772exv31w1.htm">
              <w:r>
                <w:rPr>
                  <w:rStyle w:val="InternetLink"/>
                  <w:sz w:val="20"/>
                </w:rPr>
                <w:t>EX-31.1</w:t>
              </w:r>
            </w:hyperlink>
          </w:p>
        </w:tc>
      </w:tr>
      <w:tr>
        <w:trPr/>
        <w:tc>
          <w:tcPr>
            <w:tcW w:w="10205" w:type="dxa"/>
            <w:gridSpan w:val="6"/>
            <w:tcBorders/>
            <w:shd w:fill="auto" w:val="clear"/>
            <w:vAlign w:val="center"/>
          </w:tcPr>
          <w:p>
            <w:pPr>
              <w:pStyle w:val="TableContents"/>
              <w:spacing w:before="0" w:after="283"/>
              <w:rPr/>
            </w:pPr>
            <w:r>
              <w:rPr/>
              <w:t> </w:t>
            </w:r>
            <w:hyperlink w:anchor="v06772exv31w2.htm">
              <w:r>
                <w:rPr>
                  <w:rStyle w:val="InternetLink"/>
                  <w:sz w:val="20"/>
                </w:rPr>
                <w:t>EX-31.2</w:t>
              </w:r>
            </w:hyperlink>
          </w:p>
        </w:tc>
      </w:tr>
      <w:tr>
        <w:trPr/>
        <w:tc>
          <w:tcPr>
            <w:tcW w:w="10205" w:type="dxa"/>
            <w:gridSpan w:val="6"/>
            <w:tcBorders/>
            <w:shd w:fill="auto" w:val="clear"/>
            <w:vAlign w:val="center"/>
          </w:tcPr>
          <w:p>
            <w:pPr>
              <w:pStyle w:val="TableContents"/>
              <w:spacing w:before="0" w:after="283"/>
              <w:rPr/>
            </w:pPr>
            <w:r>
              <w:rPr/>
              <w:t> </w:t>
            </w:r>
            <w:hyperlink w:anchor="v06772exv32w1.htm">
              <w:r>
                <w:rPr>
                  <w:rStyle w:val="InternetLink"/>
                  <w:sz w:val="20"/>
                </w:rPr>
                <w:t>EX-32.1</w:t>
              </w:r>
            </w:hyperlink>
          </w:p>
        </w:tc>
      </w:tr>
      <w:tr>
        <w:trPr/>
        <w:tc>
          <w:tcPr>
            <w:tcW w:w="10205" w:type="dxa"/>
            <w:gridSpan w:val="6"/>
            <w:tcBorders/>
            <w:shd w:fill="auto" w:val="clear"/>
            <w:vAlign w:val="center"/>
          </w:tcPr>
          <w:p>
            <w:pPr>
              <w:pStyle w:val="TableContents"/>
              <w:spacing w:before="0" w:after="283"/>
              <w:rPr/>
            </w:pPr>
            <w:r>
              <w:rPr/>
              <w:t> </w:t>
            </w:r>
            <w:hyperlink w:anchor="v06772exv32w2.htm">
              <w:r>
                <w:rPr>
                  <w:rStyle w:val="InternetLink"/>
                  <w:sz w:val="20"/>
                </w:rPr>
                <w:t>EX-32.2</w:t>
              </w:r>
            </w:hyperlink>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bookmarkStart w:id="3" w:name="101"/>
      <w:bookmarkEnd w:id="3"/>
      <w:r>
        <w:rPr>
          <w:rFonts w:ascii="Times New Roman;Times;serif" w:hAnsi="Times New Roman;Times;serif"/>
          <w:b/>
          <w:sz w:val="17"/>
        </w:rPr>
        <w:t>PART I. FINANCIAL INFORMATION</w:t>
      </w:r>
      <w:r>
        <w:rPr>
          <w:rFonts w:ascii="Times New Roman;Times;serif" w:hAnsi="Times New Roman;Times;serif"/>
          <w:sz w:val="17"/>
        </w:rPr>
        <w:t xml:space="preserve"> </w:t>
      </w:r>
    </w:p>
    <w:p>
      <w:pPr>
        <w:pStyle w:val="TextBody"/>
        <w:jc w:val="left"/>
        <w:rPr>
          <w:rFonts w:ascii="Times New Roman;Times;serif" w:hAnsi="Times New Roman;Times;serif"/>
          <w:sz w:val="17"/>
        </w:rPr>
      </w:pPr>
      <w:bookmarkStart w:id="4" w:name="102"/>
      <w:bookmarkEnd w:id="4"/>
      <w:r>
        <w:rPr>
          <w:rFonts w:ascii="Times New Roman;Times;serif" w:hAnsi="Times New Roman;Times;serif"/>
          <w:b/>
          <w:sz w:val="17"/>
        </w:rPr>
        <w:t>ITEM 1. FINANCIAL STATEMENTS</w:t>
      </w:r>
      <w:r>
        <w:rPr>
          <w:rFonts w:ascii="Times New Roman;Times;serif" w:hAnsi="Times New Roman;Times;serif"/>
          <w:sz w:val="17"/>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5" w:name="103"/>
      <w:bookmarkEnd w:id="5"/>
      <w:r>
        <w:rPr>
          <w:rFonts w:ascii="Times New Roman;Times;serif" w:hAnsi="Times New Roman;Times;serif"/>
          <w:b/>
          <w:sz w:val="17"/>
        </w:rPr>
        <w:t>CONSOLIDATED CONDENSED BALANCE SHEETS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(in thousands, except per share amounts)</w:t>
      </w:r>
    </w:p>
    <w:tbl>
      <w:tblPr>
        <w:tblW w:w="5000" w:type="pct"/>
        <w:jc w:val="center"/>
        <w:tblInd w:w="0" w:type="dxa"/>
        <w:tblCellMar>
          <w:top w:w="0" w:type="dxa"/>
          <w:left w:w="0" w:type="dxa"/>
          <w:bottom w:w="0" w:type="dxa"/>
          <w:right w:w="0" w:type="dxa"/>
        </w:tblCellMar>
      </w:tblPr>
      <w:tblGrid>
        <w:gridCol w:w="6918"/>
        <w:gridCol w:w="267"/>
        <w:gridCol w:w="210"/>
        <w:gridCol w:w="1037"/>
        <w:gridCol w:w="137"/>
        <w:gridCol w:w="267"/>
        <w:gridCol w:w="207"/>
        <w:gridCol w:w="1021"/>
        <w:gridCol w:w="141"/>
      </w:tblGrid>
      <w:tr>
        <w:trPr/>
        <w:tc>
          <w:tcPr>
            <w:tcW w:w="6918"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6918"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247" w:type="dxa"/>
            <w:gridSpan w:val="2"/>
            <w:tcBorders/>
            <w:shd w:fill="auto" w:val="clear"/>
            <w:vAlign w:val="bottom"/>
          </w:tcPr>
          <w:p>
            <w:pPr>
              <w:pStyle w:val="TableContents"/>
              <w:spacing w:before="0" w:after="283"/>
              <w:jc w:val="center"/>
              <w:rPr>
                <w:b/>
              </w:rPr>
            </w:pPr>
            <w:r>
              <w:rPr>
                <w:b/>
              </w:rPr>
              <w:t>January 31,</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jc w:val="center"/>
              <w:rPr>
                <w:b/>
              </w:rPr>
            </w:pPr>
            <w:r>
              <w:rPr>
                <w:b/>
              </w:rPr>
              <w:t>October 31,</w:t>
            </w:r>
          </w:p>
        </w:tc>
        <w:tc>
          <w:tcPr>
            <w:tcW w:w="141" w:type="dxa"/>
            <w:tcBorders/>
            <w:shd w:fill="auto" w:val="clear"/>
            <w:vAlign w:val="bottom"/>
          </w:tcPr>
          <w:p>
            <w:pPr>
              <w:pStyle w:val="TableContents"/>
              <w:spacing w:before="0" w:after="283"/>
              <w:rPr/>
            </w:pPr>
            <w:r>
              <w:rPr/>
              <w:t> </w:t>
            </w:r>
          </w:p>
        </w:tc>
      </w:tr>
      <w:tr>
        <w:trPr/>
        <w:tc>
          <w:tcPr>
            <w:tcW w:w="6918"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24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22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41" w:type="dxa"/>
            <w:tcBorders/>
            <w:shd w:fill="auto" w:val="clear"/>
            <w:vAlign w:val="bottom"/>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225" w:right="0" w:hanging="225"/>
              <w:rPr>
                <w:b/>
              </w:rPr>
            </w:pPr>
            <w:r>
              <w:rPr>
                <w:b/>
              </w:rPr>
              <w:t>Assets</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r>
      <w:tr>
        <w:trPr/>
        <w:tc>
          <w:tcPr>
            <w:tcW w:w="6918" w:type="dxa"/>
            <w:tcBorders/>
            <w:shd w:fill="auto" w:val="clear"/>
            <w:vAlign w:val="bottom"/>
          </w:tcPr>
          <w:p>
            <w:pPr>
              <w:pStyle w:val="TableContents"/>
              <w:spacing w:before="0" w:after="0"/>
              <w:ind w:left="225" w:right="0" w:hanging="225"/>
              <w:rPr/>
            </w:pPr>
            <w:r>
              <w:rPr/>
              <w:t>Current assets:</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450" w:right="0" w:hanging="225"/>
              <w:rPr/>
            </w:pPr>
            <w:r>
              <w:rPr/>
              <w:t>Cash and cash equivalents</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7" w:type="dxa"/>
            <w:tcBorders/>
            <w:shd w:fill="CCEEFF" w:val="clear"/>
            <w:vAlign w:val="bottom"/>
          </w:tcPr>
          <w:p>
            <w:pPr>
              <w:pStyle w:val="TableContents"/>
              <w:spacing w:before="0" w:after="283"/>
              <w:jc w:val="right"/>
              <w:rPr/>
            </w:pPr>
            <w:r>
              <w:rPr/>
              <w:t>511</w:t>
            </w:r>
          </w:p>
        </w:tc>
        <w:tc>
          <w:tcPr>
            <w:tcW w:w="137"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021" w:type="dxa"/>
            <w:tcBorders/>
            <w:shd w:fill="CCEEFF" w:val="clear"/>
            <w:vAlign w:val="bottom"/>
          </w:tcPr>
          <w:p>
            <w:pPr>
              <w:pStyle w:val="TableContents"/>
              <w:spacing w:before="0" w:after="283"/>
              <w:jc w:val="right"/>
              <w:rPr/>
            </w:pPr>
            <w:r>
              <w:rPr/>
              <w:t>636</w:t>
            </w:r>
          </w:p>
        </w:tc>
        <w:tc>
          <w:tcPr>
            <w:tcW w:w="141" w:type="dxa"/>
            <w:tcBorders/>
            <w:shd w:fill="CCEEFF" w:val="clear"/>
            <w:vAlign w:val="bottom"/>
          </w:tcPr>
          <w:p>
            <w:pPr>
              <w:pStyle w:val="TableContents"/>
              <w:spacing w:before="0" w:after="283"/>
              <w:rPr/>
            </w:pPr>
            <w:r>
              <w:rPr/>
              <w:t> </w:t>
            </w:r>
          </w:p>
        </w:tc>
      </w:tr>
      <w:tr>
        <w:trPr/>
        <w:tc>
          <w:tcPr>
            <w:tcW w:w="6918" w:type="dxa"/>
            <w:tcBorders/>
            <w:shd w:fill="auto" w:val="clear"/>
            <w:vAlign w:val="bottom"/>
          </w:tcPr>
          <w:p>
            <w:pPr>
              <w:pStyle w:val="TableContents"/>
              <w:spacing w:before="0" w:after="0"/>
              <w:ind w:left="450" w:right="0" w:hanging="225"/>
              <w:rPr/>
            </w:pPr>
            <w:r>
              <w:rPr/>
              <w:t>Accounts receivable, net of allowances of $1,228 (2005) and $1,087 (2004)</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18,728</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21,131</w:t>
            </w:r>
          </w:p>
        </w:tc>
        <w:tc>
          <w:tcPr>
            <w:tcW w:w="141" w:type="dxa"/>
            <w:tcBorders/>
            <w:shd w:fill="auto" w:val="clear"/>
            <w:vAlign w:val="bottom"/>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450" w:right="0" w:hanging="225"/>
              <w:rPr/>
            </w:pPr>
            <w:r>
              <w:rPr/>
              <w:t>Inventories, net</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11,273</w:t>
            </w:r>
          </w:p>
        </w:tc>
        <w:tc>
          <w:tcPr>
            <w:tcW w:w="137"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11,375</w:t>
            </w:r>
          </w:p>
        </w:tc>
        <w:tc>
          <w:tcPr>
            <w:tcW w:w="141" w:type="dxa"/>
            <w:tcBorders/>
            <w:shd w:fill="CCEEFF" w:val="clear"/>
            <w:vAlign w:val="bottom"/>
          </w:tcPr>
          <w:p>
            <w:pPr>
              <w:pStyle w:val="TableContents"/>
              <w:spacing w:before="0" w:after="283"/>
              <w:rPr/>
            </w:pPr>
            <w:r>
              <w:rPr/>
              <w:t> </w:t>
            </w:r>
          </w:p>
        </w:tc>
      </w:tr>
      <w:tr>
        <w:trPr/>
        <w:tc>
          <w:tcPr>
            <w:tcW w:w="6918" w:type="dxa"/>
            <w:tcBorders/>
            <w:shd w:fill="auto" w:val="clear"/>
            <w:vAlign w:val="bottom"/>
          </w:tcPr>
          <w:p>
            <w:pPr>
              <w:pStyle w:val="TableContents"/>
              <w:spacing w:before="0" w:after="0"/>
              <w:ind w:left="450" w:right="0" w:hanging="225"/>
              <w:rPr/>
            </w:pPr>
            <w:r>
              <w:rPr/>
              <w:t>Prepaid expenses and other current assets</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4,757</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4,598</w:t>
            </w:r>
          </w:p>
        </w:tc>
        <w:tc>
          <w:tcPr>
            <w:tcW w:w="141" w:type="dxa"/>
            <w:tcBorders/>
            <w:shd w:fill="auto" w:val="clear"/>
            <w:vAlign w:val="bottom"/>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450" w:right="0" w:hanging="225"/>
              <w:rPr/>
            </w:pPr>
            <w:r>
              <w:rPr/>
              <w:t>Loans to growers</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246</w:t>
            </w:r>
          </w:p>
        </w:tc>
        <w:tc>
          <w:tcPr>
            <w:tcW w:w="137"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209</w:t>
            </w:r>
          </w:p>
        </w:tc>
        <w:tc>
          <w:tcPr>
            <w:tcW w:w="141" w:type="dxa"/>
            <w:tcBorders/>
            <w:shd w:fill="CCEEFF" w:val="clear"/>
            <w:vAlign w:val="bottom"/>
          </w:tcPr>
          <w:p>
            <w:pPr>
              <w:pStyle w:val="TableContents"/>
              <w:spacing w:before="0" w:after="283"/>
              <w:rPr/>
            </w:pPr>
            <w:r>
              <w:rPr/>
              <w:t> </w:t>
            </w:r>
          </w:p>
        </w:tc>
      </w:tr>
      <w:tr>
        <w:trPr/>
        <w:tc>
          <w:tcPr>
            <w:tcW w:w="6918" w:type="dxa"/>
            <w:tcBorders/>
            <w:shd w:fill="auto" w:val="clear"/>
            <w:vAlign w:val="bottom"/>
          </w:tcPr>
          <w:p>
            <w:pPr>
              <w:pStyle w:val="TableContents"/>
              <w:spacing w:before="0" w:after="0"/>
              <w:ind w:left="450" w:right="0" w:hanging="225"/>
              <w:rPr/>
            </w:pPr>
            <w:r>
              <w:rPr/>
              <w:t>Advances to suppliers</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248</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2,413</w:t>
            </w:r>
          </w:p>
        </w:tc>
        <w:tc>
          <w:tcPr>
            <w:tcW w:w="141" w:type="dxa"/>
            <w:tcBorders/>
            <w:shd w:fill="auto" w:val="clear"/>
            <w:vAlign w:val="bottom"/>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450" w:right="0" w:hanging="225"/>
              <w:rPr/>
            </w:pPr>
            <w:r>
              <w:rPr/>
              <w:t>Income taxes receivable</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1,699</w:t>
            </w:r>
          </w:p>
        </w:tc>
        <w:tc>
          <w:tcPr>
            <w:tcW w:w="137"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803</w:t>
            </w:r>
          </w:p>
        </w:tc>
        <w:tc>
          <w:tcPr>
            <w:tcW w:w="141" w:type="dxa"/>
            <w:tcBorders/>
            <w:shd w:fill="CCEEFF" w:val="clear"/>
            <w:vAlign w:val="bottom"/>
          </w:tcPr>
          <w:p>
            <w:pPr>
              <w:pStyle w:val="TableContents"/>
              <w:spacing w:before="0" w:after="283"/>
              <w:rPr/>
            </w:pPr>
            <w:r>
              <w:rPr/>
              <w:t> </w:t>
            </w:r>
          </w:p>
        </w:tc>
      </w:tr>
      <w:tr>
        <w:trPr/>
        <w:tc>
          <w:tcPr>
            <w:tcW w:w="6918" w:type="dxa"/>
            <w:tcBorders/>
            <w:shd w:fill="auto" w:val="clear"/>
            <w:vAlign w:val="bottom"/>
          </w:tcPr>
          <w:p>
            <w:pPr>
              <w:pStyle w:val="TableContents"/>
              <w:spacing w:before="0" w:after="0"/>
              <w:ind w:left="450" w:right="0" w:hanging="225"/>
              <w:rPr/>
            </w:pPr>
            <w:r>
              <w:rPr/>
              <w:t>Deferred income taxes</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1,775</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1,775</w:t>
            </w:r>
          </w:p>
        </w:tc>
        <w:tc>
          <w:tcPr>
            <w:tcW w:w="141" w:type="dxa"/>
            <w:tcBorders/>
            <w:shd w:fill="auto" w:val="clear"/>
            <w:vAlign w:val="bottom"/>
          </w:tcPr>
          <w:p>
            <w:pPr>
              <w:pStyle w:val="TableContents"/>
              <w:spacing w:before="0" w:after="283"/>
              <w:rPr/>
            </w:pPr>
            <w:r>
              <w:rPr/>
              <w:t> </w:t>
            </w:r>
          </w:p>
        </w:tc>
      </w:tr>
      <w:tr>
        <w:trPr/>
        <w:tc>
          <w:tcPr>
            <w:tcW w:w="6918" w:type="dxa"/>
            <w:tcBorders/>
            <w:shd w:fill="auto" w:val="clear"/>
            <w:vAlign w:val="center"/>
          </w:tcPr>
          <w:p>
            <w:pPr>
              <w:pStyle w:val="TableContents"/>
              <w:spacing w:before="0" w:after="0"/>
              <w:ind w:left="225" w:right="0" w:hanging="225"/>
              <w:rPr/>
            </w:pPr>
            <w:r>
              <w:rPr/>
              <w:t> </w:t>
            </w:r>
          </w:p>
        </w:tc>
        <w:tc>
          <w:tcPr>
            <w:tcW w:w="267"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675" w:right="0" w:hanging="225"/>
              <w:rPr/>
            </w:pPr>
            <w:r>
              <w:rPr/>
              <w:t>Total current assets</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39,237</w:t>
            </w:r>
          </w:p>
        </w:tc>
        <w:tc>
          <w:tcPr>
            <w:tcW w:w="137"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42,940</w:t>
            </w:r>
          </w:p>
        </w:tc>
        <w:tc>
          <w:tcPr>
            <w:tcW w:w="141" w:type="dxa"/>
            <w:tcBorders/>
            <w:shd w:fill="CCEEFF" w:val="clear"/>
            <w:vAlign w:val="bottom"/>
          </w:tcPr>
          <w:p>
            <w:pPr>
              <w:pStyle w:val="TableContents"/>
              <w:spacing w:before="0" w:after="283"/>
              <w:rPr/>
            </w:pPr>
            <w:r>
              <w:rPr/>
              <w:t> </w:t>
            </w:r>
          </w:p>
        </w:tc>
      </w:tr>
      <w:tr>
        <w:trPr/>
        <w:tc>
          <w:tcPr>
            <w:tcW w:w="6918" w:type="dxa"/>
            <w:tcBorders/>
            <w:shd w:fill="auto" w:val="clear"/>
            <w:vAlign w:val="bottom"/>
          </w:tcPr>
          <w:p>
            <w:pPr>
              <w:pStyle w:val="TableContents"/>
              <w:spacing w:before="0" w:after="0"/>
              <w:ind w:left="225" w:right="0" w:hanging="225"/>
              <w:rPr/>
            </w:pPr>
            <w:r>
              <w:rPr/>
              <w:t>Property, plant, and equipment, net</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17,365</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17,427</w:t>
            </w:r>
          </w:p>
        </w:tc>
        <w:tc>
          <w:tcPr>
            <w:tcW w:w="141" w:type="dxa"/>
            <w:tcBorders/>
            <w:shd w:fill="auto" w:val="clear"/>
            <w:vAlign w:val="bottom"/>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225" w:right="0" w:hanging="225"/>
              <w:rPr/>
            </w:pPr>
            <w:r>
              <w:rPr/>
              <w:t>Building held for sale</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1,658</w:t>
            </w:r>
          </w:p>
        </w:tc>
        <w:tc>
          <w:tcPr>
            <w:tcW w:w="137"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1,658</w:t>
            </w:r>
          </w:p>
        </w:tc>
        <w:tc>
          <w:tcPr>
            <w:tcW w:w="141" w:type="dxa"/>
            <w:tcBorders/>
            <w:shd w:fill="CCEEFF" w:val="clear"/>
            <w:vAlign w:val="bottom"/>
          </w:tcPr>
          <w:p>
            <w:pPr>
              <w:pStyle w:val="TableContents"/>
              <w:spacing w:before="0" w:after="283"/>
              <w:rPr/>
            </w:pPr>
            <w:r>
              <w:rPr/>
              <w:t> </w:t>
            </w:r>
          </w:p>
        </w:tc>
      </w:tr>
      <w:tr>
        <w:trPr/>
        <w:tc>
          <w:tcPr>
            <w:tcW w:w="6918" w:type="dxa"/>
            <w:tcBorders/>
            <w:shd w:fill="auto" w:val="clear"/>
            <w:vAlign w:val="bottom"/>
          </w:tcPr>
          <w:p>
            <w:pPr>
              <w:pStyle w:val="TableContents"/>
              <w:spacing w:before="0" w:after="0"/>
              <w:ind w:left="225" w:right="0" w:hanging="225"/>
              <w:rPr/>
            </w:pPr>
            <w:r>
              <w:rPr/>
              <w:t>Goodwill</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3,591</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3,591</w:t>
            </w:r>
          </w:p>
        </w:tc>
        <w:tc>
          <w:tcPr>
            <w:tcW w:w="141" w:type="dxa"/>
            <w:tcBorders/>
            <w:shd w:fill="auto" w:val="clear"/>
            <w:vAlign w:val="bottom"/>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225" w:right="0" w:hanging="225"/>
              <w:rPr/>
            </w:pPr>
            <w:r>
              <w:rPr/>
              <w:t>Other assets</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1,589</w:t>
            </w:r>
          </w:p>
        </w:tc>
        <w:tc>
          <w:tcPr>
            <w:tcW w:w="137"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1,782</w:t>
            </w:r>
          </w:p>
        </w:tc>
        <w:tc>
          <w:tcPr>
            <w:tcW w:w="141" w:type="dxa"/>
            <w:tcBorders/>
            <w:shd w:fill="CCEEFF" w:val="clear"/>
            <w:vAlign w:val="bottom"/>
          </w:tcPr>
          <w:p>
            <w:pPr>
              <w:pStyle w:val="TableContents"/>
              <w:spacing w:before="0" w:after="283"/>
              <w:rPr/>
            </w:pPr>
            <w:r>
              <w:rPr/>
              <w:t> </w:t>
            </w:r>
          </w:p>
        </w:tc>
      </w:tr>
      <w:tr>
        <w:trPr/>
        <w:tc>
          <w:tcPr>
            <w:tcW w:w="6918" w:type="dxa"/>
            <w:tcBorders/>
            <w:shd w:fill="auto" w:val="clear"/>
            <w:vAlign w:val="center"/>
          </w:tcPr>
          <w:p>
            <w:pPr>
              <w:pStyle w:val="TableContents"/>
              <w:spacing w:before="0" w:after="0"/>
              <w:ind w:left="225" w:right="0" w:hanging="225"/>
              <w:rPr/>
            </w:pPr>
            <w:r>
              <w:rPr/>
              <w:t> </w:t>
            </w:r>
          </w:p>
        </w:tc>
        <w:tc>
          <w:tcPr>
            <w:tcW w:w="267"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6918" w:type="dxa"/>
            <w:tcBorders/>
            <w:shd w:fill="auto" w:val="clear"/>
            <w:vAlign w:val="bottom"/>
          </w:tcPr>
          <w:p>
            <w:pPr>
              <w:pStyle w:val="TableContents"/>
              <w:spacing w:before="0" w:after="0"/>
              <w:ind w:left="225" w:right="0" w:hanging="225"/>
              <w:rPr/>
            </w:pPr>
            <w:r>
              <w:rPr/>
              <w:t> </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7" w:type="dxa"/>
            <w:tcBorders/>
            <w:shd w:fill="auto" w:val="clear"/>
            <w:vAlign w:val="bottom"/>
          </w:tcPr>
          <w:p>
            <w:pPr>
              <w:pStyle w:val="TableContents"/>
              <w:spacing w:before="0" w:after="283"/>
              <w:jc w:val="right"/>
              <w:rPr/>
            </w:pPr>
            <w:r>
              <w:rPr/>
              <w:t>63,440</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021" w:type="dxa"/>
            <w:tcBorders/>
            <w:shd w:fill="auto" w:val="clear"/>
            <w:vAlign w:val="bottom"/>
          </w:tcPr>
          <w:p>
            <w:pPr>
              <w:pStyle w:val="TableContents"/>
              <w:spacing w:before="0" w:after="283"/>
              <w:jc w:val="right"/>
              <w:rPr/>
            </w:pPr>
            <w:r>
              <w:rPr/>
              <w:t>67,398</w:t>
            </w:r>
          </w:p>
        </w:tc>
        <w:tc>
          <w:tcPr>
            <w:tcW w:w="141" w:type="dxa"/>
            <w:tcBorders/>
            <w:shd w:fill="auto" w:val="clear"/>
            <w:vAlign w:val="bottom"/>
          </w:tcPr>
          <w:p>
            <w:pPr>
              <w:pStyle w:val="TableContents"/>
              <w:spacing w:before="0" w:after="283"/>
              <w:rPr/>
            </w:pPr>
            <w:r>
              <w:rPr/>
              <w:t> </w:t>
            </w:r>
          </w:p>
        </w:tc>
      </w:tr>
      <w:tr>
        <w:trPr/>
        <w:tc>
          <w:tcPr>
            <w:tcW w:w="6918" w:type="dxa"/>
            <w:tcBorders/>
            <w:shd w:fill="auto" w:val="clear"/>
            <w:vAlign w:val="center"/>
          </w:tcPr>
          <w:p>
            <w:pPr>
              <w:pStyle w:val="TableContents"/>
              <w:spacing w:before="0" w:after="0"/>
              <w:ind w:left="225" w:right="0" w:hanging="225"/>
              <w:rPr/>
            </w:pPr>
            <w:r>
              <w:rPr/>
              <w:t> </w:t>
            </w:r>
          </w:p>
        </w:tc>
        <w:tc>
          <w:tcPr>
            <w:tcW w:w="267" w:type="dxa"/>
            <w:tcBorders/>
            <w:shd w:fill="auto" w:val="clear"/>
            <w:vAlign w:val="center"/>
          </w:tcPr>
          <w:p>
            <w:pPr>
              <w:pStyle w:val="TableContents"/>
              <w:spacing w:before="0" w:after="283"/>
              <w:rPr/>
            </w:pPr>
            <w:r>
              <w:rPr/>
              <w:t> </w:t>
            </w:r>
          </w:p>
        </w:tc>
        <w:tc>
          <w:tcPr>
            <w:tcW w:w="12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6918" w:type="dxa"/>
            <w:tcBorders/>
            <w:shd w:fill="auto" w:val="clear"/>
            <w:vAlign w:val="bottom"/>
          </w:tcPr>
          <w:p>
            <w:pPr>
              <w:pStyle w:val="TableContents"/>
              <w:spacing w:before="0" w:after="0"/>
              <w:ind w:left="225" w:right="0" w:hanging="225"/>
              <w:rPr/>
            </w:pPr>
            <w:r>
              <w:rPr/>
              <w:t> </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225" w:right="0" w:hanging="225"/>
              <w:rPr>
                <w:b/>
              </w:rPr>
            </w:pPr>
            <w:r>
              <w:rPr>
                <w:b/>
              </w:rPr>
              <w:t>Liabilities and shareholders equity</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r>
      <w:tr>
        <w:trPr/>
        <w:tc>
          <w:tcPr>
            <w:tcW w:w="6918" w:type="dxa"/>
            <w:tcBorders/>
            <w:shd w:fill="auto" w:val="clear"/>
            <w:vAlign w:val="bottom"/>
          </w:tcPr>
          <w:p>
            <w:pPr>
              <w:pStyle w:val="TableContents"/>
              <w:spacing w:before="0" w:after="0"/>
              <w:ind w:left="225" w:right="0" w:hanging="225"/>
              <w:rPr/>
            </w:pPr>
            <w:r>
              <w:rPr/>
              <w:t>Current liabilities:</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450" w:right="0" w:hanging="225"/>
              <w:rPr/>
            </w:pPr>
            <w:r>
              <w:rPr/>
              <w:t>Payable to growers</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7" w:type="dxa"/>
            <w:tcBorders/>
            <w:shd w:fill="CCEEFF" w:val="clear"/>
            <w:vAlign w:val="bottom"/>
          </w:tcPr>
          <w:p>
            <w:pPr>
              <w:pStyle w:val="TableContents"/>
              <w:spacing w:before="0" w:after="283"/>
              <w:jc w:val="right"/>
              <w:rPr/>
            </w:pPr>
            <w:r>
              <w:rPr/>
              <w:t>2,784</w:t>
            </w:r>
          </w:p>
        </w:tc>
        <w:tc>
          <w:tcPr>
            <w:tcW w:w="137"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1021" w:type="dxa"/>
            <w:tcBorders/>
            <w:shd w:fill="CCEEFF" w:val="clear"/>
            <w:vAlign w:val="bottom"/>
          </w:tcPr>
          <w:p>
            <w:pPr>
              <w:pStyle w:val="TableContents"/>
              <w:spacing w:before="0" w:after="283"/>
              <w:jc w:val="right"/>
              <w:rPr/>
            </w:pPr>
            <w:r>
              <w:rPr/>
              <w:t>5,789</w:t>
            </w:r>
          </w:p>
        </w:tc>
        <w:tc>
          <w:tcPr>
            <w:tcW w:w="141" w:type="dxa"/>
            <w:tcBorders/>
            <w:shd w:fill="CCEEFF" w:val="clear"/>
            <w:vAlign w:val="bottom"/>
          </w:tcPr>
          <w:p>
            <w:pPr>
              <w:pStyle w:val="TableContents"/>
              <w:spacing w:before="0" w:after="283"/>
              <w:rPr/>
            </w:pPr>
            <w:r>
              <w:rPr/>
              <w:t> </w:t>
            </w:r>
          </w:p>
        </w:tc>
      </w:tr>
      <w:tr>
        <w:trPr/>
        <w:tc>
          <w:tcPr>
            <w:tcW w:w="6918" w:type="dxa"/>
            <w:tcBorders/>
            <w:shd w:fill="auto" w:val="clear"/>
            <w:vAlign w:val="bottom"/>
          </w:tcPr>
          <w:p>
            <w:pPr>
              <w:pStyle w:val="TableContents"/>
              <w:spacing w:before="0" w:after="0"/>
              <w:ind w:left="450" w:right="0" w:hanging="225"/>
              <w:rPr/>
            </w:pPr>
            <w:r>
              <w:rPr/>
              <w:t>Trade accounts payable</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2,245</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2,490</w:t>
            </w:r>
          </w:p>
        </w:tc>
        <w:tc>
          <w:tcPr>
            <w:tcW w:w="141" w:type="dxa"/>
            <w:tcBorders/>
            <w:shd w:fill="auto" w:val="clear"/>
            <w:vAlign w:val="bottom"/>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450" w:right="0" w:hanging="225"/>
              <w:rPr/>
            </w:pPr>
            <w:r>
              <w:rPr/>
              <w:t>Accrued expenses</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12,127</w:t>
            </w:r>
          </w:p>
        </w:tc>
        <w:tc>
          <w:tcPr>
            <w:tcW w:w="137"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8,234</w:t>
            </w:r>
          </w:p>
        </w:tc>
        <w:tc>
          <w:tcPr>
            <w:tcW w:w="141" w:type="dxa"/>
            <w:tcBorders/>
            <w:shd w:fill="CCEEFF" w:val="clear"/>
            <w:vAlign w:val="bottom"/>
          </w:tcPr>
          <w:p>
            <w:pPr>
              <w:pStyle w:val="TableContents"/>
              <w:spacing w:before="0" w:after="283"/>
              <w:rPr/>
            </w:pPr>
            <w:r>
              <w:rPr/>
              <w:t> </w:t>
            </w:r>
          </w:p>
        </w:tc>
      </w:tr>
      <w:tr>
        <w:trPr/>
        <w:tc>
          <w:tcPr>
            <w:tcW w:w="6918" w:type="dxa"/>
            <w:tcBorders/>
            <w:shd w:fill="auto" w:val="clear"/>
            <w:vAlign w:val="bottom"/>
          </w:tcPr>
          <w:p>
            <w:pPr>
              <w:pStyle w:val="TableContents"/>
              <w:spacing w:before="0" w:after="0"/>
              <w:ind w:left="450" w:right="0" w:hanging="225"/>
              <w:rPr/>
            </w:pPr>
            <w:r>
              <w:rPr/>
              <w:t>Short-term borrowings</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3,000</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2,000</w:t>
            </w:r>
          </w:p>
        </w:tc>
        <w:tc>
          <w:tcPr>
            <w:tcW w:w="141" w:type="dxa"/>
            <w:tcBorders/>
            <w:shd w:fill="auto" w:val="clear"/>
            <w:vAlign w:val="bottom"/>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450" w:right="0" w:hanging="225"/>
              <w:rPr/>
            </w:pPr>
            <w:r>
              <w:rPr/>
              <w:t>Dividend payable</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4,052</w:t>
            </w:r>
          </w:p>
        </w:tc>
        <w:tc>
          <w:tcPr>
            <w:tcW w:w="141" w:type="dxa"/>
            <w:tcBorders/>
            <w:shd w:fill="CCEEFF" w:val="clear"/>
            <w:vAlign w:val="bottom"/>
          </w:tcPr>
          <w:p>
            <w:pPr>
              <w:pStyle w:val="TableContents"/>
              <w:spacing w:before="0" w:after="283"/>
              <w:rPr/>
            </w:pPr>
            <w:r>
              <w:rPr/>
              <w:t> </w:t>
            </w:r>
          </w:p>
        </w:tc>
      </w:tr>
      <w:tr>
        <w:trPr/>
        <w:tc>
          <w:tcPr>
            <w:tcW w:w="6918" w:type="dxa"/>
            <w:tcBorders/>
            <w:shd w:fill="auto" w:val="clear"/>
            <w:vAlign w:val="bottom"/>
          </w:tcPr>
          <w:p>
            <w:pPr>
              <w:pStyle w:val="TableContents"/>
              <w:spacing w:before="0" w:after="0"/>
              <w:ind w:left="450" w:right="0" w:hanging="225"/>
              <w:rPr/>
            </w:pPr>
            <w:r>
              <w:rPr/>
              <w:t>Current portion of long-term obligations</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21</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22</w:t>
            </w:r>
          </w:p>
        </w:tc>
        <w:tc>
          <w:tcPr>
            <w:tcW w:w="141" w:type="dxa"/>
            <w:tcBorders/>
            <w:shd w:fill="auto" w:val="clear"/>
            <w:vAlign w:val="bottom"/>
          </w:tcPr>
          <w:p>
            <w:pPr>
              <w:pStyle w:val="TableContents"/>
              <w:spacing w:before="0" w:after="283"/>
              <w:rPr/>
            </w:pPr>
            <w:r>
              <w:rPr/>
              <w:t> </w:t>
            </w:r>
          </w:p>
        </w:tc>
      </w:tr>
      <w:tr>
        <w:trPr/>
        <w:tc>
          <w:tcPr>
            <w:tcW w:w="6918" w:type="dxa"/>
            <w:tcBorders/>
            <w:shd w:fill="auto" w:val="clear"/>
            <w:vAlign w:val="center"/>
          </w:tcPr>
          <w:p>
            <w:pPr>
              <w:pStyle w:val="TableContents"/>
              <w:spacing w:before="0" w:after="0"/>
              <w:ind w:left="225" w:right="0" w:hanging="225"/>
              <w:rPr/>
            </w:pPr>
            <w:r>
              <w:rPr/>
              <w:t> </w:t>
            </w:r>
          </w:p>
        </w:tc>
        <w:tc>
          <w:tcPr>
            <w:tcW w:w="267"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675" w:right="0" w:hanging="225"/>
              <w:rPr/>
            </w:pPr>
            <w:r>
              <w:rPr/>
              <w:t>Total current liabilities</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20,177</w:t>
            </w:r>
          </w:p>
        </w:tc>
        <w:tc>
          <w:tcPr>
            <w:tcW w:w="137"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22,587</w:t>
            </w:r>
          </w:p>
        </w:tc>
        <w:tc>
          <w:tcPr>
            <w:tcW w:w="141" w:type="dxa"/>
            <w:tcBorders/>
            <w:shd w:fill="CCEEFF" w:val="clear"/>
            <w:vAlign w:val="bottom"/>
          </w:tcPr>
          <w:p>
            <w:pPr>
              <w:pStyle w:val="TableContents"/>
              <w:spacing w:before="0" w:after="283"/>
              <w:rPr/>
            </w:pPr>
            <w:r>
              <w:rPr/>
              <w:t> </w:t>
            </w:r>
          </w:p>
        </w:tc>
      </w:tr>
      <w:tr>
        <w:trPr/>
        <w:tc>
          <w:tcPr>
            <w:tcW w:w="6918" w:type="dxa"/>
            <w:tcBorders/>
            <w:shd w:fill="auto" w:val="clear"/>
            <w:vAlign w:val="bottom"/>
          </w:tcPr>
          <w:p>
            <w:pPr>
              <w:pStyle w:val="TableContents"/>
              <w:spacing w:before="0" w:after="0"/>
              <w:ind w:left="225" w:right="0" w:hanging="225"/>
              <w:rPr/>
            </w:pPr>
            <w:r>
              <w:rPr/>
              <w:t>Long-term liabilities:</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450" w:right="0" w:hanging="225"/>
              <w:rPr/>
            </w:pPr>
            <w:r>
              <w:rPr/>
              <w:t>Long-term obligations, less current portion</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20</w:t>
            </w:r>
          </w:p>
        </w:tc>
        <w:tc>
          <w:tcPr>
            <w:tcW w:w="137"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34</w:t>
            </w:r>
          </w:p>
        </w:tc>
        <w:tc>
          <w:tcPr>
            <w:tcW w:w="141" w:type="dxa"/>
            <w:tcBorders/>
            <w:shd w:fill="CCEEFF" w:val="clear"/>
            <w:vAlign w:val="bottom"/>
          </w:tcPr>
          <w:p>
            <w:pPr>
              <w:pStyle w:val="TableContents"/>
              <w:spacing w:before="0" w:after="283"/>
              <w:rPr/>
            </w:pPr>
            <w:r>
              <w:rPr/>
              <w:t> </w:t>
            </w:r>
          </w:p>
        </w:tc>
      </w:tr>
      <w:tr>
        <w:trPr/>
        <w:tc>
          <w:tcPr>
            <w:tcW w:w="6918" w:type="dxa"/>
            <w:tcBorders/>
            <w:shd w:fill="auto" w:val="clear"/>
            <w:vAlign w:val="bottom"/>
          </w:tcPr>
          <w:p>
            <w:pPr>
              <w:pStyle w:val="TableContents"/>
              <w:spacing w:before="0" w:after="0"/>
              <w:ind w:left="450" w:right="0" w:hanging="225"/>
              <w:rPr/>
            </w:pPr>
            <w:r>
              <w:rPr/>
              <w:t>Deferred income taxes</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840</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840</w:t>
            </w:r>
          </w:p>
        </w:tc>
        <w:tc>
          <w:tcPr>
            <w:tcW w:w="141" w:type="dxa"/>
            <w:tcBorders/>
            <w:shd w:fill="auto" w:val="clear"/>
            <w:vAlign w:val="bottom"/>
          </w:tcPr>
          <w:p>
            <w:pPr>
              <w:pStyle w:val="TableContents"/>
              <w:spacing w:before="0" w:after="283"/>
              <w:rPr/>
            </w:pPr>
            <w:r>
              <w:rPr/>
              <w:t> </w:t>
            </w:r>
          </w:p>
        </w:tc>
      </w:tr>
      <w:tr>
        <w:trPr/>
        <w:tc>
          <w:tcPr>
            <w:tcW w:w="6918" w:type="dxa"/>
            <w:tcBorders/>
            <w:shd w:fill="auto" w:val="clear"/>
            <w:vAlign w:val="center"/>
          </w:tcPr>
          <w:p>
            <w:pPr>
              <w:pStyle w:val="TableContents"/>
              <w:spacing w:before="0" w:after="0"/>
              <w:ind w:left="225" w:right="0" w:hanging="225"/>
              <w:rPr/>
            </w:pPr>
            <w:r>
              <w:rPr/>
              <w:t> </w:t>
            </w:r>
          </w:p>
        </w:tc>
        <w:tc>
          <w:tcPr>
            <w:tcW w:w="267"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675" w:right="0" w:hanging="225"/>
              <w:rPr/>
            </w:pPr>
            <w:r>
              <w:rPr/>
              <w:t>Total long-term liabilities</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860</w:t>
            </w:r>
          </w:p>
        </w:tc>
        <w:tc>
          <w:tcPr>
            <w:tcW w:w="137"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874</w:t>
            </w:r>
          </w:p>
        </w:tc>
        <w:tc>
          <w:tcPr>
            <w:tcW w:w="141" w:type="dxa"/>
            <w:tcBorders/>
            <w:shd w:fill="CCEEFF" w:val="clear"/>
            <w:vAlign w:val="bottom"/>
          </w:tcPr>
          <w:p>
            <w:pPr>
              <w:pStyle w:val="TableContents"/>
              <w:spacing w:before="0" w:after="283"/>
              <w:rPr/>
            </w:pPr>
            <w:r>
              <w:rPr/>
              <w:t> </w:t>
            </w:r>
          </w:p>
        </w:tc>
      </w:tr>
      <w:tr>
        <w:trPr/>
        <w:tc>
          <w:tcPr>
            <w:tcW w:w="6918" w:type="dxa"/>
            <w:tcBorders/>
            <w:shd w:fill="auto" w:val="clear"/>
            <w:vAlign w:val="bottom"/>
          </w:tcPr>
          <w:p>
            <w:pPr>
              <w:pStyle w:val="TableContents"/>
              <w:spacing w:before="0" w:after="0"/>
              <w:ind w:left="225" w:right="0" w:hanging="225"/>
              <w:rPr/>
            </w:pPr>
            <w:r>
              <w:rPr/>
              <w:t>Commitments and contingencies Shareholders equity:</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450" w:right="0" w:hanging="225"/>
              <w:rPr/>
            </w:pPr>
            <w:r>
              <w:rPr/>
              <w:t>Common stock, $0.001 par value; 100,000 shares authorized; 13,507 (2005) and 13,507 (2004) issued and outstanding</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14</w:t>
            </w:r>
          </w:p>
        </w:tc>
        <w:tc>
          <w:tcPr>
            <w:tcW w:w="137"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14</w:t>
            </w:r>
          </w:p>
        </w:tc>
        <w:tc>
          <w:tcPr>
            <w:tcW w:w="141" w:type="dxa"/>
            <w:tcBorders/>
            <w:shd w:fill="CCEEFF" w:val="clear"/>
            <w:vAlign w:val="bottom"/>
          </w:tcPr>
          <w:p>
            <w:pPr>
              <w:pStyle w:val="TableContents"/>
              <w:spacing w:before="0" w:after="283"/>
              <w:rPr/>
            </w:pPr>
            <w:r>
              <w:rPr/>
              <w:t> </w:t>
            </w:r>
          </w:p>
        </w:tc>
      </w:tr>
      <w:tr>
        <w:trPr/>
        <w:tc>
          <w:tcPr>
            <w:tcW w:w="6918" w:type="dxa"/>
            <w:tcBorders/>
            <w:shd w:fill="auto" w:val="clear"/>
            <w:vAlign w:val="bottom"/>
          </w:tcPr>
          <w:p>
            <w:pPr>
              <w:pStyle w:val="TableContents"/>
              <w:spacing w:before="0" w:after="0"/>
              <w:ind w:left="450" w:right="0" w:hanging="225"/>
              <w:rPr/>
            </w:pPr>
            <w:r>
              <w:rPr/>
              <w:t>Additional paid-in capital</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28,835</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28,822</w:t>
            </w:r>
          </w:p>
        </w:tc>
        <w:tc>
          <w:tcPr>
            <w:tcW w:w="141" w:type="dxa"/>
            <w:tcBorders/>
            <w:shd w:fill="auto" w:val="clear"/>
            <w:vAlign w:val="bottom"/>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450" w:right="0" w:hanging="225"/>
              <w:rPr/>
            </w:pPr>
            <w:r>
              <w:rPr/>
              <w:t>Notes receivable from shareholders</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 </w:t>
            </w:r>
          </w:p>
        </w:tc>
        <w:tc>
          <w:tcPr>
            <w:tcW w:w="1037" w:type="dxa"/>
            <w:tcBorders/>
            <w:shd w:fill="CCEEFF" w:val="clear"/>
            <w:vAlign w:val="bottom"/>
          </w:tcPr>
          <w:p>
            <w:pPr>
              <w:pStyle w:val="TableContents"/>
              <w:spacing w:before="0" w:after="283"/>
              <w:jc w:val="right"/>
              <w:rPr/>
            </w:pPr>
            <w:r>
              <w:rPr/>
              <w:t>(2,883</w:t>
            </w:r>
          </w:p>
        </w:tc>
        <w:tc>
          <w:tcPr>
            <w:tcW w:w="137" w:type="dxa"/>
            <w:tcBorders/>
            <w:shd w:fill="CCEEFF" w:val="clear"/>
            <w:vAlign w:val="bottom"/>
          </w:tcPr>
          <w:p>
            <w:pPr>
              <w:pStyle w:val="TableContents"/>
              <w:spacing w:before="0" w:after="283"/>
              <w:rPr/>
            </w:pPr>
            <w:r>
              <w:rPr/>
              <w:t>)</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(2,883</w:t>
            </w:r>
          </w:p>
        </w:tc>
        <w:tc>
          <w:tcPr>
            <w:tcW w:w="141" w:type="dxa"/>
            <w:tcBorders/>
            <w:shd w:fill="CCEEFF" w:val="clear"/>
            <w:vAlign w:val="bottom"/>
          </w:tcPr>
          <w:p>
            <w:pPr>
              <w:pStyle w:val="TableContents"/>
              <w:spacing w:before="0" w:after="283"/>
              <w:rPr/>
            </w:pPr>
            <w:r>
              <w:rPr/>
              <w:t>)</w:t>
            </w:r>
          </w:p>
        </w:tc>
      </w:tr>
      <w:tr>
        <w:trPr/>
        <w:tc>
          <w:tcPr>
            <w:tcW w:w="6918" w:type="dxa"/>
            <w:tcBorders/>
            <w:shd w:fill="auto" w:val="clear"/>
            <w:vAlign w:val="bottom"/>
          </w:tcPr>
          <w:p>
            <w:pPr>
              <w:pStyle w:val="TableContents"/>
              <w:spacing w:before="0" w:after="0"/>
              <w:ind w:left="450" w:right="0" w:hanging="225"/>
              <w:rPr/>
            </w:pPr>
            <w:r>
              <w:rPr/>
              <w:t>Retained earnings</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16,437</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17,984</w:t>
            </w:r>
          </w:p>
        </w:tc>
        <w:tc>
          <w:tcPr>
            <w:tcW w:w="141" w:type="dxa"/>
            <w:tcBorders/>
            <w:shd w:fill="auto" w:val="clear"/>
            <w:vAlign w:val="bottom"/>
          </w:tcPr>
          <w:p>
            <w:pPr>
              <w:pStyle w:val="TableContents"/>
              <w:spacing w:before="0" w:after="283"/>
              <w:rPr/>
            </w:pPr>
            <w:r>
              <w:rPr/>
              <w:t> </w:t>
            </w:r>
          </w:p>
        </w:tc>
      </w:tr>
      <w:tr>
        <w:trPr/>
        <w:tc>
          <w:tcPr>
            <w:tcW w:w="6918" w:type="dxa"/>
            <w:tcBorders/>
            <w:shd w:fill="auto" w:val="clear"/>
            <w:vAlign w:val="center"/>
          </w:tcPr>
          <w:p>
            <w:pPr>
              <w:pStyle w:val="TableContents"/>
              <w:spacing w:before="0" w:after="0"/>
              <w:ind w:left="225" w:right="0" w:hanging="225"/>
              <w:rPr/>
            </w:pPr>
            <w:r>
              <w:rPr/>
              <w:t> </w:t>
            </w:r>
          </w:p>
        </w:tc>
        <w:tc>
          <w:tcPr>
            <w:tcW w:w="267"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6918" w:type="dxa"/>
            <w:tcBorders/>
            <w:shd w:fill="CCEEFF" w:val="clear"/>
            <w:vAlign w:val="bottom"/>
          </w:tcPr>
          <w:p>
            <w:pPr>
              <w:pStyle w:val="TableContents"/>
              <w:spacing w:before="0" w:after="0"/>
              <w:ind w:left="675" w:right="0" w:hanging="225"/>
              <w:rPr/>
            </w:pPr>
            <w:r>
              <w:rPr/>
              <w:t>Total shareholders equity</w:t>
            </w:r>
          </w:p>
        </w:tc>
        <w:tc>
          <w:tcPr>
            <w:tcW w:w="26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42,403</w:t>
            </w:r>
          </w:p>
        </w:tc>
        <w:tc>
          <w:tcPr>
            <w:tcW w:w="137"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43,937</w:t>
            </w:r>
          </w:p>
        </w:tc>
        <w:tc>
          <w:tcPr>
            <w:tcW w:w="141" w:type="dxa"/>
            <w:tcBorders/>
            <w:shd w:fill="CCEEFF" w:val="clear"/>
            <w:vAlign w:val="bottom"/>
          </w:tcPr>
          <w:p>
            <w:pPr>
              <w:pStyle w:val="TableContents"/>
              <w:spacing w:before="0" w:after="283"/>
              <w:rPr/>
            </w:pPr>
            <w:r>
              <w:rPr/>
              <w:t> </w:t>
            </w:r>
          </w:p>
        </w:tc>
      </w:tr>
      <w:tr>
        <w:trPr/>
        <w:tc>
          <w:tcPr>
            <w:tcW w:w="6918" w:type="dxa"/>
            <w:tcBorders/>
            <w:shd w:fill="auto" w:val="clear"/>
            <w:vAlign w:val="center"/>
          </w:tcPr>
          <w:p>
            <w:pPr>
              <w:pStyle w:val="TableContents"/>
              <w:spacing w:before="0" w:after="0"/>
              <w:ind w:left="225" w:right="0" w:hanging="225"/>
              <w:rPr/>
            </w:pPr>
            <w:r>
              <w:rPr/>
              <w:t> </w:t>
            </w:r>
          </w:p>
        </w:tc>
        <w:tc>
          <w:tcPr>
            <w:tcW w:w="267"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6918" w:type="dxa"/>
            <w:tcBorders/>
            <w:shd w:fill="auto" w:val="clear"/>
            <w:vAlign w:val="bottom"/>
          </w:tcPr>
          <w:p>
            <w:pPr>
              <w:pStyle w:val="TableContents"/>
              <w:spacing w:before="0" w:after="0"/>
              <w:ind w:left="225" w:right="0" w:hanging="225"/>
              <w:rPr/>
            </w:pPr>
            <w:r>
              <w:rPr/>
              <w:t> </w:t>
            </w:r>
          </w:p>
        </w:tc>
        <w:tc>
          <w:tcPr>
            <w:tcW w:w="26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7" w:type="dxa"/>
            <w:tcBorders/>
            <w:shd w:fill="auto" w:val="clear"/>
            <w:vAlign w:val="bottom"/>
          </w:tcPr>
          <w:p>
            <w:pPr>
              <w:pStyle w:val="TableContents"/>
              <w:spacing w:before="0" w:after="283"/>
              <w:jc w:val="right"/>
              <w:rPr/>
            </w:pPr>
            <w:r>
              <w:rPr/>
              <w:t>63,440</w:t>
            </w:r>
          </w:p>
        </w:tc>
        <w:tc>
          <w:tcPr>
            <w:tcW w:w="137"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1021" w:type="dxa"/>
            <w:tcBorders/>
            <w:shd w:fill="auto" w:val="clear"/>
            <w:vAlign w:val="bottom"/>
          </w:tcPr>
          <w:p>
            <w:pPr>
              <w:pStyle w:val="TableContents"/>
              <w:spacing w:before="0" w:after="283"/>
              <w:jc w:val="right"/>
              <w:rPr/>
            </w:pPr>
            <w:r>
              <w:rPr/>
              <w:t>67,398</w:t>
            </w:r>
          </w:p>
        </w:tc>
        <w:tc>
          <w:tcPr>
            <w:tcW w:w="141" w:type="dxa"/>
            <w:tcBorders/>
            <w:shd w:fill="auto" w:val="clear"/>
            <w:vAlign w:val="bottom"/>
          </w:tcPr>
          <w:p>
            <w:pPr>
              <w:pStyle w:val="TableContents"/>
              <w:spacing w:before="0" w:after="283"/>
              <w:rPr/>
            </w:pPr>
            <w:r>
              <w:rPr/>
              <w:t> </w:t>
            </w:r>
          </w:p>
        </w:tc>
      </w:tr>
      <w:tr>
        <w:trPr/>
        <w:tc>
          <w:tcPr>
            <w:tcW w:w="6918" w:type="dxa"/>
            <w:tcBorders/>
            <w:shd w:fill="auto" w:val="clear"/>
            <w:vAlign w:val="center"/>
          </w:tcPr>
          <w:p>
            <w:pPr>
              <w:pStyle w:val="TableContents"/>
              <w:spacing w:before="0" w:after="0"/>
              <w:ind w:left="225" w:right="0" w:hanging="225"/>
              <w:rPr/>
            </w:pPr>
            <w:r>
              <w:rPr/>
              <w:t> </w:t>
            </w:r>
          </w:p>
        </w:tc>
        <w:tc>
          <w:tcPr>
            <w:tcW w:w="267" w:type="dxa"/>
            <w:tcBorders/>
            <w:shd w:fill="auto" w:val="clear"/>
            <w:vAlign w:val="center"/>
          </w:tcPr>
          <w:p>
            <w:pPr>
              <w:pStyle w:val="TableContents"/>
              <w:spacing w:before="0" w:after="283"/>
              <w:rPr/>
            </w:pPr>
            <w:r>
              <w:rPr/>
              <w:t> </w:t>
            </w:r>
          </w:p>
        </w:tc>
        <w:tc>
          <w:tcPr>
            <w:tcW w:w="12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i/>
          <w:sz w:val="17"/>
        </w:rPr>
        <w:t>See accompanying notes to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6" w:name="104"/>
      <w:bookmarkEnd w:id="6"/>
      <w:r>
        <w:rPr>
          <w:rFonts w:ascii="Times New Roman;Times;serif" w:hAnsi="Times New Roman;Times;serif"/>
          <w:b/>
          <w:sz w:val="17"/>
        </w:rPr>
        <w:t>CONSOLIDATED CONDENSED STATEMENTS OF OPERATIONS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(in thousands, except per share amounts)</w:t>
      </w:r>
    </w:p>
    <w:tbl>
      <w:tblPr>
        <w:tblW w:w="5000" w:type="pct"/>
        <w:jc w:val="center"/>
        <w:tblInd w:w="0" w:type="dxa"/>
        <w:tblCellMar>
          <w:top w:w="0" w:type="dxa"/>
          <w:left w:w="0" w:type="dxa"/>
          <w:bottom w:w="0" w:type="dxa"/>
          <w:right w:w="0" w:type="dxa"/>
        </w:tblCellMar>
      </w:tblPr>
      <w:tblGrid>
        <w:gridCol w:w="7370"/>
        <w:gridCol w:w="285"/>
        <w:gridCol w:w="167"/>
        <w:gridCol w:w="825"/>
        <w:gridCol w:w="140"/>
        <w:gridCol w:w="290"/>
        <w:gridCol w:w="167"/>
        <w:gridCol w:w="826"/>
        <w:gridCol w:w="135"/>
      </w:tblGrid>
      <w:tr>
        <w:trPr/>
        <w:tc>
          <w:tcPr>
            <w:tcW w:w="737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37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2415" w:type="dxa"/>
            <w:gridSpan w:val="6"/>
            <w:tcBorders/>
            <w:shd w:fill="auto" w:val="clear"/>
            <w:vAlign w:val="bottom"/>
          </w:tcPr>
          <w:p>
            <w:pPr>
              <w:pStyle w:val="TableContents"/>
              <w:spacing w:before="0" w:after="283"/>
              <w:jc w:val="center"/>
              <w:rPr>
                <w:b/>
              </w:rPr>
            </w:pPr>
            <w:r>
              <w:rPr>
                <w:b/>
              </w:rPr>
              <w:t>Three months ended</w:t>
            </w:r>
          </w:p>
        </w:tc>
        <w:tc>
          <w:tcPr>
            <w:tcW w:w="135" w:type="dxa"/>
            <w:tcBorders/>
            <w:shd w:fill="auto" w:val="clear"/>
            <w:vAlign w:val="bottom"/>
          </w:tcPr>
          <w:p>
            <w:pPr>
              <w:pStyle w:val="TableContents"/>
              <w:spacing w:before="0" w:after="283"/>
              <w:rPr/>
            </w:pPr>
            <w:r>
              <w:rPr/>
              <w:t> </w:t>
            </w:r>
          </w:p>
        </w:tc>
      </w:tr>
      <w:tr>
        <w:trPr/>
        <w:tc>
          <w:tcPr>
            <w:tcW w:w="737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241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January 31,</w:t>
            </w:r>
          </w:p>
        </w:tc>
        <w:tc>
          <w:tcPr>
            <w:tcW w:w="135" w:type="dxa"/>
            <w:tcBorders/>
            <w:shd w:fill="auto" w:val="clear"/>
            <w:vAlign w:val="bottom"/>
          </w:tcPr>
          <w:p>
            <w:pPr>
              <w:pStyle w:val="TableContents"/>
              <w:spacing w:before="0" w:after="283"/>
              <w:rPr/>
            </w:pPr>
            <w:r>
              <w:rPr/>
              <w:t> </w:t>
            </w:r>
          </w:p>
        </w:tc>
      </w:tr>
      <w:tr>
        <w:trPr/>
        <w:tc>
          <w:tcPr>
            <w:tcW w:w="737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9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4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9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35" w:type="dxa"/>
            <w:tcBorders/>
            <w:shd w:fill="auto" w:val="clear"/>
            <w:vAlign w:val="bottom"/>
          </w:tcPr>
          <w:p>
            <w:pPr>
              <w:pStyle w:val="TableContents"/>
              <w:spacing w:before="0" w:after="283"/>
              <w:rPr/>
            </w:pPr>
            <w:r>
              <w:rPr/>
              <w:t> </w:t>
            </w:r>
          </w:p>
        </w:tc>
      </w:tr>
      <w:tr>
        <w:trPr/>
        <w:tc>
          <w:tcPr>
            <w:tcW w:w="7370" w:type="dxa"/>
            <w:tcBorders/>
            <w:shd w:fill="CCEEFF" w:val="clear"/>
            <w:vAlign w:val="bottom"/>
          </w:tcPr>
          <w:p>
            <w:pPr>
              <w:pStyle w:val="TableContents"/>
              <w:spacing w:before="0" w:after="0"/>
              <w:ind w:left="225" w:right="0" w:hanging="225"/>
              <w:rPr/>
            </w:pPr>
            <w:r>
              <w:rPr/>
              <w:t>Net sales</w:t>
            </w:r>
          </w:p>
        </w:tc>
        <w:tc>
          <w:tcPr>
            <w:tcW w:w="28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5" w:type="dxa"/>
            <w:tcBorders/>
            <w:shd w:fill="CCEEFF" w:val="clear"/>
            <w:vAlign w:val="bottom"/>
          </w:tcPr>
          <w:p>
            <w:pPr>
              <w:pStyle w:val="TableContents"/>
              <w:spacing w:before="0" w:after="283"/>
              <w:jc w:val="right"/>
              <w:rPr/>
            </w:pPr>
            <w:r>
              <w:rPr/>
              <w:t>47,671</w:t>
            </w:r>
          </w:p>
        </w:tc>
        <w:tc>
          <w:tcPr>
            <w:tcW w:w="14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49,043</w:t>
            </w:r>
          </w:p>
        </w:tc>
        <w:tc>
          <w:tcPr>
            <w:tcW w:w="135" w:type="dxa"/>
            <w:tcBorders/>
            <w:shd w:fill="CCEEFF" w:val="clear"/>
            <w:vAlign w:val="bottom"/>
          </w:tcPr>
          <w:p>
            <w:pPr>
              <w:pStyle w:val="TableContents"/>
              <w:spacing w:before="0" w:after="283"/>
              <w:rPr/>
            </w:pPr>
            <w:r>
              <w:rPr/>
              <w:t> </w:t>
            </w:r>
          </w:p>
        </w:tc>
      </w:tr>
      <w:tr>
        <w:trPr/>
        <w:tc>
          <w:tcPr>
            <w:tcW w:w="7370" w:type="dxa"/>
            <w:tcBorders/>
            <w:shd w:fill="auto" w:val="clear"/>
            <w:vAlign w:val="bottom"/>
          </w:tcPr>
          <w:p>
            <w:pPr>
              <w:pStyle w:val="TableContents"/>
              <w:spacing w:before="0" w:after="0"/>
              <w:ind w:left="225" w:right="0" w:hanging="225"/>
              <w:rPr/>
            </w:pPr>
            <w:r>
              <w:rPr/>
              <w:t>Cost of sales</w:t>
            </w:r>
          </w:p>
        </w:tc>
        <w:tc>
          <w:tcPr>
            <w:tcW w:w="28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45,719</w:t>
            </w:r>
          </w:p>
        </w:tc>
        <w:tc>
          <w:tcPr>
            <w:tcW w:w="14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45,959</w:t>
            </w:r>
          </w:p>
        </w:tc>
        <w:tc>
          <w:tcPr>
            <w:tcW w:w="135" w:type="dxa"/>
            <w:tcBorders/>
            <w:shd w:fill="auto" w:val="clear"/>
            <w:vAlign w:val="bottom"/>
          </w:tcPr>
          <w:p>
            <w:pPr>
              <w:pStyle w:val="TableContents"/>
              <w:spacing w:before="0" w:after="283"/>
              <w:rPr/>
            </w:pPr>
            <w:r>
              <w:rPr/>
              <w:t> </w:t>
            </w:r>
          </w:p>
        </w:tc>
      </w:tr>
      <w:tr>
        <w:trPr/>
        <w:tc>
          <w:tcPr>
            <w:tcW w:w="7370" w:type="dxa"/>
            <w:tcBorders/>
            <w:shd w:fill="auto" w:val="clear"/>
            <w:vAlign w:val="center"/>
          </w:tcPr>
          <w:p>
            <w:pPr>
              <w:pStyle w:val="TableContents"/>
              <w:spacing w:before="0" w:after="0"/>
              <w:ind w:left="225" w:right="0" w:hanging="225"/>
              <w:rPr/>
            </w:pPr>
            <w:r>
              <w:rPr/>
              <w:t> </w:t>
            </w:r>
          </w:p>
        </w:tc>
        <w:tc>
          <w:tcPr>
            <w:tcW w:w="28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370" w:type="dxa"/>
            <w:tcBorders/>
            <w:shd w:fill="CCEEFF" w:val="clear"/>
            <w:vAlign w:val="bottom"/>
          </w:tcPr>
          <w:p>
            <w:pPr>
              <w:pStyle w:val="TableContents"/>
              <w:spacing w:before="0" w:after="0"/>
              <w:ind w:left="225" w:right="0" w:hanging="225"/>
              <w:rPr/>
            </w:pPr>
            <w:r>
              <w:rPr/>
              <w:t>Gross margin</w:t>
            </w:r>
          </w:p>
        </w:tc>
        <w:tc>
          <w:tcPr>
            <w:tcW w:w="28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1,952</w:t>
            </w:r>
          </w:p>
        </w:tc>
        <w:tc>
          <w:tcPr>
            <w:tcW w:w="14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3,084</w:t>
            </w:r>
          </w:p>
        </w:tc>
        <w:tc>
          <w:tcPr>
            <w:tcW w:w="135" w:type="dxa"/>
            <w:tcBorders/>
            <w:shd w:fill="CCEEFF" w:val="clear"/>
            <w:vAlign w:val="bottom"/>
          </w:tcPr>
          <w:p>
            <w:pPr>
              <w:pStyle w:val="TableContents"/>
              <w:spacing w:before="0" w:after="283"/>
              <w:rPr/>
            </w:pPr>
            <w:r>
              <w:rPr/>
              <w:t> </w:t>
            </w:r>
          </w:p>
        </w:tc>
      </w:tr>
      <w:tr>
        <w:trPr/>
        <w:tc>
          <w:tcPr>
            <w:tcW w:w="7370" w:type="dxa"/>
            <w:tcBorders/>
            <w:shd w:fill="auto" w:val="clear"/>
            <w:vAlign w:val="bottom"/>
          </w:tcPr>
          <w:p>
            <w:pPr>
              <w:pStyle w:val="TableContents"/>
              <w:spacing w:before="0" w:after="0"/>
              <w:ind w:left="225" w:right="0" w:hanging="225"/>
              <w:rPr/>
            </w:pPr>
            <w:r>
              <w:rPr/>
              <w:t>Selling, general and administrative</w:t>
            </w:r>
          </w:p>
        </w:tc>
        <w:tc>
          <w:tcPr>
            <w:tcW w:w="28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4,513</w:t>
            </w:r>
          </w:p>
        </w:tc>
        <w:tc>
          <w:tcPr>
            <w:tcW w:w="14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3,687</w:t>
            </w:r>
          </w:p>
        </w:tc>
        <w:tc>
          <w:tcPr>
            <w:tcW w:w="135" w:type="dxa"/>
            <w:tcBorders/>
            <w:shd w:fill="auto" w:val="clear"/>
            <w:vAlign w:val="bottom"/>
          </w:tcPr>
          <w:p>
            <w:pPr>
              <w:pStyle w:val="TableContents"/>
              <w:spacing w:before="0" w:after="283"/>
              <w:rPr/>
            </w:pPr>
            <w:r>
              <w:rPr/>
              <w:t> </w:t>
            </w:r>
          </w:p>
        </w:tc>
      </w:tr>
      <w:tr>
        <w:trPr/>
        <w:tc>
          <w:tcPr>
            <w:tcW w:w="7370" w:type="dxa"/>
            <w:tcBorders/>
            <w:shd w:fill="auto" w:val="clear"/>
            <w:vAlign w:val="center"/>
          </w:tcPr>
          <w:p>
            <w:pPr>
              <w:pStyle w:val="TableContents"/>
              <w:spacing w:before="0" w:after="0"/>
              <w:ind w:left="225" w:right="0" w:hanging="225"/>
              <w:rPr/>
            </w:pPr>
            <w:r>
              <w:rPr/>
              <w:t> </w:t>
            </w:r>
          </w:p>
        </w:tc>
        <w:tc>
          <w:tcPr>
            <w:tcW w:w="28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370" w:type="dxa"/>
            <w:tcBorders/>
            <w:shd w:fill="CCEEFF" w:val="clear"/>
            <w:vAlign w:val="bottom"/>
          </w:tcPr>
          <w:p>
            <w:pPr>
              <w:pStyle w:val="TableContents"/>
              <w:spacing w:before="0" w:after="0"/>
              <w:ind w:left="225" w:right="0" w:hanging="225"/>
              <w:rPr/>
            </w:pPr>
            <w:r>
              <w:rPr/>
              <w:t>Operating loss</w:t>
            </w:r>
          </w:p>
        </w:tc>
        <w:tc>
          <w:tcPr>
            <w:tcW w:w="28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(2,561</w:t>
            </w:r>
          </w:p>
        </w:tc>
        <w:tc>
          <w:tcPr>
            <w:tcW w:w="140" w:type="dxa"/>
            <w:tcBorders/>
            <w:shd w:fill="CCEEFF" w:val="clear"/>
            <w:vAlign w:val="bottom"/>
          </w:tcPr>
          <w:p>
            <w:pPr>
              <w:pStyle w:val="TableContents"/>
              <w:spacing w:before="0" w:after="283"/>
              <w:rPr/>
            </w:pPr>
            <w:r>
              <w:rPr/>
              <w:t>)</w:t>
            </w:r>
          </w:p>
        </w:tc>
        <w:tc>
          <w:tcPr>
            <w:tcW w:w="29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(603</w:t>
            </w:r>
          </w:p>
        </w:tc>
        <w:tc>
          <w:tcPr>
            <w:tcW w:w="135" w:type="dxa"/>
            <w:tcBorders/>
            <w:shd w:fill="CCEEFF" w:val="clear"/>
            <w:vAlign w:val="bottom"/>
          </w:tcPr>
          <w:p>
            <w:pPr>
              <w:pStyle w:val="TableContents"/>
              <w:spacing w:before="0" w:after="283"/>
              <w:rPr/>
            </w:pPr>
            <w:r>
              <w:rPr/>
              <w:t>)</w:t>
            </w:r>
          </w:p>
        </w:tc>
      </w:tr>
      <w:tr>
        <w:trPr/>
        <w:tc>
          <w:tcPr>
            <w:tcW w:w="7370" w:type="dxa"/>
            <w:tcBorders/>
            <w:shd w:fill="auto" w:val="clear"/>
            <w:vAlign w:val="bottom"/>
          </w:tcPr>
          <w:p>
            <w:pPr>
              <w:pStyle w:val="TableContents"/>
              <w:spacing w:before="0" w:after="0"/>
              <w:ind w:left="225" w:right="0" w:hanging="225"/>
              <w:rPr/>
            </w:pPr>
            <w:r>
              <w:rPr/>
              <w:t>Other income, net</w:t>
            </w:r>
          </w:p>
        </w:tc>
        <w:tc>
          <w:tcPr>
            <w:tcW w:w="28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82</w:t>
            </w:r>
          </w:p>
        </w:tc>
        <w:tc>
          <w:tcPr>
            <w:tcW w:w="14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114</w:t>
            </w:r>
          </w:p>
        </w:tc>
        <w:tc>
          <w:tcPr>
            <w:tcW w:w="135" w:type="dxa"/>
            <w:tcBorders/>
            <w:shd w:fill="auto" w:val="clear"/>
            <w:vAlign w:val="bottom"/>
          </w:tcPr>
          <w:p>
            <w:pPr>
              <w:pStyle w:val="TableContents"/>
              <w:spacing w:before="0" w:after="283"/>
              <w:rPr/>
            </w:pPr>
            <w:r>
              <w:rPr/>
              <w:t> </w:t>
            </w:r>
          </w:p>
        </w:tc>
      </w:tr>
      <w:tr>
        <w:trPr/>
        <w:tc>
          <w:tcPr>
            <w:tcW w:w="7370" w:type="dxa"/>
            <w:tcBorders/>
            <w:shd w:fill="auto" w:val="clear"/>
            <w:vAlign w:val="center"/>
          </w:tcPr>
          <w:p>
            <w:pPr>
              <w:pStyle w:val="TableContents"/>
              <w:spacing w:before="0" w:after="0"/>
              <w:ind w:left="225" w:right="0" w:hanging="225"/>
              <w:rPr/>
            </w:pPr>
            <w:r>
              <w:rPr/>
              <w:t> </w:t>
            </w:r>
          </w:p>
        </w:tc>
        <w:tc>
          <w:tcPr>
            <w:tcW w:w="28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370" w:type="dxa"/>
            <w:tcBorders/>
            <w:shd w:fill="CCEEFF" w:val="clear"/>
            <w:vAlign w:val="bottom"/>
          </w:tcPr>
          <w:p>
            <w:pPr>
              <w:pStyle w:val="TableContents"/>
              <w:spacing w:before="0" w:after="0"/>
              <w:ind w:left="225" w:right="0" w:hanging="225"/>
              <w:rPr/>
            </w:pPr>
            <w:r>
              <w:rPr/>
              <w:t>Loss before benefit for income taxes</w:t>
            </w:r>
          </w:p>
        </w:tc>
        <w:tc>
          <w:tcPr>
            <w:tcW w:w="28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(2,479</w:t>
            </w:r>
          </w:p>
        </w:tc>
        <w:tc>
          <w:tcPr>
            <w:tcW w:w="140" w:type="dxa"/>
            <w:tcBorders/>
            <w:shd w:fill="CCEEFF" w:val="clear"/>
            <w:vAlign w:val="bottom"/>
          </w:tcPr>
          <w:p>
            <w:pPr>
              <w:pStyle w:val="TableContents"/>
              <w:spacing w:before="0" w:after="283"/>
              <w:rPr/>
            </w:pPr>
            <w:r>
              <w:rPr/>
              <w:t>)</w:t>
            </w:r>
          </w:p>
        </w:tc>
        <w:tc>
          <w:tcPr>
            <w:tcW w:w="29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(489</w:t>
            </w:r>
          </w:p>
        </w:tc>
        <w:tc>
          <w:tcPr>
            <w:tcW w:w="135" w:type="dxa"/>
            <w:tcBorders/>
            <w:shd w:fill="CCEEFF" w:val="clear"/>
            <w:vAlign w:val="bottom"/>
          </w:tcPr>
          <w:p>
            <w:pPr>
              <w:pStyle w:val="TableContents"/>
              <w:spacing w:before="0" w:after="283"/>
              <w:rPr/>
            </w:pPr>
            <w:r>
              <w:rPr/>
              <w:t>)</w:t>
            </w:r>
          </w:p>
        </w:tc>
      </w:tr>
      <w:tr>
        <w:trPr/>
        <w:tc>
          <w:tcPr>
            <w:tcW w:w="7370" w:type="dxa"/>
            <w:tcBorders/>
            <w:shd w:fill="auto" w:val="clear"/>
            <w:vAlign w:val="bottom"/>
          </w:tcPr>
          <w:p>
            <w:pPr>
              <w:pStyle w:val="TableContents"/>
              <w:spacing w:before="0" w:after="0"/>
              <w:ind w:left="225" w:right="0" w:hanging="225"/>
              <w:rPr/>
            </w:pPr>
            <w:r>
              <w:rPr/>
              <w:t>Benefit for income taxes</w:t>
            </w:r>
          </w:p>
        </w:tc>
        <w:tc>
          <w:tcPr>
            <w:tcW w:w="28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25" w:type="dxa"/>
            <w:tcBorders/>
            <w:shd w:fill="auto" w:val="clear"/>
            <w:vAlign w:val="bottom"/>
          </w:tcPr>
          <w:p>
            <w:pPr>
              <w:pStyle w:val="TableContents"/>
              <w:spacing w:before="0" w:after="283"/>
              <w:jc w:val="right"/>
              <w:rPr/>
            </w:pPr>
            <w:r>
              <w:rPr/>
              <w:t>(932</w:t>
            </w:r>
          </w:p>
        </w:tc>
        <w:tc>
          <w:tcPr>
            <w:tcW w:w="140" w:type="dxa"/>
            <w:tcBorders/>
            <w:shd w:fill="auto" w:val="clear"/>
            <w:vAlign w:val="bottom"/>
          </w:tcPr>
          <w:p>
            <w:pPr>
              <w:pStyle w:val="TableContents"/>
              <w:spacing w:before="0" w:after="283"/>
              <w:rPr/>
            </w:pPr>
            <w:r>
              <w:rPr/>
              <w:t>)</w:t>
            </w:r>
          </w:p>
        </w:tc>
        <w:tc>
          <w:tcPr>
            <w:tcW w:w="29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(195</w:t>
            </w:r>
          </w:p>
        </w:tc>
        <w:tc>
          <w:tcPr>
            <w:tcW w:w="135" w:type="dxa"/>
            <w:tcBorders/>
            <w:shd w:fill="auto" w:val="clear"/>
            <w:vAlign w:val="bottom"/>
          </w:tcPr>
          <w:p>
            <w:pPr>
              <w:pStyle w:val="TableContents"/>
              <w:spacing w:before="0" w:after="283"/>
              <w:rPr/>
            </w:pPr>
            <w:r>
              <w:rPr/>
              <w:t>)</w:t>
            </w:r>
          </w:p>
        </w:tc>
      </w:tr>
      <w:tr>
        <w:trPr/>
        <w:tc>
          <w:tcPr>
            <w:tcW w:w="7370" w:type="dxa"/>
            <w:tcBorders/>
            <w:shd w:fill="auto" w:val="clear"/>
            <w:vAlign w:val="center"/>
          </w:tcPr>
          <w:p>
            <w:pPr>
              <w:pStyle w:val="TableContents"/>
              <w:spacing w:before="0" w:after="0"/>
              <w:ind w:left="225" w:right="0" w:hanging="225"/>
              <w:rPr/>
            </w:pPr>
            <w:r>
              <w:rPr/>
              <w:t> </w:t>
            </w:r>
          </w:p>
        </w:tc>
        <w:tc>
          <w:tcPr>
            <w:tcW w:w="28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370" w:type="dxa"/>
            <w:tcBorders/>
            <w:shd w:fill="CCEEFF" w:val="clear"/>
            <w:vAlign w:val="bottom"/>
          </w:tcPr>
          <w:p>
            <w:pPr>
              <w:pStyle w:val="TableContents"/>
              <w:spacing w:before="0" w:after="0"/>
              <w:ind w:left="225" w:right="0" w:hanging="225"/>
              <w:rPr/>
            </w:pPr>
            <w:r>
              <w:rPr/>
              <w:t>Net loss</w:t>
            </w:r>
          </w:p>
        </w:tc>
        <w:tc>
          <w:tcPr>
            <w:tcW w:w="28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5" w:type="dxa"/>
            <w:tcBorders/>
            <w:shd w:fill="CCEEFF" w:val="clear"/>
            <w:vAlign w:val="bottom"/>
          </w:tcPr>
          <w:p>
            <w:pPr>
              <w:pStyle w:val="TableContents"/>
              <w:spacing w:before="0" w:after="283"/>
              <w:jc w:val="right"/>
              <w:rPr/>
            </w:pPr>
            <w:r>
              <w:rPr/>
              <w:t>(1,547</w:t>
            </w:r>
          </w:p>
        </w:tc>
        <w:tc>
          <w:tcPr>
            <w:tcW w:w="140" w:type="dxa"/>
            <w:tcBorders/>
            <w:shd w:fill="CCEEFF" w:val="clear"/>
            <w:vAlign w:val="bottom"/>
          </w:tcPr>
          <w:p>
            <w:pPr>
              <w:pStyle w:val="TableContents"/>
              <w:spacing w:before="0" w:after="283"/>
              <w:rPr/>
            </w:pPr>
            <w:r>
              <w:rPr/>
              <w:t>)</w:t>
            </w:r>
          </w:p>
        </w:tc>
        <w:tc>
          <w:tcPr>
            <w:tcW w:w="29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(294</w:t>
            </w:r>
          </w:p>
        </w:tc>
        <w:tc>
          <w:tcPr>
            <w:tcW w:w="135" w:type="dxa"/>
            <w:tcBorders/>
            <w:shd w:fill="CCEEFF" w:val="clear"/>
            <w:vAlign w:val="bottom"/>
          </w:tcPr>
          <w:p>
            <w:pPr>
              <w:pStyle w:val="TableContents"/>
              <w:spacing w:before="0" w:after="283"/>
              <w:rPr/>
            </w:pPr>
            <w:r>
              <w:rPr/>
              <w:t>)</w:t>
            </w:r>
          </w:p>
        </w:tc>
      </w:tr>
      <w:tr>
        <w:trPr/>
        <w:tc>
          <w:tcPr>
            <w:tcW w:w="7370" w:type="dxa"/>
            <w:tcBorders/>
            <w:shd w:fill="auto" w:val="clear"/>
            <w:vAlign w:val="center"/>
          </w:tcPr>
          <w:p>
            <w:pPr>
              <w:pStyle w:val="TableContents"/>
              <w:spacing w:before="0" w:after="0"/>
              <w:ind w:left="225" w:right="0" w:hanging="225"/>
              <w:rPr/>
            </w:pPr>
            <w:r>
              <w:rPr/>
              <w:t> </w:t>
            </w:r>
          </w:p>
        </w:tc>
        <w:tc>
          <w:tcPr>
            <w:tcW w:w="28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370" w:type="dxa"/>
            <w:tcBorders/>
            <w:shd w:fill="auto" w:val="clear"/>
            <w:vAlign w:val="bottom"/>
          </w:tcPr>
          <w:p>
            <w:pPr>
              <w:pStyle w:val="TableContents"/>
              <w:spacing w:before="0" w:after="0"/>
              <w:ind w:left="225" w:right="0" w:hanging="225"/>
              <w:rPr/>
            </w:pPr>
            <w:r>
              <w:rPr/>
              <w:t>Net loss per share:</w:t>
            </w:r>
          </w:p>
        </w:tc>
        <w:tc>
          <w:tcPr>
            <w:tcW w:w="28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7370" w:type="dxa"/>
            <w:tcBorders/>
            <w:shd w:fill="CCEEFF" w:val="clear"/>
            <w:vAlign w:val="bottom"/>
          </w:tcPr>
          <w:p>
            <w:pPr>
              <w:pStyle w:val="TableContents"/>
              <w:spacing w:before="0" w:after="0"/>
              <w:ind w:left="225" w:right="0" w:hanging="225"/>
              <w:rPr/>
            </w:pPr>
            <w:r>
              <w:rPr/>
              <w:t>Basic</w:t>
            </w:r>
          </w:p>
        </w:tc>
        <w:tc>
          <w:tcPr>
            <w:tcW w:w="28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5" w:type="dxa"/>
            <w:tcBorders/>
            <w:shd w:fill="CCEEFF" w:val="clear"/>
            <w:vAlign w:val="bottom"/>
          </w:tcPr>
          <w:p>
            <w:pPr>
              <w:pStyle w:val="TableContents"/>
              <w:spacing w:before="0" w:after="283"/>
              <w:jc w:val="right"/>
              <w:rPr/>
            </w:pPr>
            <w:r>
              <w:rPr/>
              <w:t>(0.11</w:t>
            </w:r>
          </w:p>
        </w:tc>
        <w:tc>
          <w:tcPr>
            <w:tcW w:w="140" w:type="dxa"/>
            <w:tcBorders/>
            <w:shd w:fill="CCEEFF" w:val="clear"/>
            <w:vAlign w:val="bottom"/>
          </w:tcPr>
          <w:p>
            <w:pPr>
              <w:pStyle w:val="TableContents"/>
              <w:spacing w:before="0" w:after="283"/>
              <w:rPr/>
            </w:pPr>
            <w:r>
              <w:rPr/>
              <w:t>)</w:t>
            </w:r>
          </w:p>
        </w:tc>
        <w:tc>
          <w:tcPr>
            <w:tcW w:w="29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(0.02</w:t>
            </w:r>
          </w:p>
        </w:tc>
        <w:tc>
          <w:tcPr>
            <w:tcW w:w="135" w:type="dxa"/>
            <w:tcBorders/>
            <w:shd w:fill="CCEEFF" w:val="clear"/>
            <w:vAlign w:val="bottom"/>
          </w:tcPr>
          <w:p>
            <w:pPr>
              <w:pStyle w:val="TableContents"/>
              <w:spacing w:before="0" w:after="283"/>
              <w:rPr/>
            </w:pPr>
            <w:r>
              <w:rPr/>
              <w:t>)</w:t>
            </w:r>
          </w:p>
        </w:tc>
      </w:tr>
      <w:tr>
        <w:trPr/>
        <w:tc>
          <w:tcPr>
            <w:tcW w:w="7370" w:type="dxa"/>
            <w:tcBorders/>
            <w:shd w:fill="auto" w:val="clear"/>
            <w:vAlign w:val="center"/>
          </w:tcPr>
          <w:p>
            <w:pPr>
              <w:pStyle w:val="TableContents"/>
              <w:spacing w:before="0" w:after="0"/>
              <w:ind w:left="225" w:right="0" w:hanging="225"/>
              <w:rPr/>
            </w:pPr>
            <w:r>
              <w:rPr/>
              <w:t> </w:t>
            </w:r>
          </w:p>
        </w:tc>
        <w:tc>
          <w:tcPr>
            <w:tcW w:w="28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370" w:type="dxa"/>
            <w:tcBorders/>
            <w:shd w:fill="auto" w:val="clear"/>
            <w:vAlign w:val="bottom"/>
          </w:tcPr>
          <w:p>
            <w:pPr>
              <w:pStyle w:val="TableContents"/>
              <w:spacing w:before="0" w:after="0"/>
              <w:ind w:left="225" w:right="0" w:hanging="225"/>
              <w:rPr/>
            </w:pPr>
            <w:r>
              <w:rPr/>
              <w:t>Diluted</w:t>
            </w:r>
          </w:p>
        </w:tc>
        <w:tc>
          <w:tcPr>
            <w:tcW w:w="28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25" w:type="dxa"/>
            <w:tcBorders/>
            <w:shd w:fill="auto" w:val="clear"/>
            <w:vAlign w:val="bottom"/>
          </w:tcPr>
          <w:p>
            <w:pPr>
              <w:pStyle w:val="TableContents"/>
              <w:spacing w:before="0" w:after="283"/>
              <w:jc w:val="right"/>
              <w:rPr/>
            </w:pPr>
            <w:r>
              <w:rPr/>
              <w:t>(0.11</w:t>
            </w:r>
          </w:p>
        </w:tc>
        <w:tc>
          <w:tcPr>
            <w:tcW w:w="140" w:type="dxa"/>
            <w:tcBorders/>
            <w:shd w:fill="auto" w:val="clear"/>
            <w:vAlign w:val="bottom"/>
          </w:tcPr>
          <w:p>
            <w:pPr>
              <w:pStyle w:val="TableContents"/>
              <w:spacing w:before="0" w:after="283"/>
              <w:rPr/>
            </w:pPr>
            <w:r>
              <w:rPr/>
              <w:t>)</w:t>
            </w:r>
          </w:p>
        </w:tc>
        <w:tc>
          <w:tcPr>
            <w:tcW w:w="29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26" w:type="dxa"/>
            <w:tcBorders/>
            <w:shd w:fill="auto" w:val="clear"/>
            <w:vAlign w:val="bottom"/>
          </w:tcPr>
          <w:p>
            <w:pPr>
              <w:pStyle w:val="TableContents"/>
              <w:spacing w:before="0" w:after="283"/>
              <w:jc w:val="right"/>
              <w:rPr/>
            </w:pPr>
            <w:r>
              <w:rPr/>
              <w:t>(0.02</w:t>
            </w:r>
          </w:p>
        </w:tc>
        <w:tc>
          <w:tcPr>
            <w:tcW w:w="135" w:type="dxa"/>
            <w:tcBorders/>
            <w:shd w:fill="auto" w:val="clear"/>
            <w:vAlign w:val="bottom"/>
          </w:tcPr>
          <w:p>
            <w:pPr>
              <w:pStyle w:val="TableContents"/>
              <w:spacing w:before="0" w:after="283"/>
              <w:rPr/>
            </w:pPr>
            <w:r>
              <w:rPr/>
              <w:t>)</w:t>
            </w:r>
          </w:p>
        </w:tc>
      </w:tr>
      <w:tr>
        <w:trPr/>
        <w:tc>
          <w:tcPr>
            <w:tcW w:w="7370" w:type="dxa"/>
            <w:tcBorders/>
            <w:shd w:fill="auto" w:val="clear"/>
            <w:vAlign w:val="center"/>
          </w:tcPr>
          <w:p>
            <w:pPr>
              <w:pStyle w:val="TableContents"/>
              <w:spacing w:before="0" w:after="0"/>
              <w:ind w:left="225" w:right="0" w:hanging="225"/>
              <w:rPr/>
            </w:pPr>
            <w:r>
              <w:rPr/>
              <w:t> </w:t>
            </w:r>
          </w:p>
        </w:tc>
        <w:tc>
          <w:tcPr>
            <w:tcW w:w="28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370" w:type="dxa"/>
            <w:tcBorders/>
            <w:shd w:fill="CCEEFF" w:val="clear"/>
            <w:vAlign w:val="bottom"/>
          </w:tcPr>
          <w:p>
            <w:pPr>
              <w:pStyle w:val="TableContents"/>
              <w:spacing w:before="0" w:after="0"/>
              <w:ind w:left="225" w:right="0" w:hanging="225"/>
              <w:rPr/>
            </w:pPr>
            <w:r>
              <w:rPr/>
              <w:t>Number of shares used in per share computation:</w:t>
            </w:r>
          </w:p>
        </w:tc>
        <w:tc>
          <w:tcPr>
            <w:tcW w:w="28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7370" w:type="dxa"/>
            <w:tcBorders/>
            <w:shd w:fill="auto" w:val="clear"/>
            <w:vAlign w:val="bottom"/>
          </w:tcPr>
          <w:p>
            <w:pPr>
              <w:pStyle w:val="TableContents"/>
              <w:spacing w:before="0" w:after="0"/>
              <w:ind w:left="225" w:right="0" w:hanging="225"/>
              <w:rPr/>
            </w:pPr>
            <w:r>
              <w:rPr/>
              <w:t>Basic</w:t>
            </w:r>
          </w:p>
        </w:tc>
        <w:tc>
          <w:tcPr>
            <w:tcW w:w="28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13,507</w:t>
            </w:r>
          </w:p>
        </w:tc>
        <w:tc>
          <w:tcPr>
            <w:tcW w:w="14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13,469</w:t>
            </w:r>
          </w:p>
        </w:tc>
        <w:tc>
          <w:tcPr>
            <w:tcW w:w="135" w:type="dxa"/>
            <w:tcBorders/>
            <w:shd w:fill="auto" w:val="clear"/>
            <w:vAlign w:val="bottom"/>
          </w:tcPr>
          <w:p>
            <w:pPr>
              <w:pStyle w:val="TableContents"/>
              <w:spacing w:before="0" w:after="283"/>
              <w:rPr/>
            </w:pPr>
            <w:r>
              <w:rPr/>
              <w:t> </w:t>
            </w:r>
          </w:p>
        </w:tc>
      </w:tr>
      <w:tr>
        <w:trPr/>
        <w:tc>
          <w:tcPr>
            <w:tcW w:w="7370" w:type="dxa"/>
            <w:tcBorders/>
            <w:shd w:fill="auto" w:val="clear"/>
            <w:vAlign w:val="center"/>
          </w:tcPr>
          <w:p>
            <w:pPr>
              <w:pStyle w:val="TableContents"/>
              <w:spacing w:before="0" w:after="0"/>
              <w:ind w:left="225" w:right="0" w:hanging="225"/>
              <w:rPr/>
            </w:pPr>
            <w:r>
              <w:rPr/>
              <w:t> </w:t>
            </w:r>
          </w:p>
        </w:tc>
        <w:tc>
          <w:tcPr>
            <w:tcW w:w="28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7370" w:type="dxa"/>
            <w:tcBorders/>
            <w:shd w:fill="CCEEFF" w:val="clear"/>
            <w:vAlign w:val="bottom"/>
          </w:tcPr>
          <w:p>
            <w:pPr>
              <w:pStyle w:val="TableContents"/>
              <w:spacing w:before="0" w:after="0"/>
              <w:ind w:left="225" w:right="0" w:hanging="225"/>
              <w:rPr/>
            </w:pPr>
            <w:r>
              <w:rPr/>
              <w:t>Diluted</w:t>
            </w:r>
          </w:p>
        </w:tc>
        <w:tc>
          <w:tcPr>
            <w:tcW w:w="28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13,507</w:t>
            </w:r>
          </w:p>
        </w:tc>
        <w:tc>
          <w:tcPr>
            <w:tcW w:w="14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13,469</w:t>
            </w:r>
          </w:p>
        </w:tc>
        <w:tc>
          <w:tcPr>
            <w:tcW w:w="135" w:type="dxa"/>
            <w:tcBorders/>
            <w:shd w:fill="CCEEFF" w:val="clear"/>
            <w:vAlign w:val="bottom"/>
          </w:tcPr>
          <w:p>
            <w:pPr>
              <w:pStyle w:val="TableContents"/>
              <w:spacing w:before="0" w:after="283"/>
              <w:rPr/>
            </w:pPr>
            <w:r>
              <w:rPr/>
              <w:t> </w:t>
            </w:r>
          </w:p>
        </w:tc>
      </w:tr>
      <w:tr>
        <w:trPr/>
        <w:tc>
          <w:tcPr>
            <w:tcW w:w="7370" w:type="dxa"/>
            <w:tcBorders/>
            <w:shd w:fill="auto" w:val="clear"/>
            <w:vAlign w:val="center"/>
          </w:tcPr>
          <w:p>
            <w:pPr>
              <w:pStyle w:val="TableContents"/>
              <w:spacing w:before="0" w:after="0"/>
              <w:ind w:left="225" w:right="0" w:hanging="225"/>
              <w:rPr/>
            </w:pPr>
            <w:r>
              <w:rPr/>
              <w:t> </w:t>
            </w:r>
          </w:p>
        </w:tc>
        <w:tc>
          <w:tcPr>
            <w:tcW w:w="28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i/>
          <w:sz w:val="17"/>
        </w:rPr>
        <w:t>See accompanying notes to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7" w:name="105"/>
      <w:bookmarkEnd w:id="7"/>
      <w:r>
        <w:rPr>
          <w:rFonts w:ascii="Times New Roman;Times;serif" w:hAnsi="Times New Roman;Times;serif"/>
          <w:b/>
          <w:sz w:val="17"/>
        </w:rPr>
        <w:t>CONSOLIDATED CONDENSED STATEMENTS OF CASH FLOWS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(in thousands)</w:t>
      </w:r>
    </w:p>
    <w:tbl>
      <w:tblPr>
        <w:tblW w:w="5000" w:type="pct"/>
        <w:jc w:val="center"/>
        <w:tblInd w:w="0" w:type="dxa"/>
        <w:tblCellMar>
          <w:top w:w="0" w:type="dxa"/>
          <w:left w:w="0" w:type="dxa"/>
          <w:bottom w:w="0" w:type="dxa"/>
          <w:right w:w="0" w:type="dxa"/>
        </w:tblCellMar>
      </w:tblPr>
      <w:tblGrid>
        <w:gridCol w:w="7304"/>
        <w:gridCol w:w="282"/>
        <w:gridCol w:w="177"/>
        <w:gridCol w:w="844"/>
        <w:gridCol w:w="147"/>
        <w:gridCol w:w="289"/>
        <w:gridCol w:w="177"/>
        <w:gridCol w:w="845"/>
        <w:gridCol w:w="140"/>
      </w:tblGrid>
      <w:tr>
        <w:trPr/>
        <w:tc>
          <w:tcPr>
            <w:tcW w:w="73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73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479" w:type="dxa"/>
            <w:gridSpan w:val="6"/>
            <w:tcBorders/>
            <w:shd w:fill="auto" w:val="clear"/>
            <w:vAlign w:val="bottom"/>
          </w:tcPr>
          <w:p>
            <w:pPr>
              <w:pStyle w:val="TableContents"/>
              <w:spacing w:before="0" w:after="283"/>
              <w:jc w:val="center"/>
              <w:rPr>
                <w:b/>
              </w:rPr>
            </w:pPr>
            <w:r>
              <w:rPr>
                <w:b/>
              </w:rPr>
              <w:t>Three months ended</w:t>
            </w:r>
          </w:p>
        </w:tc>
        <w:tc>
          <w:tcPr>
            <w:tcW w:w="140" w:type="dxa"/>
            <w:tcBorders/>
            <w:shd w:fill="auto" w:val="clear"/>
            <w:vAlign w:val="bottom"/>
          </w:tcPr>
          <w:p>
            <w:pPr>
              <w:pStyle w:val="TableContents"/>
              <w:spacing w:before="0" w:after="283"/>
              <w:rPr/>
            </w:pPr>
            <w:r>
              <w:rPr/>
              <w:t> </w:t>
            </w:r>
          </w:p>
        </w:tc>
      </w:tr>
      <w:tr>
        <w:trPr/>
        <w:tc>
          <w:tcPr>
            <w:tcW w:w="73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247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January 31,</w:t>
            </w:r>
          </w:p>
        </w:tc>
        <w:tc>
          <w:tcPr>
            <w:tcW w:w="140" w:type="dxa"/>
            <w:tcBorders/>
            <w:shd w:fill="auto" w:val="clear"/>
            <w:vAlign w:val="bottom"/>
          </w:tcPr>
          <w:p>
            <w:pPr>
              <w:pStyle w:val="TableContents"/>
              <w:spacing w:before="0" w:after="283"/>
              <w:rPr/>
            </w:pPr>
            <w:r>
              <w:rPr/>
              <w:t> </w:t>
            </w:r>
          </w:p>
        </w:tc>
      </w:tr>
      <w:tr>
        <w:trPr/>
        <w:tc>
          <w:tcPr>
            <w:tcW w:w="730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02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02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40" w:type="dxa"/>
            <w:tcBorders/>
            <w:shd w:fill="auto" w:val="clear"/>
            <w:vAlign w:val="bottom"/>
          </w:tcPr>
          <w:p>
            <w:pPr>
              <w:pStyle w:val="TableContents"/>
              <w:spacing w:before="0" w:after="283"/>
              <w:rPr/>
            </w:pPr>
            <w:r>
              <w:rPr/>
              <w:t> </w:t>
            </w:r>
          </w:p>
        </w:tc>
      </w:tr>
      <w:tr>
        <w:trPr/>
        <w:tc>
          <w:tcPr>
            <w:tcW w:w="7304" w:type="dxa"/>
            <w:tcBorders/>
            <w:shd w:fill="CCEEFF" w:val="clear"/>
            <w:vAlign w:val="bottom"/>
          </w:tcPr>
          <w:p>
            <w:pPr>
              <w:pStyle w:val="TableContents"/>
              <w:spacing w:before="0" w:after="0"/>
              <w:ind w:left="225" w:right="0" w:hanging="225"/>
              <w:rPr>
                <w:b/>
              </w:rPr>
            </w:pPr>
            <w:r>
              <w:rPr>
                <w:b/>
              </w:rPr>
              <w:t>Cash Flows from Operating Activities:</w:t>
            </w:r>
          </w:p>
        </w:tc>
        <w:tc>
          <w:tcPr>
            <w:tcW w:w="2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7304" w:type="dxa"/>
            <w:tcBorders/>
            <w:shd w:fill="auto" w:val="clear"/>
            <w:vAlign w:val="bottom"/>
          </w:tcPr>
          <w:p>
            <w:pPr>
              <w:pStyle w:val="TableContents"/>
              <w:spacing w:before="0" w:after="0"/>
              <w:ind w:left="225" w:right="0" w:hanging="225"/>
              <w:rPr/>
            </w:pPr>
            <w:r>
              <w:rPr/>
              <w:t>Net loss</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(1,547</w:t>
            </w:r>
          </w:p>
        </w:tc>
        <w:tc>
          <w:tcPr>
            <w:tcW w:w="147" w:type="dxa"/>
            <w:tcBorders/>
            <w:shd w:fill="auto" w:val="clear"/>
            <w:vAlign w:val="bottom"/>
          </w:tcPr>
          <w:p>
            <w:pPr>
              <w:pStyle w:val="TableContents"/>
              <w:spacing w:before="0" w:after="283"/>
              <w:rPr/>
            </w:pPr>
            <w:r>
              <w:rPr/>
              <w:t>)</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45" w:type="dxa"/>
            <w:tcBorders/>
            <w:shd w:fill="auto" w:val="clear"/>
            <w:vAlign w:val="bottom"/>
          </w:tcPr>
          <w:p>
            <w:pPr>
              <w:pStyle w:val="TableContents"/>
              <w:spacing w:before="0" w:after="283"/>
              <w:jc w:val="right"/>
              <w:rPr/>
            </w:pPr>
            <w:r>
              <w:rPr/>
              <w:t>(294</w:t>
            </w:r>
          </w:p>
        </w:tc>
        <w:tc>
          <w:tcPr>
            <w:tcW w:w="140" w:type="dxa"/>
            <w:tcBorders/>
            <w:shd w:fill="auto" w:val="clear"/>
            <w:vAlign w:val="bottom"/>
          </w:tcPr>
          <w:p>
            <w:pPr>
              <w:pStyle w:val="TableContents"/>
              <w:spacing w:before="0" w:after="283"/>
              <w:rPr/>
            </w:pPr>
            <w:r>
              <w:rPr/>
              <w:t>)</w:t>
            </w:r>
          </w:p>
        </w:tc>
      </w:tr>
      <w:tr>
        <w:trPr/>
        <w:tc>
          <w:tcPr>
            <w:tcW w:w="7304" w:type="dxa"/>
            <w:tcBorders/>
            <w:shd w:fill="CCEEFF" w:val="clear"/>
            <w:vAlign w:val="bottom"/>
          </w:tcPr>
          <w:p>
            <w:pPr>
              <w:pStyle w:val="TableContents"/>
              <w:spacing w:before="0" w:after="0"/>
              <w:ind w:left="225" w:right="0" w:hanging="225"/>
              <w:rPr/>
            </w:pPr>
            <w:r>
              <w:rPr/>
              <w:t>Adjustments to reconcile net loss to net cash provided by (used in) operating activities:</w:t>
            </w:r>
          </w:p>
        </w:tc>
        <w:tc>
          <w:tcPr>
            <w:tcW w:w="2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7304" w:type="dxa"/>
            <w:tcBorders/>
            <w:shd w:fill="auto" w:val="clear"/>
            <w:vAlign w:val="bottom"/>
          </w:tcPr>
          <w:p>
            <w:pPr>
              <w:pStyle w:val="TableContents"/>
              <w:spacing w:before="0" w:after="0"/>
              <w:ind w:left="450" w:right="0" w:hanging="225"/>
              <w:rPr/>
            </w:pPr>
            <w:r>
              <w:rPr/>
              <w:t>Depreciation and amortization</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828</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452</w:t>
            </w:r>
          </w:p>
        </w:tc>
        <w:tc>
          <w:tcPr>
            <w:tcW w:w="140" w:type="dxa"/>
            <w:tcBorders/>
            <w:shd w:fill="auto" w:val="clear"/>
            <w:vAlign w:val="bottom"/>
          </w:tcPr>
          <w:p>
            <w:pPr>
              <w:pStyle w:val="TableContents"/>
              <w:spacing w:before="0" w:after="283"/>
              <w:rPr/>
            </w:pPr>
            <w:r>
              <w:rPr/>
              <w:t> </w:t>
            </w:r>
          </w:p>
        </w:tc>
      </w:tr>
      <w:tr>
        <w:trPr/>
        <w:tc>
          <w:tcPr>
            <w:tcW w:w="7304" w:type="dxa"/>
            <w:tcBorders/>
            <w:shd w:fill="CCEEFF" w:val="clear"/>
            <w:vAlign w:val="bottom"/>
          </w:tcPr>
          <w:p>
            <w:pPr>
              <w:pStyle w:val="TableContents"/>
              <w:spacing w:before="0" w:after="0"/>
              <w:ind w:left="450" w:right="0" w:hanging="225"/>
              <w:rPr/>
            </w:pPr>
            <w:r>
              <w:rPr/>
              <w:t>Stock compensation expense</w:t>
            </w:r>
          </w:p>
        </w:tc>
        <w:tc>
          <w:tcPr>
            <w:tcW w:w="2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13</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8</w:t>
            </w:r>
          </w:p>
        </w:tc>
        <w:tc>
          <w:tcPr>
            <w:tcW w:w="140" w:type="dxa"/>
            <w:tcBorders/>
            <w:shd w:fill="CCEEFF" w:val="clear"/>
            <w:vAlign w:val="bottom"/>
          </w:tcPr>
          <w:p>
            <w:pPr>
              <w:pStyle w:val="TableContents"/>
              <w:spacing w:before="0" w:after="283"/>
              <w:rPr/>
            </w:pPr>
            <w:r>
              <w:rPr/>
              <w:t> </w:t>
            </w:r>
          </w:p>
        </w:tc>
      </w:tr>
      <w:tr>
        <w:trPr/>
        <w:tc>
          <w:tcPr>
            <w:tcW w:w="7304" w:type="dxa"/>
            <w:tcBorders/>
            <w:shd w:fill="auto" w:val="clear"/>
            <w:vAlign w:val="bottom"/>
          </w:tcPr>
          <w:p>
            <w:pPr>
              <w:pStyle w:val="TableContents"/>
              <w:spacing w:before="0" w:after="0"/>
              <w:ind w:left="450" w:right="0" w:hanging="225"/>
              <w:rPr/>
            </w:pPr>
            <w:r>
              <w:rPr/>
              <w:t>Provision for losses on accounts receivable</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4</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25</w:t>
            </w:r>
          </w:p>
        </w:tc>
        <w:tc>
          <w:tcPr>
            <w:tcW w:w="140" w:type="dxa"/>
            <w:tcBorders/>
            <w:shd w:fill="auto" w:val="clear"/>
            <w:vAlign w:val="bottom"/>
          </w:tcPr>
          <w:p>
            <w:pPr>
              <w:pStyle w:val="TableContents"/>
              <w:spacing w:before="0" w:after="283"/>
              <w:rPr/>
            </w:pPr>
            <w:r>
              <w:rPr/>
              <w:t> </w:t>
            </w:r>
          </w:p>
        </w:tc>
      </w:tr>
      <w:tr>
        <w:trPr/>
        <w:tc>
          <w:tcPr>
            <w:tcW w:w="7304" w:type="dxa"/>
            <w:tcBorders/>
            <w:shd w:fill="CCEEFF" w:val="clear"/>
            <w:vAlign w:val="bottom"/>
          </w:tcPr>
          <w:p>
            <w:pPr>
              <w:pStyle w:val="TableContents"/>
              <w:spacing w:before="0" w:after="0"/>
              <w:ind w:left="225" w:right="0" w:hanging="225"/>
              <w:rPr/>
            </w:pPr>
            <w:r>
              <w:rPr/>
              <w:t>Effect on cash of changes in operating assets and liabilities:</w:t>
            </w:r>
          </w:p>
        </w:tc>
        <w:tc>
          <w:tcPr>
            <w:tcW w:w="2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7304" w:type="dxa"/>
            <w:tcBorders/>
            <w:shd w:fill="auto" w:val="clear"/>
            <w:vAlign w:val="bottom"/>
          </w:tcPr>
          <w:p>
            <w:pPr>
              <w:pStyle w:val="TableContents"/>
              <w:spacing w:before="0" w:after="0"/>
              <w:ind w:left="675" w:right="0" w:hanging="225"/>
              <w:rPr/>
            </w:pPr>
            <w:r>
              <w:rPr/>
              <w:t>Accounts receivable</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2,399</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(3,569</w:t>
            </w:r>
          </w:p>
        </w:tc>
        <w:tc>
          <w:tcPr>
            <w:tcW w:w="140" w:type="dxa"/>
            <w:tcBorders/>
            <w:shd w:fill="auto" w:val="clear"/>
            <w:vAlign w:val="bottom"/>
          </w:tcPr>
          <w:p>
            <w:pPr>
              <w:pStyle w:val="TableContents"/>
              <w:spacing w:before="0" w:after="283"/>
              <w:rPr/>
            </w:pPr>
            <w:r>
              <w:rPr/>
              <w:t>)</w:t>
            </w:r>
          </w:p>
        </w:tc>
      </w:tr>
      <w:tr>
        <w:trPr/>
        <w:tc>
          <w:tcPr>
            <w:tcW w:w="7304" w:type="dxa"/>
            <w:tcBorders/>
            <w:shd w:fill="CCEEFF" w:val="clear"/>
            <w:vAlign w:val="bottom"/>
          </w:tcPr>
          <w:p>
            <w:pPr>
              <w:pStyle w:val="TableContents"/>
              <w:spacing w:before="0" w:after="0"/>
              <w:ind w:left="675" w:right="0" w:hanging="225"/>
              <w:rPr/>
            </w:pPr>
            <w:r>
              <w:rPr/>
              <w:t>Inventories, net</w:t>
            </w:r>
          </w:p>
        </w:tc>
        <w:tc>
          <w:tcPr>
            <w:tcW w:w="2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102</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(2,518</w:t>
            </w:r>
          </w:p>
        </w:tc>
        <w:tc>
          <w:tcPr>
            <w:tcW w:w="140" w:type="dxa"/>
            <w:tcBorders/>
            <w:shd w:fill="CCEEFF" w:val="clear"/>
            <w:vAlign w:val="bottom"/>
          </w:tcPr>
          <w:p>
            <w:pPr>
              <w:pStyle w:val="TableContents"/>
              <w:spacing w:before="0" w:after="283"/>
              <w:rPr/>
            </w:pPr>
            <w:r>
              <w:rPr/>
              <w:t>)</w:t>
            </w:r>
          </w:p>
        </w:tc>
      </w:tr>
      <w:tr>
        <w:trPr/>
        <w:tc>
          <w:tcPr>
            <w:tcW w:w="7304" w:type="dxa"/>
            <w:tcBorders/>
            <w:shd w:fill="auto" w:val="clear"/>
            <w:vAlign w:val="bottom"/>
          </w:tcPr>
          <w:p>
            <w:pPr>
              <w:pStyle w:val="TableContents"/>
              <w:spacing w:before="0" w:after="0"/>
              <w:ind w:left="675" w:right="0" w:hanging="225"/>
              <w:rPr/>
            </w:pPr>
            <w:r>
              <w:rPr/>
              <w:t>Prepaid expenses and other assets</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4</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(302</w:t>
            </w:r>
          </w:p>
        </w:tc>
        <w:tc>
          <w:tcPr>
            <w:tcW w:w="140" w:type="dxa"/>
            <w:tcBorders/>
            <w:shd w:fill="auto" w:val="clear"/>
            <w:vAlign w:val="bottom"/>
          </w:tcPr>
          <w:p>
            <w:pPr>
              <w:pStyle w:val="TableContents"/>
              <w:spacing w:before="0" w:after="283"/>
              <w:rPr/>
            </w:pPr>
            <w:r>
              <w:rPr/>
              <w:t>)</w:t>
            </w:r>
          </w:p>
        </w:tc>
      </w:tr>
      <w:tr>
        <w:trPr/>
        <w:tc>
          <w:tcPr>
            <w:tcW w:w="7304" w:type="dxa"/>
            <w:tcBorders/>
            <w:shd w:fill="CCEEFF" w:val="clear"/>
            <w:vAlign w:val="bottom"/>
          </w:tcPr>
          <w:p>
            <w:pPr>
              <w:pStyle w:val="TableContents"/>
              <w:spacing w:before="0" w:after="0"/>
              <w:ind w:left="675" w:right="0" w:hanging="225"/>
              <w:rPr/>
            </w:pPr>
            <w:r>
              <w:rPr/>
              <w:t>Loans to growers</w:t>
            </w:r>
          </w:p>
        </w:tc>
        <w:tc>
          <w:tcPr>
            <w:tcW w:w="2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44" w:type="dxa"/>
            <w:tcBorders/>
            <w:shd w:fill="CCEEFF" w:val="clear"/>
            <w:vAlign w:val="bottom"/>
          </w:tcPr>
          <w:p>
            <w:pPr>
              <w:pStyle w:val="TableContents"/>
              <w:spacing w:before="0" w:after="283"/>
              <w:jc w:val="right"/>
              <w:rPr/>
            </w:pPr>
            <w:r>
              <w:rPr/>
              <w:t>(37</w:t>
            </w:r>
          </w:p>
        </w:tc>
        <w:tc>
          <w:tcPr>
            <w:tcW w:w="147" w:type="dxa"/>
            <w:tcBorders/>
            <w:shd w:fill="CCEEFF" w:val="clear"/>
            <w:vAlign w:val="bottom"/>
          </w:tcPr>
          <w:p>
            <w:pPr>
              <w:pStyle w:val="TableContents"/>
              <w:spacing w:before="0" w:after="283"/>
              <w:rPr/>
            </w:pPr>
            <w:r>
              <w:rPr/>
              <w:t>)</w:t>
            </w:r>
          </w:p>
        </w:tc>
        <w:tc>
          <w:tcPr>
            <w:tcW w:w="2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(10</w:t>
            </w:r>
          </w:p>
        </w:tc>
        <w:tc>
          <w:tcPr>
            <w:tcW w:w="140" w:type="dxa"/>
            <w:tcBorders/>
            <w:shd w:fill="CCEEFF" w:val="clear"/>
            <w:vAlign w:val="bottom"/>
          </w:tcPr>
          <w:p>
            <w:pPr>
              <w:pStyle w:val="TableContents"/>
              <w:spacing w:before="0" w:after="283"/>
              <w:rPr/>
            </w:pPr>
            <w:r>
              <w:rPr/>
              <w:t>)</w:t>
            </w:r>
          </w:p>
        </w:tc>
      </w:tr>
      <w:tr>
        <w:trPr/>
        <w:tc>
          <w:tcPr>
            <w:tcW w:w="7304" w:type="dxa"/>
            <w:tcBorders/>
            <w:shd w:fill="auto" w:val="clear"/>
            <w:vAlign w:val="bottom"/>
          </w:tcPr>
          <w:p>
            <w:pPr>
              <w:pStyle w:val="TableContents"/>
              <w:spacing w:before="0" w:after="0"/>
              <w:ind w:left="675" w:right="0" w:hanging="225"/>
              <w:rPr/>
            </w:pPr>
            <w:r>
              <w:rPr/>
              <w:t>Advances to suppliers</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2,165</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173</w:t>
            </w:r>
          </w:p>
        </w:tc>
        <w:tc>
          <w:tcPr>
            <w:tcW w:w="140" w:type="dxa"/>
            <w:tcBorders/>
            <w:shd w:fill="auto" w:val="clear"/>
            <w:vAlign w:val="bottom"/>
          </w:tcPr>
          <w:p>
            <w:pPr>
              <w:pStyle w:val="TableContents"/>
              <w:spacing w:before="0" w:after="283"/>
              <w:rPr/>
            </w:pPr>
            <w:r>
              <w:rPr/>
              <w:t> </w:t>
            </w:r>
          </w:p>
        </w:tc>
      </w:tr>
      <w:tr>
        <w:trPr/>
        <w:tc>
          <w:tcPr>
            <w:tcW w:w="7304" w:type="dxa"/>
            <w:tcBorders/>
            <w:shd w:fill="CCEEFF" w:val="clear"/>
            <w:vAlign w:val="bottom"/>
          </w:tcPr>
          <w:p>
            <w:pPr>
              <w:pStyle w:val="TableContents"/>
              <w:spacing w:before="0" w:after="0"/>
              <w:ind w:left="675" w:right="0" w:hanging="225"/>
              <w:rPr/>
            </w:pPr>
            <w:r>
              <w:rPr/>
              <w:t>Income taxes receivable</w:t>
            </w:r>
          </w:p>
        </w:tc>
        <w:tc>
          <w:tcPr>
            <w:tcW w:w="2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44" w:type="dxa"/>
            <w:tcBorders/>
            <w:shd w:fill="CCEEFF" w:val="clear"/>
            <w:vAlign w:val="bottom"/>
          </w:tcPr>
          <w:p>
            <w:pPr>
              <w:pStyle w:val="TableContents"/>
              <w:spacing w:before="0" w:after="283"/>
              <w:jc w:val="right"/>
              <w:rPr/>
            </w:pPr>
            <w:r>
              <w:rPr/>
              <w:t>(896</w:t>
            </w:r>
          </w:p>
        </w:tc>
        <w:tc>
          <w:tcPr>
            <w:tcW w:w="147" w:type="dxa"/>
            <w:tcBorders/>
            <w:shd w:fill="CCEEFF" w:val="clear"/>
            <w:vAlign w:val="bottom"/>
          </w:tcPr>
          <w:p>
            <w:pPr>
              <w:pStyle w:val="TableContents"/>
              <w:spacing w:before="0" w:after="283"/>
              <w:rPr/>
            </w:pPr>
            <w:r>
              <w:rPr/>
              <w:t>)</w:t>
            </w:r>
          </w:p>
        </w:tc>
        <w:tc>
          <w:tcPr>
            <w:tcW w:w="2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(262</w:t>
            </w:r>
          </w:p>
        </w:tc>
        <w:tc>
          <w:tcPr>
            <w:tcW w:w="140" w:type="dxa"/>
            <w:tcBorders/>
            <w:shd w:fill="CCEEFF" w:val="clear"/>
            <w:vAlign w:val="bottom"/>
          </w:tcPr>
          <w:p>
            <w:pPr>
              <w:pStyle w:val="TableContents"/>
              <w:spacing w:before="0" w:after="283"/>
              <w:rPr/>
            </w:pPr>
            <w:r>
              <w:rPr/>
              <w:t>)</w:t>
            </w:r>
          </w:p>
        </w:tc>
      </w:tr>
      <w:tr>
        <w:trPr/>
        <w:tc>
          <w:tcPr>
            <w:tcW w:w="7304" w:type="dxa"/>
            <w:tcBorders/>
            <w:shd w:fill="auto" w:val="clear"/>
            <w:vAlign w:val="bottom"/>
          </w:tcPr>
          <w:p>
            <w:pPr>
              <w:pStyle w:val="TableContents"/>
              <w:spacing w:before="0" w:after="0"/>
              <w:ind w:left="675" w:right="0" w:hanging="225"/>
              <w:rPr/>
            </w:pPr>
            <w:r>
              <w:rPr/>
              <w:t>Payable to growers</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283"/>
              <w:jc w:val="right"/>
              <w:rPr/>
            </w:pPr>
            <w:r>
              <w:rPr/>
              <w:t>(3,005</w:t>
            </w:r>
          </w:p>
        </w:tc>
        <w:tc>
          <w:tcPr>
            <w:tcW w:w="147" w:type="dxa"/>
            <w:tcBorders/>
            <w:shd w:fill="auto" w:val="clear"/>
            <w:vAlign w:val="bottom"/>
          </w:tcPr>
          <w:p>
            <w:pPr>
              <w:pStyle w:val="TableContents"/>
              <w:spacing w:before="0" w:after="283"/>
              <w:rPr/>
            </w:pPr>
            <w:r>
              <w:rPr/>
              <w:t>)</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2,645</w:t>
            </w:r>
          </w:p>
        </w:tc>
        <w:tc>
          <w:tcPr>
            <w:tcW w:w="140" w:type="dxa"/>
            <w:tcBorders/>
            <w:shd w:fill="auto" w:val="clear"/>
            <w:vAlign w:val="bottom"/>
          </w:tcPr>
          <w:p>
            <w:pPr>
              <w:pStyle w:val="TableContents"/>
              <w:spacing w:before="0" w:after="283"/>
              <w:rPr/>
            </w:pPr>
            <w:r>
              <w:rPr/>
              <w:t> </w:t>
            </w:r>
          </w:p>
        </w:tc>
      </w:tr>
      <w:tr>
        <w:trPr/>
        <w:tc>
          <w:tcPr>
            <w:tcW w:w="7304" w:type="dxa"/>
            <w:tcBorders/>
            <w:shd w:fill="CCEEFF" w:val="clear"/>
            <w:vAlign w:val="bottom"/>
          </w:tcPr>
          <w:p>
            <w:pPr>
              <w:pStyle w:val="TableContents"/>
              <w:spacing w:before="0" w:after="0"/>
              <w:ind w:left="675" w:right="0" w:hanging="225"/>
              <w:rPr/>
            </w:pPr>
            <w:r>
              <w:rPr/>
              <w:t>Trade accounts payable and accrued expenses</w:t>
            </w:r>
          </w:p>
        </w:tc>
        <w:tc>
          <w:tcPr>
            <w:tcW w:w="2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3,648</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1,668</w:t>
            </w:r>
          </w:p>
        </w:tc>
        <w:tc>
          <w:tcPr>
            <w:tcW w:w="140" w:type="dxa"/>
            <w:tcBorders/>
            <w:shd w:fill="CCEEFF" w:val="clear"/>
            <w:vAlign w:val="bottom"/>
          </w:tcPr>
          <w:p>
            <w:pPr>
              <w:pStyle w:val="TableContents"/>
              <w:spacing w:before="0" w:after="283"/>
              <w:rPr/>
            </w:pPr>
            <w:r>
              <w:rPr/>
              <w:t> </w:t>
            </w:r>
          </w:p>
        </w:tc>
      </w:tr>
      <w:tr>
        <w:trPr/>
        <w:tc>
          <w:tcPr>
            <w:tcW w:w="7304" w:type="dxa"/>
            <w:tcBorders/>
            <w:shd w:fill="auto" w:val="clear"/>
            <w:vAlign w:val="bottom"/>
          </w:tcPr>
          <w:p>
            <w:pPr>
              <w:pStyle w:val="TableContents"/>
              <w:spacing w:before="0" w:after="0"/>
              <w:ind w:left="675" w:right="0" w:hanging="225"/>
              <w:rPr/>
            </w:pPr>
            <w:r>
              <w:rPr/>
              <w:t>Income taxes payable</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(51</w:t>
            </w:r>
          </w:p>
        </w:tc>
        <w:tc>
          <w:tcPr>
            <w:tcW w:w="140" w:type="dxa"/>
            <w:tcBorders/>
            <w:shd w:fill="auto" w:val="clear"/>
            <w:vAlign w:val="bottom"/>
          </w:tcPr>
          <w:p>
            <w:pPr>
              <w:pStyle w:val="TableContents"/>
              <w:spacing w:before="0" w:after="283"/>
              <w:rPr/>
            </w:pPr>
            <w:r>
              <w:rPr/>
              <w:t>)</w:t>
            </w:r>
          </w:p>
        </w:tc>
      </w:tr>
      <w:tr>
        <w:trPr/>
        <w:tc>
          <w:tcPr>
            <w:tcW w:w="7304" w:type="dxa"/>
            <w:tcBorders/>
            <w:shd w:fill="auto" w:val="clear"/>
            <w:vAlign w:val="center"/>
          </w:tcPr>
          <w:p>
            <w:pPr>
              <w:pStyle w:val="TableContents"/>
              <w:spacing w:before="0" w:after="0"/>
              <w:ind w:left="225" w:right="0" w:hanging="225"/>
              <w:rPr/>
            </w:pPr>
            <w:r>
              <w:rPr/>
              <w:t> </w:t>
            </w:r>
          </w:p>
        </w:tc>
        <w:tc>
          <w:tcPr>
            <w:tcW w:w="282" w:type="dxa"/>
            <w:tcBorders/>
            <w:shd w:fill="auto" w:val="clear"/>
            <w:vAlign w:val="center"/>
          </w:tcPr>
          <w:p>
            <w:pPr>
              <w:pStyle w:val="TableContents"/>
              <w:spacing w:before="0" w:after="283"/>
              <w:rPr/>
            </w:pPr>
            <w:r>
              <w:rPr/>
              <w:t> </w:t>
            </w:r>
          </w:p>
        </w:tc>
        <w:tc>
          <w:tcPr>
            <w:tcW w:w="10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7304" w:type="dxa"/>
            <w:tcBorders/>
            <w:shd w:fill="CCEEFF" w:val="clear"/>
            <w:vAlign w:val="bottom"/>
          </w:tcPr>
          <w:p>
            <w:pPr>
              <w:pStyle w:val="TableContents"/>
              <w:spacing w:before="0" w:after="0"/>
              <w:ind w:left="900" w:right="0" w:hanging="225"/>
              <w:rPr/>
            </w:pPr>
            <w:r>
              <w:rPr/>
              <w:t>Net cash provided by (used in) operating activities</w:t>
            </w:r>
          </w:p>
        </w:tc>
        <w:tc>
          <w:tcPr>
            <w:tcW w:w="2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3,678</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(2,035</w:t>
            </w:r>
          </w:p>
        </w:tc>
        <w:tc>
          <w:tcPr>
            <w:tcW w:w="140" w:type="dxa"/>
            <w:tcBorders/>
            <w:shd w:fill="CCEEFF" w:val="clear"/>
            <w:vAlign w:val="bottom"/>
          </w:tcPr>
          <w:p>
            <w:pPr>
              <w:pStyle w:val="TableContents"/>
              <w:spacing w:before="0" w:after="283"/>
              <w:rPr/>
            </w:pPr>
            <w:r>
              <w:rPr/>
              <w:t>)</w:t>
            </w:r>
          </w:p>
        </w:tc>
      </w:tr>
      <w:tr>
        <w:trPr/>
        <w:tc>
          <w:tcPr>
            <w:tcW w:w="7304" w:type="dxa"/>
            <w:tcBorders/>
            <w:shd w:fill="auto" w:val="clear"/>
            <w:vAlign w:val="bottom"/>
          </w:tcPr>
          <w:p>
            <w:pPr>
              <w:pStyle w:val="TableContents"/>
              <w:spacing w:before="0" w:after="0"/>
              <w:ind w:left="225" w:right="0" w:hanging="225"/>
              <w:rPr>
                <w:b/>
              </w:rPr>
            </w:pPr>
            <w:r>
              <w:rPr>
                <w:b/>
              </w:rPr>
              <w:t>Cash Flows from Investing Activities:</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7304" w:type="dxa"/>
            <w:tcBorders/>
            <w:shd w:fill="CCEEFF" w:val="clear"/>
            <w:vAlign w:val="bottom"/>
          </w:tcPr>
          <w:p>
            <w:pPr>
              <w:pStyle w:val="TableContents"/>
              <w:spacing w:before="0" w:after="0"/>
              <w:ind w:left="225" w:right="0" w:hanging="225"/>
              <w:rPr/>
            </w:pPr>
            <w:r>
              <w:rPr/>
              <w:t>Acquisitions of and deposits on property, plant, and equipment</w:t>
            </w:r>
          </w:p>
        </w:tc>
        <w:tc>
          <w:tcPr>
            <w:tcW w:w="2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44" w:type="dxa"/>
            <w:tcBorders/>
            <w:shd w:fill="CCEEFF" w:val="clear"/>
            <w:vAlign w:val="bottom"/>
          </w:tcPr>
          <w:p>
            <w:pPr>
              <w:pStyle w:val="TableContents"/>
              <w:spacing w:before="0" w:after="283"/>
              <w:jc w:val="right"/>
              <w:rPr/>
            </w:pPr>
            <w:r>
              <w:rPr/>
              <w:t>(736</w:t>
            </w:r>
          </w:p>
        </w:tc>
        <w:tc>
          <w:tcPr>
            <w:tcW w:w="147" w:type="dxa"/>
            <w:tcBorders/>
            <w:shd w:fill="CCEEFF" w:val="clear"/>
            <w:vAlign w:val="bottom"/>
          </w:tcPr>
          <w:p>
            <w:pPr>
              <w:pStyle w:val="TableContents"/>
              <w:spacing w:before="0" w:after="283"/>
              <w:rPr/>
            </w:pPr>
            <w:r>
              <w:rPr/>
              <w:t>)</w:t>
            </w:r>
          </w:p>
        </w:tc>
        <w:tc>
          <w:tcPr>
            <w:tcW w:w="2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(2,823</w:t>
            </w:r>
          </w:p>
        </w:tc>
        <w:tc>
          <w:tcPr>
            <w:tcW w:w="140" w:type="dxa"/>
            <w:tcBorders/>
            <w:shd w:fill="CCEEFF" w:val="clear"/>
            <w:vAlign w:val="bottom"/>
          </w:tcPr>
          <w:p>
            <w:pPr>
              <w:pStyle w:val="TableContents"/>
              <w:spacing w:before="0" w:after="283"/>
              <w:rPr/>
            </w:pPr>
            <w:r>
              <w:rPr/>
              <w:t>)</w:t>
            </w:r>
          </w:p>
        </w:tc>
      </w:tr>
      <w:tr>
        <w:trPr/>
        <w:tc>
          <w:tcPr>
            <w:tcW w:w="7304" w:type="dxa"/>
            <w:tcBorders/>
            <w:shd w:fill="auto" w:val="clear"/>
            <w:vAlign w:val="center"/>
          </w:tcPr>
          <w:p>
            <w:pPr>
              <w:pStyle w:val="TableContents"/>
              <w:spacing w:before="0" w:after="0"/>
              <w:ind w:left="225" w:right="0" w:hanging="225"/>
              <w:rPr/>
            </w:pPr>
            <w:r>
              <w:rPr/>
              <w:t> </w:t>
            </w:r>
          </w:p>
        </w:tc>
        <w:tc>
          <w:tcPr>
            <w:tcW w:w="282" w:type="dxa"/>
            <w:tcBorders/>
            <w:shd w:fill="auto" w:val="clear"/>
            <w:vAlign w:val="center"/>
          </w:tcPr>
          <w:p>
            <w:pPr>
              <w:pStyle w:val="TableContents"/>
              <w:spacing w:before="0" w:after="283"/>
              <w:rPr/>
            </w:pPr>
            <w:r>
              <w:rPr/>
              <w:t> </w:t>
            </w:r>
          </w:p>
        </w:tc>
        <w:tc>
          <w:tcPr>
            <w:tcW w:w="10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7304" w:type="dxa"/>
            <w:tcBorders/>
            <w:shd w:fill="auto" w:val="clear"/>
            <w:vAlign w:val="bottom"/>
          </w:tcPr>
          <w:p>
            <w:pPr>
              <w:pStyle w:val="TableContents"/>
              <w:spacing w:before="0" w:after="0"/>
              <w:ind w:left="900" w:right="0" w:hanging="225"/>
              <w:rPr/>
            </w:pPr>
            <w:r>
              <w:rPr/>
              <w:t>Net cash used in investing activities</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283"/>
              <w:jc w:val="right"/>
              <w:rPr/>
            </w:pPr>
            <w:r>
              <w:rPr/>
              <w:t>(736</w:t>
            </w:r>
          </w:p>
        </w:tc>
        <w:tc>
          <w:tcPr>
            <w:tcW w:w="147" w:type="dxa"/>
            <w:tcBorders/>
            <w:shd w:fill="auto" w:val="clear"/>
            <w:vAlign w:val="bottom"/>
          </w:tcPr>
          <w:p>
            <w:pPr>
              <w:pStyle w:val="TableContents"/>
              <w:spacing w:before="0" w:after="283"/>
              <w:rPr/>
            </w:pPr>
            <w:r>
              <w:rPr/>
              <w:t>)</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(2,823</w:t>
            </w:r>
          </w:p>
        </w:tc>
        <w:tc>
          <w:tcPr>
            <w:tcW w:w="140" w:type="dxa"/>
            <w:tcBorders/>
            <w:shd w:fill="auto" w:val="clear"/>
            <w:vAlign w:val="bottom"/>
          </w:tcPr>
          <w:p>
            <w:pPr>
              <w:pStyle w:val="TableContents"/>
              <w:spacing w:before="0" w:after="283"/>
              <w:rPr/>
            </w:pPr>
            <w:r>
              <w:rPr/>
              <w:t>)</w:t>
            </w:r>
          </w:p>
        </w:tc>
      </w:tr>
      <w:tr>
        <w:trPr/>
        <w:tc>
          <w:tcPr>
            <w:tcW w:w="7304" w:type="dxa"/>
            <w:tcBorders/>
            <w:shd w:fill="CCEEFF" w:val="clear"/>
            <w:vAlign w:val="bottom"/>
          </w:tcPr>
          <w:p>
            <w:pPr>
              <w:pStyle w:val="TableContents"/>
              <w:spacing w:before="0" w:after="0"/>
              <w:ind w:left="225" w:right="0" w:hanging="225"/>
              <w:rPr>
                <w:b/>
              </w:rPr>
            </w:pPr>
            <w:r>
              <w:rPr>
                <w:b/>
              </w:rPr>
              <w:t>Cash Flows from Financing Activities:</w:t>
            </w:r>
          </w:p>
        </w:tc>
        <w:tc>
          <w:tcPr>
            <w:tcW w:w="2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7304" w:type="dxa"/>
            <w:tcBorders/>
            <w:shd w:fill="auto" w:val="clear"/>
            <w:vAlign w:val="bottom"/>
          </w:tcPr>
          <w:p>
            <w:pPr>
              <w:pStyle w:val="TableContents"/>
              <w:spacing w:before="0" w:after="0"/>
              <w:ind w:left="225" w:right="0" w:hanging="225"/>
              <w:rPr/>
            </w:pPr>
            <w:r>
              <w:rPr/>
              <w:t>Payment of dividend to shareholders</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283"/>
              <w:jc w:val="right"/>
              <w:rPr/>
            </w:pPr>
            <w:r>
              <w:rPr/>
              <w:t>(4,052</w:t>
            </w:r>
          </w:p>
        </w:tc>
        <w:tc>
          <w:tcPr>
            <w:tcW w:w="147" w:type="dxa"/>
            <w:tcBorders/>
            <w:shd w:fill="auto" w:val="clear"/>
            <w:vAlign w:val="bottom"/>
          </w:tcPr>
          <w:p>
            <w:pPr>
              <w:pStyle w:val="TableContents"/>
              <w:spacing w:before="0" w:after="283"/>
              <w:rPr/>
            </w:pPr>
            <w:r>
              <w:rPr/>
              <w:t>)</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(3,376</w:t>
            </w:r>
          </w:p>
        </w:tc>
        <w:tc>
          <w:tcPr>
            <w:tcW w:w="140" w:type="dxa"/>
            <w:tcBorders/>
            <w:shd w:fill="auto" w:val="clear"/>
            <w:vAlign w:val="bottom"/>
          </w:tcPr>
          <w:p>
            <w:pPr>
              <w:pStyle w:val="TableContents"/>
              <w:spacing w:before="0" w:after="283"/>
              <w:rPr/>
            </w:pPr>
            <w:r>
              <w:rPr/>
              <w:t>)</w:t>
            </w:r>
          </w:p>
        </w:tc>
      </w:tr>
      <w:tr>
        <w:trPr/>
        <w:tc>
          <w:tcPr>
            <w:tcW w:w="7304" w:type="dxa"/>
            <w:tcBorders/>
            <w:shd w:fill="CCEEFF" w:val="clear"/>
            <w:vAlign w:val="bottom"/>
          </w:tcPr>
          <w:p>
            <w:pPr>
              <w:pStyle w:val="TableContents"/>
              <w:spacing w:before="0" w:after="0"/>
              <w:ind w:left="225" w:right="0" w:hanging="225"/>
              <w:rPr/>
            </w:pPr>
            <w:r>
              <w:rPr/>
              <w:t>Proceeds from short-term borrowings, net</w:t>
            </w:r>
          </w:p>
        </w:tc>
        <w:tc>
          <w:tcPr>
            <w:tcW w:w="2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1,000</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3,500</w:t>
            </w:r>
          </w:p>
        </w:tc>
        <w:tc>
          <w:tcPr>
            <w:tcW w:w="140" w:type="dxa"/>
            <w:tcBorders/>
            <w:shd w:fill="CCEEFF" w:val="clear"/>
            <w:vAlign w:val="bottom"/>
          </w:tcPr>
          <w:p>
            <w:pPr>
              <w:pStyle w:val="TableContents"/>
              <w:spacing w:before="0" w:after="283"/>
              <w:rPr/>
            </w:pPr>
            <w:r>
              <w:rPr/>
              <w:t> </w:t>
            </w:r>
          </w:p>
        </w:tc>
      </w:tr>
      <w:tr>
        <w:trPr/>
        <w:tc>
          <w:tcPr>
            <w:tcW w:w="7304" w:type="dxa"/>
            <w:tcBorders/>
            <w:shd w:fill="auto" w:val="clear"/>
            <w:vAlign w:val="bottom"/>
          </w:tcPr>
          <w:p>
            <w:pPr>
              <w:pStyle w:val="TableContents"/>
              <w:spacing w:before="0" w:after="0"/>
              <w:ind w:left="225" w:right="0" w:hanging="225"/>
              <w:rPr/>
            </w:pPr>
            <w:r>
              <w:rPr/>
              <w:t>Collection on notes receivable</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26</w:t>
            </w:r>
          </w:p>
        </w:tc>
        <w:tc>
          <w:tcPr>
            <w:tcW w:w="140" w:type="dxa"/>
            <w:tcBorders/>
            <w:shd w:fill="auto" w:val="clear"/>
            <w:vAlign w:val="bottom"/>
          </w:tcPr>
          <w:p>
            <w:pPr>
              <w:pStyle w:val="TableContents"/>
              <w:spacing w:before="0" w:after="283"/>
              <w:rPr/>
            </w:pPr>
            <w:r>
              <w:rPr/>
              <w:t> </w:t>
            </w:r>
          </w:p>
        </w:tc>
      </w:tr>
      <w:tr>
        <w:trPr/>
        <w:tc>
          <w:tcPr>
            <w:tcW w:w="7304" w:type="dxa"/>
            <w:tcBorders/>
            <w:shd w:fill="CCEEFF" w:val="clear"/>
            <w:vAlign w:val="bottom"/>
          </w:tcPr>
          <w:p>
            <w:pPr>
              <w:pStyle w:val="TableContents"/>
              <w:spacing w:before="0" w:after="0"/>
              <w:ind w:left="225" w:right="0" w:hanging="225"/>
              <w:rPr/>
            </w:pPr>
            <w:r>
              <w:rPr/>
              <w:t>Payments on long-term obligations</w:t>
            </w:r>
          </w:p>
        </w:tc>
        <w:tc>
          <w:tcPr>
            <w:tcW w:w="2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44" w:type="dxa"/>
            <w:tcBorders/>
            <w:shd w:fill="CCEEFF" w:val="clear"/>
            <w:vAlign w:val="bottom"/>
          </w:tcPr>
          <w:p>
            <w:pPr>
              <w:pStyle w:val="TableContents"/>
              <w:spacing w:before="0" w:after="283"/>
              <w:jc w:val="right"/>
              <w:rPr/>
            </w:pPr>
            <w:r>
              <w:rPr/>
              <w:t>(15</w:t>
            </w:r>
          </w:p>
        </w:tc>
        <w:tc>
          <w:tcPr>
            <w:tcW w:w="147" w:type="dxa"/>
            <w:tcBorders/>
            <w:shd w:fill="CCEEFF" w:val="clear"/>
            <w:vAlign w:val="bottom"/>
          </w:tcPr>
          <w:p>
            <w:pPr>
              <w:pStyle w:val="TableContents"/>
              <w:spacing w:before="0" w:after="283"/>
              <w:rPr/>
            </w:pPr>
            <w:r>
              <w:rPr/>
              <w:t>)</w:t>
            </w:r>
          </w:p>
        </w:tc>
        <w:tc>
          <w:tcPr>
            <w:tcW w:w="2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(4</w:t>
            </w:r>
          </w:p>
        </w:tc>
        <w:tc>
          <w:tcPr>
            <w:tcW w:w="140" w:type="dxa"/>
            <w:tcBorders/>
            <w:shd w:fill="CCEEFF" w:val="clear"/>
            <w:vAlign w:val="bottom"/>
          </w:tcPr>
          <w:p>
            <w:pPr>
              <w:pStyle w:val="TableContents"/>
              <w:spacing w:before="0" w:after="283"/>
              <w:rPr/>
            </w:pPr>
            <w:r>
              <w:rPr/>
              <w:t>)</w:t>
            </w:r>
          </w:p>
        </w:tc>
      </w:tr>
      <w:tr>
        <w:trPr/>
        <w:tc>
          <w:tcPr>
            <w:tcW w:w="7304" w:type="dxa"/>
            <w:tcBorders/>
            <w:shd w:fill="auto" w:val="clear"/>
            <w:vAlign w:val="center"/>
          </w:tcPr>
          <w:p>
            <w:pPr>
              <w:pStyle w:val="TableContents"/>
              <w:spacing w:before="0" w:after="0"/>
              <w:ind w:left="225" w:right="0" w:hanging="225"/>
              <w:rPr/>
            </w:pPr>
            <w:r>
              <w:rPr/>
              <w:t> </w:t>
            </w:r>
          </w:p>
        </w:tc>
        <w:tc>
          <w:tcPr>
            <w:tcW w:w="282" w:type="dxa"/>
            <w:tcBorders/>
            <w:shd w:fill="auto" w:val="clear"/>
            <w:vAlign w:val="center"/>
          </w:tcPr>
          <w:p>
            <w:pPr>
              <w:pStyle w:val="TableContents"/>
              <w:spacing w:before="0" w:after="283"/>
              <w:rPr/>
            </w:pPr>
            <w:r>
              <w:rPr/>
              <w:t> </w:t>
            </w:r>
          </w:p>
        </w:tc>
        <w:tc>
          <w:tcPr>
            <w:tcW w:w="10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7304" w:type="dxa"/>
            <w:tcBorders/>
            <w:shd w:fill="auto" w:val="clear"/>
            <w:vAlign w:val="bottom"/>
          </w:tcPr>
          <w:p>
            <w:pPr>
              <w:pStyle w:val="TableContents"/>
              <w:spacing w:before="0" w:after="0"/>
              <w:ind w:left="900" w:right="0" w:hanging="225"/>
              <w:rPr/>
            </w:pPr>
            <w:r>
              <w:rPr/>
              <w:t>Net cash provided by (used in) financing activities</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283"/>
              <w:jc w:val="right"/>
              <w:rPr/>
            </w:pPr>
            <w:r>
              <w:rPr/>
              <w:t>(3,067</w:t>
            </w:r>
          </w:p>
        </w:tc>
        <w:tc>
          <w:tcPr>
            <w:tcW w:w="147" w:type="dxa"/>
            <w:tcBorders/>
            <w:shd w:fill="auto" w:val="clear"/>
            <w:vAlign w:val="bottom"/>
          </w:tcPr>
          <w:p>
            <w:pPr>
              <w:pStyle w:val="TableContents"/>
              <w:spacing w:before="0" w:after="283"/>
              <w:rPr/>
            </w:pPr>
            <w:r>
              <w:rPr/>
              <w:t>)</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146</w:t>
            </w:r>
          </w:p>
        </w:tc>
        <w:tc>
          <w:tcPr>
            <w:tcW w:w="140" w:type="dxa"/>
            <w:tcBorders/>
            <w:shd w:fill="auto" w:val="clear"/>
            <w:vAlign w:val="bottom"/>
          </w:tcPr>
          <w:p>
            <w:pPr>
              <w:pStyle w:val="TableContents"/>
              <w:spacing w:before="0" w:after="283"/>
              <w:rPr/>
            </w:pPr>
            <w:r>
              <w:rPr/>
              <w:t> </w:t>
            </w:r>
          </w:p>
        </w:tc>
      </w:tr>
      <w:tr>
        <w:trPr/>
        <w:tc>
          <w:tcPr>
            <w:tcW w:w="7304" w:type="dxa"/>
            <w:tcBorders/>
            <w:shd w:fill="auto" w:val="clear"/>
            <w:vAlign w:val="center"/>
          </w:tcPr>
          <w:p>
            <w:pPr>
              <w:pStyle w:val="TableContents"/>
              <w:spacing w:before="0" w:after="0"/>
              <w:ind w:left="225" w:right="0" w:hanging="225"/>
              <w:rPr/>
            </w:pPr>
            <w:r>
              <w:rPr/>
              <w:t> </w:t>
            </w:r>
          </w:p>
        </w:tc>
        <w:tc>
          <w:tcPr>
            <w:tcW w:w="282" w:type="dxa"/>
            <w:tcBorders/>
            <w:shd w:fill="auto" w:val="clear"/>
            <w:vAlign w:val="center"/>
          </w:tcPr>
          <w:p>
            <w:pPr>
              <w:pStyle w:val="TableContents"/>
              <w:spacing w:before="0" w:after="283"/>
              <w:rPr/>
            </w:pPr>
            <w:r>
              <w:rPr/>
              <w:t> </w:t>
            </w:r>
          </w:p>
        </w:tc>
        <w:tc>
          <w:tcPr>
            <w:tcW w:w="10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7304" w:type="dxa"/>
            <w:tcBorders/>
            <w:shd w:fill="CCEEFF" w:val="clear"/>
            <w:vAlign w:val="bottom"/>
          </w:tcPr>
          <w:p>
            <w:pPr>
              <w:pStyle w:val="TableContents"/>
              <w:spacing w:before="0" w:after="0"/>
              <w:ind w:left="225" w:right="0" w:hanging="225"/>
              <w:rPr/>
            </w:pPr>
            <w:r>
              <w:rPr/>
              <w:t>Net decrease in cash and cash Equivalents</w:t>
            </w:r>
          </w:p>
        </w:tc>
        <w:tc>
          <w:tcPr>
            <w:tcW w:w="2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44" w:type="dxa"/>
            <w:tcBorders/>
            <w:shd w:fill="CCEEFF" w:val="clear"/>
            <w:vAlign w:val="bottom"/>
          </w:tcPr>
          <w:p>
            <w:pPr>
              <w:pStyle w:val="TableContents"/>
              <w:spacing w:before="0" w:after="283"/>
              <w:jc w:val="right"/>
              <w:rPr/>
            </w:pPr>
            <w:r>
              <w:rPr/>
              <w:t>(125</w:t>
            </w:r>
          </w:p>
        </w:tc>
        <w:tc>
          <w:tcPr>
            <w:tcW w:w="147" w:type="dxa"/>
            <w:tcBorders/>
            <w:shd w:fill="CCEEFF" w:val="clear"/>
            <w:vAlign w:val="bottom"/>
          </w:tcPr>
          <w:p>
            <w:pPr>
              <w:pStyle w:val="TableContents"/>
              <w:spacing w:before="0" w:after="283"/>
              <w:rPr/>
            </w:pPr>
            <w:r>
              <w:rPr/>
              <w:t>)</w:t>
            </w:r>
          </w:p>
        </w:tc>
        <w:tc>
          <w:tcPr>
            <w:tcW w:w="2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(4,712</w:t>
            </w:r>
          </w:p>
        </w:tc>
        <w:tc>
          <w:tcPr>
            <w:tcW w:w="140" w:type="dxa"/>
            <w:tcBorders/>
            <w:shd w:fill="CCEEFF" w:val="clear"/>
            <w:vAlign w:val="bottom"/>
          </w:tcPr>
          <w:p>
            <w:pPr>
              <w:pStyle w:val="TableContents"/>
              <w:spacing w:before="0" w:after="283"/>
              <w:rPr/>
            </w:pPr>
            <w:r>
              <w:rPr/>
              <w:t>)</w:t>
            </w:r>
          </w:p>
        </w:tc>
      </w:tr>
      <w:tr>
        <w:trPr/>
        <w:tc>
          <w:tcPr>
            <w:tcW w:w="7304" w:type="dxa"/>
            <w:tcBorders/>
            <w:shd w:fill="auto" w:val="clear"/>
            <w:vAlign w:val="bottom"/>
          </w:tcPr>
          <w:p>
            <w:pPr>
              <w:pStyle w:val="TableContents"/>
              <w:spacing w:before="0" w:after="0"/>
              <w:ind w:left="225" w:right="0" w:hanging="225"/>
              <w:rPr/>
            </w:pPr>
            <w:r>
              <w:rPr/>
              <w:t>Cash and cash equivalents, beginning of period</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636</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5,375</w:t>
            </w:r>
          </w:p>
        </w:tc>
        <w:tc>
          <w:tcPr>
            <w:tcW w:w="140" w:type="dxa"/>
            <w:tcBorders/>
            <w:shd w:fill="auto" w:val="clear"/>
            <w:vAlign w:val="bottom"/>
          </w:tcPr>
          <w:p>
            <w:pPr>
              <w:pStyle w:val="TableContents"/>
              <w:spacing w:before="0" w:after="283"/>
              <w:rPr/>
            </w:pPr>
            <w:r>
              <w:rPr/>
              <w:t> </w:t>
            </w:r>
          </w:p>
        </w:tc>
      </w:tr>
      <w:tr>
        <w:trPr/>
        <w:tc>
          <w:tcPr>
            <w:tcW w:w="7304" w:type="dxa"/>
            <w:tcBorders/>
            <w:shd w:fill="auto" w:val="clear"/>
            <w:vAlign w:val="center"/>
          </w:tcPr>
          <w:p>
            <w:pPr>
              <w:pStyle w:val="TableContents"/>
              <w:spacing w:before="0" w:after="0"/>
              <w:ind w:left="225" w:right="0" w:hanging="225"/>
              <w:rPr/>
            </w:pPr>
            <w:r>
              <w:rPr/>
              <w:t> </w:t>
            </w:r>
          </w:p>
        </w:tc>
        <w:tc>
          <w:tcPr>
            <w:tcW w:w="282" w:type="dxa"/>
            <w:tcBorders/>
            <w:shd w:fill="auto" w:val="clear"/>
            <w:vAlign w:val="center"/>
          </w:tcPr>
          <w:p>
            <w:pPr>
              <w:pStyle w:val="TableContents"/>
              <w:spacing w:before="0" w:after="283"/>
              <w:rPr/>
            </w:pPr>
            <w:r>
              <w:rPr/>
              <w:t> </w:t>
            </w:r>
          </w:p>
        </w:tc>
        <w:tc>
          <w:tcPr>
            <w:tcW w:w="10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7304" w:type="dxa"/>
            <w:tcBorders/>
            <w:shd w:fill="CCEEFF" w:val="clear"/>
            <w:vAlign w:val="bottom"/>
          </w:tcPr>
          <w:p>
            <w:pPr>
              <w:pStyle w:val="TableContents"/>
              <w:spacing w:before="0" w:after="0"/>
              <w:ind w:left="225" w:right="0" w:hanging="225"/>
              <w:rPr/>
            </w:pPr>
            <w:r>
              <w:rPr/>
              <w:t>Cash and cash equivalents, end of period</w:t>
            </w:r>
          </w:p>
        </w:tc>
        <w:tc>
          <w:tcPr>
            <w:tcW w:w="2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511</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45" w:type="dxa"/>
            <w:tcBorders/>
            <w:shd w:fill="CCEEFF" w:val="clear"/>
            <w:vAlign w:val="bottom"/>
          </w:tcPr>
          <w:p>
            <w:pPr>
              <w:pStyle w:val="TableContents"/>
              <w:spacing w:before="0" w:after="283"/>
              <w:jc w:val="right"/>
              <w:rPr/>
            </w:pPr>
            <w:r>
              <w:rPr/>
              <w:t>663</w:t>
            </w:r>
          </w:p>
        </w:tc>
        <w:tc>
          <w:tcPr>
            <w:tcW w:w="140" w:type="dxa"/>
            <w:tcBorders/>
            <w:shd w:fill="CCEEFF" w:val="clear"/>
            <w:vAlign w:val="bottom"/>
          </w:tcPr>
          <w:p>
            <w:pPr>
              <w:pStyle w:val="TableContents"/>
              <w:spacing w:before="0" w:after="283"/>
              <w:rPr/>
            </w:pPr>
            <w:r>
              <w:rPr/>
              <w:t> </w:t>
            </w:r>
          </w:p>
        </w:tc>
      </w:tr>
      <w:tr>
        <w:trPr/>
        <w:tc>
          <w:tcPr>
            <w:tcW w:w="7304" w:type="dxa"/>
            <w:tcBorders/>
            <w:shd w:fill="auto" w:val="clear"/>
            <w:vAlign w:val="center"/>
          </w:tcPr>
          <w:p>
            <w:pPr>
              <w:pStyle w:val="TableContents"/>
              <w:spacing w:before="0" w:after="0"/>
              <w:ind w:left="225" w:right="0" w:hanging="225"/>
              <w:rPr/>
            </w:pPr>
            <w:r>
              <w:rPr/>
              <w:t> </w:t>
            </w:r>
          </w:p>
        </w:tc>
        <w:tc>
          <w:tcPr>
            <w:tcW w:w="282" w:type="dxa"/>
            <w:tcBorders/>
            <w:shd w:fill="auto" w:val="clear"/>
            <w:vAlign w:val="center"/>
          </w:tcPr>
          <w:p>
            <w:pPr>
              <w:pStyle w:val="TableContents"/>
              <w:spacing w:before="0" w:after="283"/>
              <w:rPr/>
            </w:pPr>
            <w:r>
              <w:rPr/>
              <w:t> </w:t>
            </w:r>
          </w:p>
        </w:tc>
        <w:tc>
          <w:tcPr>
            <w:tcW w:w="10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7304" w:type="dxa"/>
            <w:tcBorders/>
            <w:shd w:fill="auto" w:val="clear"/>
            <w:vAlign w:val="bottom"/>
          </w:tcPr>
          <w:p>
            <w:pPr>
              <w:pStyle w:val="TableContents"/>
              <w:spacing w:before="0" w:after="0"/>
              <w:ind w:left="225" w:right="0" w:hanging="225"/>
              <w:rPr>
                <w:b/>
              </w:rPr>
            </w:pPr>
            <w:r>
              <w:rPr>
                <w:b/>
              </w:rPr>
              <w:t>Supplemental Information -</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7304" w:type="dxa"/>
            <w:tcBorders/>
            <w:shd w:fill="CCEEFF" w:val="clear"/>
            <w:vAlign w:val="bottom"/>
          </w:tcPr>
          <w:p>
            <w:pPr>
              <w:pStyle w:val="TableContents"/>
              <w:spacing w:before="0" w:after="0"/>
              <w:ind w:left="450" w:right="0" w:hanging="225"/>
              <w:rPr/>
            </w:pPr>
            <w:r>
              <w:rPr/>
              <w:t>Cash paid during the year for:</w:t>
            </w:r>
          </w:p>
        </w:tc>
        <w:tc>
          <w:tcPr>
            <w:tcW w:w="2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7304" w:type="dxa"/>
            <w:tcBorders/>
            <w:shd w:fill="auto" w:val="clear"/>
            <w:vAlign w:val="bottom"/>
          </w:tcPr>
          <w:p>
            <w:pPr>
              <w:pStyle w:val="TableContents"/>
              <w:spacing w:before="0" w:after="0"/>
              <w:ind w:left="675" w:right="0" w:hanging="225"/>
              <w:rPr/>
            </w:pPr>
            <w:r>
              <w:rPr/>
              <w:t>Interest</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27</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45" w:type="dxa"/>
            <w:tcBorders/>
            <w:shd w:fill="auto" w:val="clear"/>
            <w:vAlign w:val="bottom"/>
          </w:tcPr>
          <w:p>
            <w:pPr>
              <w:pStyle w:val="TableContents"/>
              <w:spacing w:before="0" w:after="283"/>
              <w:jc w:val="right"/>
              <w:rPr/>
            </w:pPr>
            <w:r>
              <w:rPr/>
              <w:t>13</w:t>
            </w:r>
          </w:p>
        </w:tc>
        <w:tc>
          <w:tcPr>
            <w:tcW w:w="140" w:type="dxa"/>
            <w:tcBorders/>
            <w:shd w:fill="auto" w:val="clear"/>
            <w:vAlign w:val="bottom"/>
          </w:tcPr>
          <w:p>
            <w:pPr>
              <w:pStyle w:val="TableContents"/>
              <w:spacing w:before="0" w:after="283"/>
              <w:rPr/>
            </w:pPr>
            <w:r>
              <w:rPr/>
              <w:t> </w:t>
            </w:r>
          </w:p>
        </w:tc>
      </w:tr>
      <w:tr>
        <w:trPr/>
        <w:tc>
          <w:tcPr>
            <w:tcW w:w="7304" w:type="dxa"/>
            <w:tcBorders/>
            <w:shd w:fill="auto" w:val="clear"/>
            <w:vAlign w:val="center"/>
          </w:tcPr>
          <w:p>
            <w:pPr>
              <w:pStyle w:val="TableContents"/>
              <w:spacing w:before="0" w:after="0"/>
              <w:ind w:left="225" w:right="0" w:hanging="225"/>
              <w:rPr/>
            </w:pPr>
            <w:r>
              <w:rPr/>
              <w:t> </w:t>
            </w:r>
          </w:p>
        </w:tc>
        <w:tc>
          <w:tcPr>
            <w:tcW w:w="282" w:type="dxa"/>
            <w:tcBorders/>
            <w:shd w:fill="auto" w:val="clear"/>
            <w:vAlign w:val="center"/>
          </w:tcPr>
          <w:p>
            <w:pPr>
              <w:pStyle w:val="TableContents"/>
              <w:spacing w:before="0" w:after="283"/>
              <w:rPr/>
            </w:pPr>
            <w:r>
              <w:rPr/>
              <w:t> </w:t>
            </w:r>
          </w:p>
        </w:tc>
        <w:tc>
          <w:tcPr>
            <w:tcW w:w="10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7304" w:type="dxa"/>
            <w:tcBorders/>
            <w:shd w:fill="CCEEFF" w:val="clear"/>
            <w:vAlign w:val="bottom"/>
          </w:tcPr>
          <w:p>
            <w:pPr>
              <w:pStyle w:val="TableContents"/>
              <w:spacing w:before="0" w:after="0"/>
              <w:ind w:left="675" w:right="0" w:hanging="225"/>
              <w:rPr/>
            </w:pPr>
            <w:r>
              <w:rPr/>
              <w:t>Income taxes</w:t>
            </w:r>
          </w:p>
        </w:tc>
        <w:tc>
          <w:tcPr>
            <w:tcW w:w="2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17</w:t>
            </w:r>
          </w:p>
        </w:tc>
        <w:tc>
          <w:tcPr>
            <w:tcW w:w="147"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845" w:type="dxa"/>
            <w:tcBorders/>
            <w:shd w:fill="CCEEFF" w:val="clear"/>
            <w:vAlign w:val="bottom"/>
          </w:tcPr>
          <w:p>
            <w:pPr>
              <w:pStyle w:val="TableContents"/>
              <w:spacing w:before="0" w:after="283"/>
              <w:jc w:val="right"/>
              <w:rPr/>
            </w:pPr>
            <w:r>
              <w:rPr/>
              <w:t>59</w:t>
            </w:r>
          </w:p>
        </w:tc>
        <w:tc>
          <w:tcPr>
            <w:tcW w:w="140" w:type="dxa"/>
            <w:tcBorders/>
            <w:shd w:fill="CCEEFF" w:val="clear"/>
            <w:vAlign w:val="bottom"/>
          </w:tcPr>
          <w:p>
            <w:pPr>
              <w:pStyle w:val="TableContents"/>
              <w:spacing w:before="0" w:after="283"/>
              <w:rPr/>
            </w:pPr>
            <w:r>
              <w:rPr/>
              <w:t> </w:t>
            </w:r>
          </w:p>
        </w:tc>
      </w:tr>
      <w:tr>
        <w:trPr/>
        <w:tc>
          <w:tcPr>
            <w:tcW w:w="7304" w:type="dxa"/>
            <w:tcBorders/>
            <w:shd w:fill="auto" w:val="clear"/>
            <w:vAlign w:val="center"/>
          </w:tcPr>
          <w:p>
            <w:pPr>
              <w:pStyle w:val="TableContents"/>
              <w:spacing w:before="0" w:after="0"/>
              <w:ind w:left="225" w:right="0" w:hanging="225"/>
              <w:rPr/>
            </w:pPr>
            <w:r>
              <w:rPr/>
              <w:t> </w:t>
            </w:r>
          </w:p>
        </w:tc>
        <w:tc>
          <w:tcPr>
            <w:tcW w:w="282" w:type="dxa"/>
            <w:tcBorders/>
            <w:shd w:fill="auto" w:val="clear"/>
            <w:vAlign w:val="center"/>
          </w:tcPr>
          <w:p>
            <w:pPr>
              <w:pStyle w:val="TableContents"/>
              <w:spacing w:before="0" w:after="283"/>
              <w:rPr/>
            </w:pPr>
            <w:r>
              <w:rPr/>
              <w:t> </w:t>
            </w:r>
          </w:p>
        </w:tc>
        <w:tc>
          <w:tcPr>
            <w:tcW w:w="10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7304" w:type="dxa"/>
            <w:tcBorders/>
            <w:shd w:fill="auto" w:val="clear"/>
            <w:vAlign w:val="bottom"/>
          </w:tcPr>
          <w:p>
            <w:pPr>
              <w:pStyle w:val="TableContents"/>
              <w:spacing w:before="0" w:after="0"/>
              <w:ind w:left="225" w:right="0" w:hanging="225"/>
              <w:rPr>
                <w:b/>
              </w:rPr>
            </w:pPr>
            <w:r>
              <w:rPr>
                <w:b/>
              </w:rPr>
              <w:t>Noncash Investing and Financing Activities:</w:t>
            </w:r>
          </w:p>
        </w:tc>
        <w:tc>
          <w:tcPr>
            <w:tcW w:w="2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bl>
    <w:p>
      <w:pPr>
        <w:pStyle w:val="TextBody"/>
        <w:spacing w:before="0" w:after="0"/>
        <w:jc w:val="left"/>
        <w:rPr>
          <w:rFonts w:ascii="Times New Roman;Times;serif" w:hAnsi="Times New Roman;Times;serif"/>
          <w:sz w:val="17"/>
        </w:rPr>
      </w:pPr>
      <w:r>
        <w:rPr>
          <w:rFonts w:ascii="Times New Roman;Times;serif" w:hAnsi="Times New Roman;Times;serif"/>
          <w:sz w:val="17"/>
        </w:rPr>
        <w:t xml:space="preserve">In November 2003, the Company acquired all of the outstanding common shares of Maui Fresh International, Inc. for 576,924 shares of the Companys common stock, valued at $4.05 million. The following table summarizes the estimated fair values of the non-cash assets acquired and liabilities assumed at the date of acquisition. </w:t>
      </w:r>
    </w:p>
    <w:tbl>
      <w:tblPr>
        <w:tblW w:w="5000" w:type="pct"/>
        <w:jc w:val="center"/>
        <w:tblInd w:w="0" w:type="dxa"/>
        <w:tblCellMar>
          <w:top w:w="0" w:type="dxa"/>
          <w:left w:w="0" w:type="dxa"/>
          <w:bottom w:w="0" w:type="dxa"/>
          <w:right w:w="0" w:type="dxa"/>
        </w:tblCellMar>
      </w:tblPr>
      <w:tblGrid>
        <w:gridCol w:w="8984"/>
        <w:gridCol w:w="303"/>
        <w:gridCol w:w="141"/>
        <w:gridCol w:w="660"/>
        <w:gridCol w:w="117"/>
      </w:tblGrid>
      <w:tr>
        <w:trPr/>
        <w:tc>
          <w:tcPr>
            <w:tcW w:w="898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283"/>
              <w:jc w:val="left"/>
              <w:rPr>
                <w:b/>
              </w:rPr>
            </w:pPr>
            <w:r>
              <w:rPr>
                <w:b/>
              </w:rPr>
              <w:t>(in thousands)</w:t>
            </w:r>
          </w:p>
        </w:tc>
        <w:tc>
          <w:tcPr>
            <w:tcW w:w="303" w:type="dxa"/>
            <w:tcBorders/>
            <w:shd w:fill="auto" w:val="clear"/>
            <w:vAlign w:val="bottom"/>
          </w:tcPr>
          <w:p>
            <w:pPr>
              <w:pStyle w:val="TableContents"/>
              <w:spacing w:before="0" w:after="283"/>
              <w:rPr/>
            </w:pPr>
            <w:r>
              <w:rPr/>
              <w:t> </w:t>
            </w:r>
          </w:p>
        </w:tc>
        <w:tc>
          <w:tcPr>
            <w:tcW w:w="80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17" w:type="dxa"/>
            <w:tcBorders/>
            <w:shd w:fill="auto" w:val="clear"/>
            <w:vAlign w:val="bottom"/>
          </w:tcPr>
          <w:p>
            <w:pPr>
              <w:pStyle w:val="TableContents"/>
              <w:spacing w:before="0" w:after="283"/>
              <w:rPr/>
            </w:pPr>
            <w:r>
              <w:rPr/>
              <w:t> </w:t>
            </w:r>
          </w:p>
        </w:tc>
      </w:tr>
      <w:tr>
        <w:trPr/>
        <w:tc>
          <w:tcPr>
            <w:tcW w:w="8984" w:type="dxa"/>
            <w:tcBorders/>
            <w:shd w:fill="CCEEFF" w:val="clear"/>
            <w:vAlign w:val="bottom"/>
          </w:tcPr>
          <w:p>
            <w:pPr>
              <w:pStyle w:val="TableContents"/>
              <w:spacing w:before="0" w:after="0"/>
              <w:ind w:left="225" w:right="0" w:hanging="225"/>
              <w:rPr/>
            </w:pPr>
            <w:r>
              <w:rPr/>
              <w:t>Fixed assets</w:t>
            </w:r>
          </w:p>
        </w:tc>
        <w:tc>
          <w:tcPr>
            <w:tcW w:w="30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60" w:type="dxa"/>
            <w:tcBorders/>
            <w:shd w:fill="CCEEFF" w:val="clear"/>
            <w:vAlign w:val="bottom"/>
          </w:tcPr>
          <w:p>
            <w:pPr>
              <w:pStyle w:val="TableContents"/>
              <w:spacing w:before="0" w:after="283"/>
              <w:jc w:val="right"/>
              <w:rPr/>
            </w:pPr>
            <w:r>
              <w:rPr/>
              <w:t>114</w:t>
            </w:r>
          </w:p>
        </w:tc>
        <w:tc>
          <w:tcPr>
            <w:tcW w:w="117" w:type="dxa"/>
            <w:tcBorders/>
            <w:shd w:fill="CCEEFF"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Goodwill</w:t>
            </w:r>
          </w:p>
        </w:tc>
        <w:tc>
          <w:tcPr>
            <w:tcW w:w="30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pPr>
            <w:r>
              <w:rPr/>
              <w:t>3,526</w:t>
            </w:r>
          </w:p>
        </w:tc>
        <w:tc>
          <w:tcPr>
            <w:tcW w:w="117" w:type="dxa"/>
            <w:tcBorders/>
            <w:shd w:fill="auto" w:val="clear"/>
            <w:vAlign w:val="bottom"/>
          </w:tcPr>
          <w:p>
            <w:pPr>
              <w:pStyle w:val="TableContents"/>
              <w:spacing w:before="0" w:after="283"/>
              <w:rPr/>
            </w:pPr>
            <w:r>
              <w:rPr/>
              <w:t> </w:t>
            </w:r>
          </w:p>
        </w:tc>
      </w:tr>
      <w:tr>
        <w:trPr/>
        <w:tc>
          <w:tcPr>
            <w:tcW w:w="8984" w:type="dxa"/>
            <w:tcBorders/>
            <w:shd w:fill="CCEEFF" w:val="clear"/>
            <w:vAlign w:val="bottom"/>
          </w:tcPr>
          <w:p>
            <w:pPr>
              <w:pStyle w:val="TableContents"/>
              <w:spacing w:before="0" w:after="0"/>
              <w:ind w:left="225" w:right="0" w:hanging="225"/>
              <w:rPr/>
            </w:pPr>
            <w:r>
              <w:rPr/>
              <w:t>Intangible assets</w:t>
            </w:r>
          </w:p>
        </w:tc>
        <w:tc>
          <w:tcPr>
            <w:tcW w:w="30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pPr>
            <w:r>
              <w:rPr/>
              <w:t>867</w:t>
            </w:r>
          </w:p>
        </w:tc>
        <w:tc>
          <w:tcPr>
            <w:tcW w:w="117" w:type="dxa"/>
            <w:tcBorders/>
            <w:shd w:fill="CCEEFF" w:val="clear"/>
            <w:vAlign w:val="bottom"/>
          </w:tcPr>
          <w:p>
            <w:pPr>
              <w:pStyle w:val="TableContents"/>
              <w:spacing w:before="0" w:after="283"/>
              <w:rPr/>
            </w:pPr>
            <w:r>
              <w:rPr/>
              <w:t> </w:t>
            </w:r>
          </w:p>
        </w:tc>
      </w:tr>
      <w:tr>
        <w:trPr/>
        <w:tc>
          <w:tcPr>
            <w:tcW w:w="8984"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8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Total non-cash assets acquired</w:t>
            </w:r>
          </w:p>
        </w:tc>
        <w:tc>
          <w:tcPr>
            <w:tcW w:w="30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pPr>
            <w:r>
              <w:rPr/>
              <w:t>4,507</w:t>
            </w:r>
          </w:p>
        </w:tc>
        <w:tc>
          <w:tcPr>
            <w:tcW w:w="117" w:type="dxa"/>
            <w:tcBorders/>
            <w:shd w:fill="auto" w:val="clear"/>
            <w:vAlign w:val="bottom"/>
          </w:tcPr>
          <w:p>
            <w:pPr>
              <w:pStyle w:val="TableContents"/>
              <w:spacing w:before="0" w:after="283"/>
              <w:rPr/>
            </w:pPr>
            <w:r>
              <w:rPr/>
              <w:t> </w:t>
            </w:r>
          </w:p>
        </w:tc>
      </w:tr>
      <w:tr>
        <w:trPr/>
        <w:tc>
          <w:tcPr>
            <w:tcW w:w="8984" w:type="dxa"/>
            <w:tcBorders/>
            <w:shd w:fill="CCEEFF" w:val="clear"/>
            <w:vAlign w:val="bottom"/>
          </w:tcPr>
          <w:p>
            <w:pPr>
              <w:pStyle w:val="TableContents"/>
              <w:spacing w:before="0" w:after="0"/>
              <w:ind w:left="225" w:right="0" w:hanging="225"/>
              <w:rPr/>
            </w:pPr>
            <w:r>
              <w:rPr/>
              <w:t>Current liabilities</w:t>
            </w:r>
          </w:p>
        </w:tc>
        <w:tc>
          <w:tcPr>
            <w:tcW w:w="30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pPr>
            <w:r>
              <w:rPr/>
              <w:t>110</w:t>
            </w:r>
          </w:p>
        </w:tc>
        <w:tc>
          <w:tcPr>
            <w:tcW w:w="117" w:type="dxa"/>
            <w:tcBorders/>
            <w:shd w:fill="CCEEFF" w:val="clear"/>
            <w:vAlign w:val="bottom"/>
          </w:tcPr>
          <w:p>
            <w:pPr>
              <w:pStyle w:val="TableContents"/>
              <w:spacing w:before="0" w:after="283"/>
              <w:rPr/>
            </w:pPr>
            <w:r>
              <w:rPr/>
              <w:t> </w:t>
            </w:r>
          </w:p>
        </w:tc>
      </w:tr>
      <w:tr>
        <w:trPr/>
        <w:tc>
          <w:tcPr>
            <w:tcW w:w="8984" w:type="dxa"/>
            <w:tcBorders/>
            <w:shd w:fill="auto" w:val="clear"/>
            <w:vAlign w:val="bottom"/>
          </w:tcPr>
          <w:p>
            <w:pPr>
              <w:pStyle w:val="TableContents"/>
              <w:spacing w:before="0" w:after="0"/>
              <w:ind w:left="225" w:right="0" w:hanging="225"/>
              <w:rPr/>
            </w:pPr>
            <w:r>
              <w:rPr/>
              <w:t>Deferred tax liabilities assumed</w:t>
            </w:r>
          </w:p>
        </w:tc>
        <w:tc>
          <w:tcPr>
            <w:tcW w:w="30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pPr>
            <w:r>
              <w:rPr/>
              <w:t>347</w:t>
            </w:r>
          </w:p>
        </w:tc>
        <w:tc>
          <w:tcPr>
            <w:tcW w:w="117" w:type="dxa"/>
            <w:tcBorders/>
            <w:shd w:fill="auto" w:val="clear"/>
            <w:vAlign w:val="bottom"/>
          </w:tcPr>
          <w:p>
            <w:pPr>
              <w:pStyle w:val="TableContents"/>
              <w:spacing w:before="0" w:after="283"/>
              <w:rPr/>
            </w:pPr>
            <w:r>
              <w:rPr/>
              <w:t> </w:t>
            </w:r>
          </w:p>
        </w:tc>
      </w:tr>
      <w:tr>
        <w:trPr/>
        <w:tc>
          <w:tcPr>
            <w:tcW w:w="8984"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8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8984" w:type="dxa"/>
            <w:tcBorders/>
            <w:shd w:fill="CCEEFF" w:val="clear"/>
            <w:vAlign w:val="bottom"/>
          </w:tcPr>
          <w:p>
            <w:pPr>
              <w:pStyle w:val="TableContents"/>
              <w:spacing w:before="0" w:after="0"/>
              <w:ind w:left="225" w:right="0" w:hanging="225"/>
              <w:rPr/>
            </w:pPr>
            <w:r>
              <w:rPr/>
              <w:t>Net non-cash assets acquired</w:t>
            </w:r>
          </w:p>
        </w:tc>
        <w:tc>
          <w:tcPr>
            <w:tcW w:w="303"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60" w:type="dxa"/>
            <w:tcBorders/>
            <w:shd w:fill="CCEEFF" w:val="clear"/>
            <w:vAlign w:val="bottom"/>
          </w:tcPr>
          <w:p>
            <w:pPr>
              <w:pStyle w:val="TableContents"/>
              <w:spacing w:before="0" w:after="283"/>
              <w:jc w:val="right"/>
              <w:rPr/>
            </w:pPr>
            <w:r>
              <w:rPr/>
              <w:t>4,050</w:t>
            </w:r>
          </w:p>
        </w:tc>
        <w:tc>
          <w:tcPr>
            <w:tcW w:w="117" w:type="dxa"/>
            <w:tcBorders/>
            <w:shd w:fill="CCEEFF" w:val="clear"/>
            <w:vAlign w:val="bottom"/>
          </w:tcPr>
          <w:p>
            <w:pPr>
              <w:pStyle w:val="TableContents"/>
              <w:spacing w:before="0" w:after="283"/>
              <w:rPr/>
            </w:pPr>
            <w:r>
              <w:rPr/>
              <w:t> </w:t>
            </w:r>
          </w:p>
        </w:tc>
      </w:tr>
      <w:tr>
        <w:trPr/>
        <w:tc>
          <w:tcPr>
            <w:tcW w:w="8984" w:type="dxa"/>
            <w:tcBorders/>
            <w:shd w:fill="auto" w:val="clear"/>
            <w:vAlign w:val="center"/>
          </w:tcPr>
          <w:p>
            <w:pPr>
              <w:pStyle w:val="TableContents"/>
              <w:spacing w:before="0" w:after="0"/>
              <w:ind w:left="225" w:right="0" w:hanging="225"/>
              <w:rPr/>
            </w:pPr>
            <w:r>
              <w:rPr/>
              <w:t> </w:t>
            </w:r>
          </w:p>
        </w:tc>
        <w:tc>
          <w:tcPr>
            <w:tcW w:w="303" w:type="dxa"/>
            <w:tcBorders/>
            <w:shd w:fill="auto" w:val="clear"/>
            <w:vAlign w:val="center"/>
          </w:tcPr>
          <w:p>
            <w:pPr>
              <w:pStyle w:val="TableContents"/>
              <w:spacing w:before="0" w:after="283"/>
              <w:rPr/>
            </w:pPr>
            <w:r>
              <w:rPr/>
              <w:t> </w:t>
            </w:r>
          </w:p>
        </w:tc>
        <w:tc>
          <w:tcPr>
            <w:tcW w:w="8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i/>
          <w:sz w:val="17"/>
        </w:rPr>
        <w:t>See accompanying notes to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jc w:val="center"/>
        <w:rPr>
          <w:rFonts w:ascii="Times New Roman;Times;serif" w:hAnsi="Times New Roman;Times;serif"/>
          <w:sz w:val="17"/>
        </w:rPr>
      </w:pPr>
      <w:bookmarkStart w:id="8" w:name="106"/>
      <w:bookmarkEnd w:id="8"/>
      <w:r>
        <w:rPr>
          <w:rFonts w:ascii="Times New Roman;Times;serif" w:hAnsi="Times New Roman;Times;serif"/>
          <w:b/>
          <w:sz w:val="17"/>
        </w:rPr>
        <w:t>NOTES TO CONSOLIDATED CONDENSED FINANCIAL STATEMENTS (UNAUDITED)</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b/>
          <w:sz w:val="17"/>
        </w:rPr>
        <w:t>1. Description of the business</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b/>
          <w:i/>
          <w:sz w:val="17"/>
        </w:rPr>
        <w:t>Business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Calavo Growers, Inc. (Calavo, the Company, we, us or our) procures and markets avocados and other perishable commodities and prepares and distributes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Through our two operating facilities in southern California and two facilities in Mexico, we sort and pack avocados procured in California and Mexico and prepare processed avocado products. Additionally, we procure avocados internationally, principally from Mexico, Chile, and the Dominican Republic, and distribute other perishable foods, such as Hawaiian grown papayas. We report these operations in three different business segments: (1) California avocados, (2) international avocados and perishable food products and (3) processed products. </w:t>
      </w:r>
    </w:p>
    <w:p>
      <w:pPr>
        <w:pStyle w:val="TextBody"/>
        <w:jc w:val="left"/>
        <w:rPr/>
      </w:pPr>
      <w:r>
        <w:rPr/>
        <w:t>     </w:t>
      </w:r>
      <w:r>
        <w:rPr>
          <w:rFonts w:ascii="Times New Roman;Times;serif" w:hAnsi="Times New Roman;Times;serif"/>
          <w:sz w:val="17"/>
        </w:rPr>
        <w:t xml:space="preserve">The accompanying consolidated condensed financial statements are unaudited. In the opinion of management, the accompanying consolidated condensed financial statements contain all adjustments necessary to present fairly our financial position, results of operations, and cash flows. Such adjustments consist of adjustments of a normal recurring nature. Interim results are subject to significant seasonal variations and are not necessarily indicative of the results of operations for a full year. Our operations are sensitive to a number of factors, including weather-related phenomena and their effects on industry volumes, prices, product quality, and costs. Operations are also sensitive to fluctuations in currency exchange rates in both sourcing and selling locations, as well as economic crises and security risks in developing countries. These statements should also be read in conjunction with the consolidated financial statements and notes thereto included in our Annual Report on Form 10-K for the fiscal year ended October 31, 2004. </w:t>
      </w:r>
    </w:p>
    <w:p>
      <w:pPr>
        <w:pStyle w:val="TextBody"/>
        <w:jc w:val="left"/>
        <w:rPr>
          <w:rFonts w:ascii="Times New Roman;Times;serif" w:hAnsi="Times New Roman;Times;serif"/>
          <w:sz w:val="17"/>
        </w:rPr>
      </w:pPr>
      <w:r>
        <w:rPr>
          <w:rFonts w:ascii="Times New Roman;Times;serif" w:hAnsi="Times New Roman;Times;serif"/>
          <w:b/>
          <w:i/>
          <w:sz w:val="17"/>
        </w:rPr>
        <w:t>Recent Accounting Standards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In November 2004, the Financial Accounting Standards Board (FASB) issued SFAS No. 151, </w:t>
      </w:r>
      <w:r>
        <w:rPr>
          <w:rFonts w:ascii="Times New Roman;Times;serif" w:hAnsi="Times New Roman;Times;serif"/>
          <w:i/>
          <w:sz w:val="17"/>
        </w:rPr>
        <w:t xml:space="preserve">Inventory Costs, an amendment of ARB No. 43, Chapter 4 </w:t>
      </w:r>
      <w:r>
        <w:rPr>
          <w:rFonts w:ascii="Times New Roman;Times;serif" w:hAnsi="Times New Roman;Times;serif"/>
          <w:sz w:val="17"/>
        </w:rPr>
        <w:t xml:space="preserve">(SFAS 151), to clarify that abnormal amounts of idle facility expense, freight, handling costs and wasted material (spoilage) should be recognized as current period charges, and that fixed production overheads should be allocated to inventory based on normal capacity of production facilities. This statement is effective for the Companys fiscal year beginning November 1, 2005. We are in the process of evaluating whether the adoption of SFAS 151 will have a significant impact on our overall results of operations or financial position. </w:t>
      </w:r>
    </w:p>
    <w:p>
      <w:pPr>
        <w:pStyle w:val="TextBody"/>
        <w:jc w:val="left"/>
        <w:rPr/>
      </w:pPr>
      <w:r>
        <w:rPr/>
        <w:t>     </w:t>
      </w:r>
      <w:r>
        <w:rPr>
          <w:rFonts w:ascii="Times New Roman;Times;serif" w:hAnsi="Times New Roman;Times;serif"/>
          <w:sz w:val="17"/>
        </w:rPr>
        <w:t xml:space="preserve">In December 2004, the FASB issued SFAS No. 153, </w:t>
      </w:r>
      <w:r>
        <w:rPr>
          <w:rFonts w:ascii="Times New Roman;Times;serif" w:hAnsi="Times New Roman;Times;serif"/>
          <w:i/>
          <w:sz w:val="17"/>
        </w:rPr>
        <w:t xml:space="preserve">Exchanges of Nonmonetary Assets, an amendment of APB Opinion No. 29, Accounting for Nonmonetary Transactions </w:t>
      </w:r>
      <w:r>
        <w:rPr>
          <w:rFonts w:ascii="Times New Roman;Times;serif" w:hAnsi="Times New Roman;Times;serif"/>
          <w:sz w:val="17"/>
        </w:rPr>
        <w:t xml:space="preserve">(SFAS 153). The amendments made by SFAS 153 are based on the principle that exchanges of nonmonetary assets should be measured based on the fair value of the assets exchanged. Further, the amendments eliminate the narrow exception for nonmonetary exchanges of similar productive assets and replace it with a broader exception for exchanges of nonmonetary assets that do not have commercial substance. The Statement is effective for nonmonetary asset exchanges occurring in fiscal periods beginning after June 15, 2005. Earlier application is permitted for nonmonetary asset exchanges occurring in fiscal periods beginning after the date of issuance. The provisions of this Statement shall be applied prospectively. We do not expect the adoption of SFAS 153 will have a significant impact on our overall results of operations or financial position. </w:t>
      </w:r>
    </w:p>
    <w:p>
      <w:pPr>
        <w:pStyle w:val="TextBody"/>
        <w:jc w:val="left"/>
        <w:rPr/>
      </w:pPr>
      <w:r>
        <w:rPr/>
        <w:t>     </w:t>
      </w:r>
      <w:r>
        <w:rPr>
          <w:rFonts w:ascii="Times New Roman;Times;serif" w:hAnsi="Times New Roman;Times;serif"/>
          <w:sz w:val="17"/>
        </w:rPr>
        <w:t xml:space="preserve">In December 2004, the FASB issued SFAS No. 123 (revised 2004), </w:t>
      </w:r>
      <w:r>
        <w:rPr>
          <w:rFonts w:ascii="Times New Roman;Times;serif" w:hAnsi="Times New Roman;Times;serif"/>
          <w:i/>
          <w:sz w:val="17"/>
        </w:rPr>
        <w:t xml:space="preserve">Share-Based Payment </w:t>
      </w:r>
      <w:r>
        <w:rPr>
          <w:rFonts w:ascii="Times New Roman;Times;serif" w:hAnsi="Times New Roman;Times;serif"/>
          <w:sz w:val="17"/>
        </w:rPr>
        <w:t xml:space="preserve">(SFAS 123(R)). SFAS 123(R) requires the recognition of compensation cost relating to share-based payment transactions in financial statements. That cost will be measured based on the fair value of the equity or liability instruments issued as of the grant date, based on the estimated number of awards that are expected to vest. SFAS 123(R) covers a wide range of share-based compensation arrangements including share options, restricted share plans, performance-based awards, share appreciation rights, and employee share purchase plans. SFAS 123(R) replaces FASB Statement No. 123, </w:t>
      </w:r>
      <w:r>
        <w:rPr>
          <w:rFonts w:ascii="Times New Roman;Times;serif" w:hAnsi="Times New Roman;Times;serif"/>
          <w:i/>
          <w:sz w:val="17"/>
        </w:rPr>
        <w:t xml:space="preserve">Accounting for Stock-Based Compensation </w:t>
      </w:r>
      <w:r>
        <w:rPr>
          <w:rFonts w:ascii="Times New Roman;Times;serif" w:hAnsi="Times New Roman;Times;serif"/>
          <w:sz w:val="17"/>
        </w:rPr>
        <w:t xml:space="preserve">(SFAS 123), and supersedes APB Opinion No. 25, </w:t>
      </w:r>
      <w:r>
        <w:rPr>
          <w:rFonts w:ascii="Times New Roman;Times;serif" w:hAnsi="Times New Roman;Times;serif"/>
          <w:i/>
          <w:sz w:val="17"/>
        </w:rPr>
        <w:t xml:space="preserve">Accounting for Stock Issued to Employees </w:t>
      </w:r>
      <w:r>
        <w:rPr>
          <w:rFonts w:ascii="Times New Roman;Times;serif" w:hAnsi="Times New Roman;Times;serif"/>
          <w:sz w:val="17"/>
        </w:rPr>
        <w:t xml:space="preserve">(Opinion 25). SFAS 123(R) is effective for the interim period that begins August 1, 2005. As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NOTES TO CONSOLIDATED CONDENSED FINANCIAL STATEMENTS (UNAUDITED)</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sz w:val="17"/>
        </w:rPr>
        <w:t xml:space="preserve">a public company, we are allowed to select from three alternative transition methodseach having different reporting implications. We have not completed our evaluation or determined the impact of adopting SFAS 123(R). </w:t>
      </w:r>
    </w:p>
    <w:p>
      <w:pPr>
        <w:pStyle w:val="TextBody"/>
        <w:jc w:val="left"/>
        <w:rPr/>
      </w:pPr>
      <w:r>
        <w:rPr/>
        <w:t>     </w:t>
      </w:r>
      <w:r>
        <w:rPr>
          <w:rFonts w:ascii="Times New Roman;Times;serif" w:hAnsi="Times New Roman;Times;serif"/>
          <w:sz w:val="17"/>
        </w:rPr>
        <w:t xml:space="preserve">In December 2004, the FASB issued FASB Staff Position (FSP) FAS 109-1  </w:t>
      </w:r>
      <w:r>
        <w:rPr>
          <w:rFonts w:ascii="Times New Roman;Times;serif" w:hAnsi="Times New Roman;Times;serif"/>
          <w:i/>
          <w:sz w:val="17"/>
        </w:rPr>
        <w:t xml:space="preserve">Application of FASB Statement No. 109, Accounting for Income Taxes, to the Tax Deduction on Qualified Production Activities Provided by the American Jobs Creation Act of 2004 </w:t>
      </w:r>
      <w:r>
        <w:rPr>
          <w:rFonts w:ascii="Times New Roman;Times;serif" w:hAnsi="Times New Roman;Times;serif"/>
          <w:sz w:val="17"/>
        </w:rPr>
        <w:t xml:space="preserve">(2004 Act). This FSP provides guidance on the application of SFAS No. 109 to the provisions of the tax deduction on qualified production activities contained within the 2004 Act. FSP 109-1 states that the manufacturers deduction should be accounted for as a special deduction in accordance with SFAS No. 109 and not as a tax rate reduction. We adopted the provisions of FSP 109-1 during our first fiscal quarter of 2005. Adoption of FSP 109-1 did not have a significant effect on our financial position or results of operations. </w:t>
      </w:r>
    </w:p>
    <w:p>
      <w:pPr>
        <w:pStyle w:val="TextBody"/>
        <w:jc w:val="left"/>
        <w:rPr/>
      </w:pPr>
      <w:r>
        <w:rPr/>
        <w:t>     </w:t>
      </w:r>
      <w:r>
        <w:rPr>
          <w:rFonts w:ascii="Times New Roman;Times;serif" w:hAnsi="Times New Roman;Times;serif"/>
          <w:sz w:val="17"/>
        </w:rPr>
        <w:t xml:space="preserve">In December 2004, the FASB issued FSP FAS 109-2  </w:t>
      </w:r>
      <w:r>
        <w:rPr>
          <w:rFonts w:ascii="Times New Roman;Times;serif" w:hAnsi="Times New Roman;Times;serif"/>
          <w:i/>
          <w:sz w:val="17"/>
        </w:rPr>
        <w:t>Accounting and Disclosure Guidance for the Foreign Earnings Repatriation Provision within the American Jobs Creation Act of 2004</w:t>
      </w:r>
      <w:r>
        <w:rPr>
          <w:rFonts w:ascii="Times New Roman;Times;serif" w:hAnsi="Times New Roman;Times;serif"/>
          <w:sz w:val="17"/>
        </w:rPr>
        <w:t xml:space="preserve">, which provides guidance for the repatriation provisions included in the 2004 Act. The 2004 Act introduced a special limited-time dividends received deduction on the repatriation of certain foreign earnings to a U.S. taxpayer. As a result, FSP 109-2 provides an exception to the SFAS No. 109 requirement to reflect the effect of a new tax law in the period of enactment. Accordingly, an entity is allowed additional time beyond the financial reporting period of enactment to evaluate the effect of the 2004 Act on its plan for repatriation of foreign earnings. We adopted the provisions of FSP 109-2 during our first fiscal quarter of 2005. Adoption of FSP 109-2 did not have a significant effect on our financial position or results of operations. </w:t>
      </w:r>
    </w:p>
    <w:p>
      <w:pPr>
        <w:pStyle w:val="TextBody"/>
        <w:jc w:val="left"/>
        <w:rPr>
          <w:rFonts w:ascii="Times New Roman;Times;serif" w:hAnsi="Times New Roman;Times;serif"/>
          <w:sz w:val="17"/>
        </w:rPr>
      </w:pPr>
      <w:r>
        <w:rPr>
          <w:rFonts w:ascii="Times New Roman;Times;serif" w:hAnsi="Times New Roman;Times;serif"/>
          <w:b/>
          <w:i/>
          <w:sz w:val="17"/>
        </w:rPr>
        <w:t>Stock-Based Compensation</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As permitted by Statement of Financial Accounting Standards No. 123, Accounting for Stock-Based Compensation (SFAS No. 123), the Company accounts for stock-based compensation under Accounting Principles Board Opinion No. 25, Accounting for Stock Issued to Employees (APB 25) and related interpretations. </w:t>
      </w:r>
    </w:p>
    <w:p>
      <w:pPr>
        <w:pStyle w:val="TextBody"/>
        <w:spacing w:before="0" w:after="0"/>
        <w:jc w:val="left"/>
        <w:rPr/>
      </w:pPr>
      <w:r>
        <w:rPr/>
        <w:t>     </w:t>
      </w:r>
      <w:r>
        <w:rPr>
          <w:rFonts w:ascii="Times New Roman;Times;serif" w:hAnsi="Times New Roman;Times;serif"/>
          <w:sz w:val="17"/>
        </w:rPr>
        <w:t xml:space="preserve">During our first quarter ended January 31, 2005, we recognized $13,000 of compensation expense with respect to stock option awards pursuant to APB 25. Had compensation cost for stock option awards been determined based on the fair value of each award at its grant date, consistent with the provisions of SFAS No. 123, the Companys pro forma net loss and net loss per share would have been as follows (dollars in thousands, except per share amounts): </w:t>
      </w:r>
    </w:p>
    <w:tbl>
      <w:tblPr>
        <w:tblW w:w="5000" w:type="pct"/>
        <w:jc w:val="center"/>
        <w:tblInd w:w="0" w:type="dxa"/>
        <w:tblCellMar>
          <w:top w:w="0" w:type="dxa"/>
          <w:left w:w="0" w:type="dxa"/>
          <w:bottom w:w="0" w:type="dxa"/>
          <w:right w:w="0" w:type="dxa"/>
        </w:tblCellMar>
      </w:tblPr>
      <w:tblGrid>
        <w:gridCol w:w="7212"/>
        <w:gridCol w:w="279"/>
        <w:gridCol w:w="193"/>
        <w:gridCol w:w="917"/>
        <w:gridCol w:w="157"/>
        <w:gridCol w:w="292"/>
        <w:gridCol w:w="193"/>
        <w:gridCol w:w="822"/>
        <w:gridCol w:w="140"/>
      </w:tblGrid>
      <w:tr>
        <w:trPr/>
        <w:tc>
          <w:tcPr>
            <w:tcW w:w="721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721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574" w:type="dxa"/>
            <w:gridSpan w:val="6"/>
            <w:tcBorders/>
            <w:shd w:fill="auto" w:val="clear"/>
            <w:vAlign w:val="bottom"/>
          </w:tcPr>
          <w:p>
            <w:pPr>
              <w:pStyle w:val="TableContents"/>
              <w:spacing w:before="0" w:after="283"/>
              <w:jc w:val="center"/>
              <w:rPr>
                <w:b/>
              </w:rPr>
            </w:pPr>
            <w:r>
              <w:rPr>
                <w:b/>
              </w:rPr>
              <w:t>Three months ended,</w:t>
            </w:r>
          </w:p>
        </w:tc>
        <w:tc>
          <w:tcPr>
            <w:tcW w:w="140" w:type="dxa"/>
            <w:tcBorders/>
            <w:shd w:fill="auto" w:val="clear"/>
            <w:vAlign w:val="bottom"/>
          </w:tcPr>
          <w:p>
            <w:pPr>
              <w:pStyle w:val="TableContents"/>
              <w:spacing w:before="0" w:after="283"/>
              <w:rPr/>
            </w:pPr>
            <w:r>
              <w:rPr/>
              <w:t> </w:t>
            </w:r>
          </w:p>
        </w:tc>
      </w:tr>
      <w:tr>
        <w:trPr/>
        <w:tc>
          <w:tcPr>
            <w:tcW w:w="721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57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January 31,</w:t>
            </w:r>
          </w:p>
        </w:tc>
        <w:tc>
          <w:tcPr>
            <w:tcW w:w="140" w:type="dxa"/>
            <w:tcBorders/>
            <w:shd w:fill="auto" w:val="clear"/>
            <w:vAlign w:val="bottom"/>
          </w:tcPr>
          <w:p>
            <w:pPr>
              <w:pStyle w:val="TableContents"/>
              <w:spacing w:before="0" w:after="283"/>
              <w:rPr/>
            </w:pPr>
            <w:r>
              <w:rPr/>
              <w:t> </w:t>
            </w:r>
          </w:p>
        </w:tc>
      </w:tr>
      <w:tr>
        <w:trPr/>
        <w:tc>
          <w:tcPr>
            <w:tcW w:w="721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5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01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40" w:type="dxa"/>
            <w:tcBorders/>
            <w:shd w:fill="auto" w:val="clear"/>
            <w:vAlign w:val="bottom"/>
          </w:tcPr>
          <w:p>
            <w:pPr>
              <w:pStyle w:val="TableContents"/>
              <w:spacing w:before="0" w:after="283"/>
              <w:rPr/>
            </w:pPr>
            <w:r>
              <w:rPr/>
              <w:t> </w:t>
            </w:r>
          </w:p>
        </w:tc>
      </w:tr>
      <w:tr>
        <w:trPr/>
        <w:tc>
          <w:tcPr>
            <w:tcW w:w="7212" w:type="dxa"/>
            <w:tcBorders/>
            <w:shd w:fill="CCEEFF" w:val="clear"/>
            <w:vAlign w:val="bottom"/>
          </w:tcPr>
          <w:p>
            <w:pPr>
              <w:pStyle w:val="TableContents"/>
              <w:spacing w:before="0" w:after="0"/>
              <w:ind w:left="225" w:right="0" w:hanging="225"/>
              <w:rPr/>
            </w:pPr>
            <w:r>
              <w:rPr/>
              <w:t>Net loss:</w:t>
            </w:r>
          </w:p>
        </w:tc>
        <w:tc>
          <w:tcPr>
            <w:tcW w:w="27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7212" w:type="dxa"/>
            <w:tcBorders/>
            <w:shd w:fill="auto" w:val="clear"/>
            <w:vAlign w:val="bottom"/>
          </w:tcPr>
          <w:p>
            <w:pPr>
              <w:pStyle w:val="TableContents"/>
              <w:spacing w:before="0" w:after="0"/>
              <w:ind w:left="225" w:right="0" w:hanging="225"/>
              <w:rPr/>
            </w:pPr>
            <w:r>
              <w:rPr/>
              <w:t>As reported</w:t>
            </w:r>
          </w:p>
        </w:tc>
        <w:tc>
          <w:tcPr>
            <w:tcW w:w="27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917" w:type="dxa"/>
            <w:tcBorders/>
            <w:shd w:fill="auto" w:val="clear"/>
            <w:vAlign w:val="bottom"/>
          </w:tcPr>
          <w:p>
            <w:pPr>
              <w:pStyle w:val="TableContents"/>
              <w:spacing w:before="0" w:after="283"/>
              <w:jc w:val="right"/>
              <w:rPr/>
            </w:pPr>
            <w:r>
              <w:rPr/>
              <w:t>(1,547</w:t>
            </w:r>
          </w:p>
        </w:tc>
        <w:tc>
          <w:tcPr>
            <w:tcW w:w="157" w:type="dxa"/>
            <w:tcBorders/>
            <w:shd w:fill="auto" w:val="clear"/>
            <w:vAlign w:val="bottom"/>
          </w:tcPr>
          <w:p>
            <w:pPr>
              <w:pStyle w:val="TableContents"/>
              <w:spacing w:before="0" w:after="283"/>
              <w:rPr/>
            </w:pPr>
            <w:r>
              <w:rPr/>
              <w:t>)</w:t>
            </w:r>
          </w:p>
        </w:tc>
        <w:tc>
          <w:tcPr>
            <w:tcW w:w="29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822" w:type="dxa"/>
            <w:tcBorders/>
            <w:shd w:fill="auto" w:val="clear"/>
            <w:vAlign w:val="bottom"/>
          </w:tcPr>
          <w:p>
            <w:pPr>
              <w:pStyle w:val="TableContents"/>
              <w:spacing w:before="0" w:after="283"/>
              <w:jc w:val="right"/>
              <w:rPr/>
            </w:pPr>
            <w:r>
              <w:rPr/>
              <w:t>(294</w:t>
            </w:r>
          </w:p>
        </w:tc>
        <w:tc>
          <w:tcPr>
            <w:tcW w:w="140" w:type="dxa"/>
            <w:tcBorders/>
            <w:shd w:fill="auto" w:val="clear"/>
            <w:vAlign w:val="bottom"/>
          </w:tcPr>
          <w:p>
            <w:pPr>
              <w:pStyle w:val="TableContents"/>
              <w:spacing w:before="0" w:after="283"/>
              <w:rPr/>
            </w:pPr>
            <w:r>
              <w:rPr/>
              <w:t>)</w:t>
            </w:r>
          </w:p>
        </w:tc>
      </w:tr>
      <w:tr>
        <w:trPr/>
        <w:tc>
          <w:tcPr>
            <w:tcW w:w="7212" w:type="dxa"/>
            <w:tcBorders/>
            <w:shd w:fill="CCEEFF" w:val="clear"/>
            <w:vAlign w:val="bottom"/>
          </w:tcPr>
          <w:p>
            <w:pPr>
              <w:pStyle w:val="TableContents"/>
              <w:spacing w:before="0" w:after="0"/>
              <w:ind w:left="225" w:right="0" w:hanging="225"/>
              <w:rPr/>
            </w:pPr>
            <w:r>
              <w:rPr/>
              <w:t>Add: Total stock-based compensation expense determined under APB 25 and related interpretations, net of tax effects</w:t>
            </w:r>
          </w:p>
        </w:tc>
        <w:tc>
          <w:tcPr>
            <w:tcW w:w="27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8</w:t>
            </w:r>
          </w:p>
        </w:tc>
        <w:tc>
          <w:tcPr>
            <w:tcW w:w="157"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8</w:t>
            </w:r>
          </w:p>
        </w:tc>
        <w:tc>
          <w:tcPr>
            <w:tcW w:w="140" w:type="dxa"/>
            <w:tcBorders/>
            <w:shd w:fill="CCEEFF" w:val="clear"/>
            <w:vAlign w:val="bottom"/>
          </w:tcPr>
          <w:p>
            <w:pPr>
              <w:pStyle w:val="TableContents"/>
              <w:spacing w:before="0" w:after="283"/>
              <w:rPr/>
            </w:pPr>
            <w:r>
              <w:rPr/>
              <w:t> </w:t>
            </w:r>
          </w:p>
        </w:tc>
      </w:tr>
      <w:tr>
        <w:trPr/>
        <w:tc>
          <w:tcPr>
            <w:tcW w:w="7212" w:type="dxa"/>
            <w:tcBorders/>
            <w:shd w:fill="auto" w:val="clear"/>
            <w:vAlign w:val="bottom"/>
          </w:tcPr>
          <w:p>
            <w:pPr>
              <w:pStyle w:val="TableContents"/>
              <w:spacing w:before="0" w:after="0"/>
              <w:ind w:left="225" w:right="0" w:hanging="225"/>
              <w:rPr/>
            </w:pPr>
            <w:r>
              <w:rPr/>
              <w:t>Deduct: Total stock-based compensation expense determined under fair value based method for all awards, net of tax effects</w:t>
            </w:r>
          </w:p>
        </w:tc>
        <w:tc>
          <w:tcPr>
            <w:tcW w:w="27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917" w:type="dxa"/>
            <w:tcBorders/>
            <w:shd w:fill="auto" w:val="clear"/>
            <w:vAlign w:val="bottom"/>
          </w:tcPr>
          <w:p>
            <w:pPr>
              <w:pStyle w:val="TableContents"/>
              <w:spacing w:before="0" w:after="283"/>
              <w:jc w:val="right"/>
              <w:rPr/>
            </w:pPr>
            <w:r>
              <w:rPr/>
              <w:t>(8</w:t>
            </w:r>
          </w:p>
        </w:tc>
        <w:tc>
          <w:tcPr>
            <w:tcW w:w="157" w:type="dxa"/>
            <w:tcBorders/>
            <w:shd w:fill="auto" w:val="clear"/>
            <w:vAlign w:val="bottom"/>
          </w:tcPr>
          <w:p>
            <w:pPr>
              <w:pStyle w:val="TableContents"/>
              <w:spacing w:before="0" w:after="283"/>
              <w:rPr/>
            </w:pPr>
            <w:r>
              <w:rPr/>
              <w:t>)</w:t>
            </w:r>
          </w:p>
        </w:tc>
        <w:tc>
          <w:tcPr>
            <w:tcW w:w="29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283"/>
              <w:jc w:val="right"/>
              <w:rPr/>
            </w:pPr>
            <w:r>
              <w:rPr/>
              <w:t>(8</w:t>
            </w:r>
          </w:p>
        </w:tc>
        <w:tc>
          <w:tcPr>
            <w:tcW w:w="140" w:type="dxa"/>
            <w:tcBorders/>
            <w:shd w:fill="auto" w:val="clear"/>
            <w:vAlign w:val="bottom"/>
          </w:tcPr>
          <w:p>
            <w:pPr>
              <w:pStyle w:val="TableContents"/>
              <w:spacing w:before="0" w:after="283"/>
              <w:rPr/>
            </w:pPr>
            <w:r>
              <w:rPr/>
              <w:t>)</w:t>
            </w:r>
          </w:p>
        </w:tc>
      </w:tr>
      <w:tr>
        <w:trPr/>
        <w:tc>
          <w:tcPr>
            <w:tcW w:w="7212" w:type="dxa"/>
            <w:tcBorders/>
            <w:shd w:fill="auto" w:val="clear"/>
            <w:vAlign w:val="center"/>
          </w:tcPr>
          <w:p>
            <w:pPr>
              <w:pStyle w:val="TableContents"/>
              <w:spacing w:before="0" w:after="0"/>
              <w:ind w:left="225" w:right="0" w:hanging="225"/>
              <w:rPr/>
            </w:pPr>
            <w:r>
              <w:rPr/>
              <w:t> </w:t>
            </w:r>
          </w:p>
        </w:tc>
        <w:tc>
          <w:tcPr>
            <w:tcW w:w="279" w:type="dxa"/>
            <w:tcBorders/>
            <w:shd w:fill="auto" w:val="clear"/>
            <w:vAlign w:val="center"/>
          </w:tcPr>
          <w:p>
            <w:pPr>
              <w:pStyle w:val="TableContents"/>
              <w:spacing w:before="0" w:after="283"/>
              <w:rPr/>
            </w:pPr>
            <w:r>
              <w:rPr/>
              <w:t> </w:t>
            </w:r>
          </w:p>
        </w:tc>
        <w:tc>
          <w:tcPr>
            <w:tcW w:w="11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0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7212" w:type="dxa"/>
            <w:tcBorders/>
            <w:shd w:fill="CCEEFF" w:val="clear"/>
            <w:vAlign w:val="bottom"/>
          </w:tcPr>
          <w:p>
            <w:pPr>
              <w:pStyle w:val="TableContents"/>
              <w:spacing w:before="0" w:after="0"/>
              <w:ind w:left="225" w:right="0" w:hanging="225"/>
              <w:rPr/>
            </w:pPr>
            <w:r>
              <w:rPr/>
              <w:t>Pro forma</w:t>
            </w:r>
          </w:p>
        </w:tc>
        <w:tc>
          <w:tcPr>
            <w:tcW w:w="27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917" w:type="dxa"/>
            <w:tcBorders/>
            <w:shd w:fill="CCEEFF" w:val="clear"/>
            <w:vAlign w:val="bottom"/>
          </w:tcPr>
          <w:p>
            <w:pPr>
              <w:pStyle w:val="TableContents"/>
              <w:spacing w:before="0" w:after="283"/>
              <w:jc w:val="right"/>
              <w:rPr/>
            </w:pPr>
            <w:r>
              <w:rPr/>
              <w:t>(1,547</w:t>
            </w:r>
          </w:p>
        </w:tc>
        <w:tc>
          <w:tcPr>
            <w:tcW w:w="157" w:type="dxa"/>
            <w:tcBorders/>
            <w:shd w:fill="CCEEFF" w:val="clear"/>
            <w:vAlign w:val="bottom"/>
          </w:tcPr>
          <w:p>
            <w:pPr>
              <w:pStyle w:val="TableContents"/>
              <w:spacing w:before="0" w:after="283"/>
              <w:rPr/>
            </w:pPr>
            <w:r>
              <w:rPr/>
              <w:t>)</w:t>
            </w:r>
          </w:p>
        </w:tc>
        <w:tc>
          <w:tcPr>
            <w:tcW w:w="29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(294</w:t>
            </w:r>
          </w:p>
        </w:tc>
        <w:tc>
          <w:tcPr>
            <w:tcW w:w="140" w:type="dxa"/>
            <w:tcBorders/>
            <w:shd w:fill="CCEEFF" w:val="clear"/>
            <w:vAlign w:val="bottom"/>
          </w:tcPr>
          <w:p>
            <w:pPr>
              <w:pStyle w:val="TableContents"/>
              <w:spacing w:before="0" w:after="283"/>
              <w:rPr/>
            </w:pPr>
            <w:r>
              <w:rPr/>
              <w:t>)</w:t>
            </w:r>
          </w:p>
        </w:tc>
      </w:tr>
      <w:tr>
        <w:trPr/>
        <w:tc>
          <w:tcPr>
            <w:tcW w:w="7212" w:type="dxa"/>
            <w:tcBorders/>
            <w:shd w:fill="auto" w:val="clear"/>
            <w:vAlign w:val="center"/>
          </w:tcPr>
          <w:p>
            <w:pPr>
              <w:pStyle w:val="TableContents"/>
              <w:spacing w:before="0" w:after="0"/>
              <w:ind w:left="225" w:right="0" w:hanging="225"/>
              <w:rPr/>
            </w:pPr>
            <w:r>
              <w:rPr/>
              <w:t> </w:t>
            </w:r>
          </w:p>
        </w:tc>
        <w:tc>
          <w:tcPr>
            <w:tcW w:w="279" w:type="dxa"/>
            <w:tcBorders/>
            <w:shd w:fill="auto" w:val="clear"/>
            <w:vAlign w:val="center"/>
          </w:tcPr>
          <w:p>
            <w:pPr>
              <w:pStyle w:val="TableContents"/>
              <w:spacing w:before="0" w:after="283"/>
              <w:rPr/>
            </w:pPr>
            <w:r>
              <w:rPr/>
              <w:t> </w:t>
            </w:r>
          </w:p>
        </w:tc>
        <w:tc>
          <w:tcPr>
            <w:tcW w:w="11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292" w:type="dxa"/>
            <w:tcBorders/>
            <w:shd w:fill="auto" w:val="clear"/>
            <w:vAlign w:val="center"/>
          </w:tcPr>
          <w:p>
            <w:pPr>
              <w:pStyle w:val="TableContents"/>
              <w:spacing w:before="0" w:after="283"/>
              <w:rPr/>
            </w:pPr>
            <w:r>
              <w:rPr/>
              <w:t> </w:t>
            </w:r>
          </w:p>
        </w:tc>
        <w:tc>
          <w:tcPr>
            <w:tcW w:w="10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7212" w:type="dxa"/>
            <w:tcBorders/>
            <w:shd w:fill="auto" w:val="clear"/>
            <w:vAlign w:val="bottom"/>
          </w:tcPr>
          <w:p>
            <w:pPr>
              <w:pStyle w:val="TableContents"/>
              <w:spacing w:before="0" w:after="0"/>
              <w:ind w:left="225" w:right="0" w:hanging="225"/>
              <w:rPr/>
            </w:pPr>
            <w:r>
              <w:rPr/>
              <w:t> </w:t>
            </w:r>
          </w:p>
        </w:tc>
        <w:tc>
          <w:tcPr>
            <w:tcW w:w="27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7212" w:type="dxa"/>
            <w:tcBorders/>
            <w:shd w:fill="auto" w:val="clear"/>
            <w:vAlign w:val="bottom"/>
          </w:tcPr>
          <w:p>
            <w:pPr>
              <w:pStyle w:val="TableContents"/>
              <w:spacing w:before="0" w:after="0"/>
              <w:ind w:left="225" w:right="0" w:hanging="225"/>
              <w:rPr/>
            </w:pPr>
            <w:r>
              <w:rPr/>
              <w:t>Net loss per share, as reported:</w:t>
            </w:r>
          </w:p>
        </w:tc>
        <w:tc>
          <w:tcPr>
            <w:tcW w:w="27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7212" w:type="dxa"/>
            <w:tcBorders/>
            <w:shd w:fill="CCEEFF" w:val="clear"/>
            <w:vAlign w:val="bottom"/>
          </w:tcPr>
          <w:p>
            <w:pPr>
              <w:pStyle w:val="TableContents"/>
              <w:spacing w:before="0" w:after="0"/>
              <w:ind w:left="225" w:right="0" w:hanging="225"/>
              <w:rPr/>
            </w:pPr>
            <w:r>
              <w:rPr/>
              <w:t>Basic</w:t>
            </w:r>
          </w:p>
        </w:tc>
        <w:tc>
          <w:tcPr>
            <w:tcW w:w="27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917" w:type="dxa"/>
            <w:tcBorders/>
            <w:shd w:fill="CCEEFF" w:val="clear"/>
            <w:vAlign w:val="bottom"/>
          </w:tcPr>
          <w:p>
            <w:pPr>
              <w:pStyle w:val="TableContents"/>
              <w:spacing w:before="0" w:after="283"/>
              <w:jc w:val="right"/>
              <w:rPr/>
            </w:pPr>
            <w:r>
              <w:rPr/>
              <w:t>(0.11</w:t>
            </w:r>
          </w:p>
        </w:tc>
        <w:tc>
          <w:tcPr>
            <w:tcW w:w="157" w:type="dxa"/>
            <w:tcBorders/>
            <w:shd w:fill="CCEEFF" w:val="clear"/>
            <w:vAlign w:val="bottom"/>
          </w:tcPr>
          <w:p>
            <w:pPr>
              <w:pStyle w:val="TableContents"/>
              <w:spacing w:before="0" w:after="283"/>
              <w:rPr/>
            </w:pPr>
            <w:r>
              <w:rPr/>
              <w:t>)</w:t>
            </w:r>
          </w:p>
        </w:tc>
        <w:tc>
          <w:tcPr>
            <w:tcW w:w="29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(0.02</w:t>
            </w:r>
          </w:p>
        </w:tc>
        <w:tc>
          <w:tcPr>
            <w:tcW w:w="140" w:type="dxa"/>
            <w:tcBorders/>
            <w:shd w:fill="CCEEFF" w:val="clear"/>
            <w:vAlign w:val="bottom"/>
          </w:tcPr>
          <w:p>
            <w:pPr>
              <w:pStyle w:val="TableContents"/>
              <w:spacing w:before="0" w:after="283"/>
              <w:rPr/>
            </w:pPr>
            <w:r>
              <w:rPr/>
              <w:t>)</w:t>
            </w:r>
          </w:p>
        </w:tc>
      </w:tr>
      <w:tr>
        <w:trPr/>
        <w:tc>
          <w:tcPr>
            <w:tcW w:w="7212" w:type="dxa"/>
            <w:tcBorders/>
            <w:shd w:fill="auto" w:val="clear"/>
            <w:vAlign w:val="bottom"/>
          </w:tcPr>
          <w:p>
            <w:pPr>
              <w:pStyle w:val="TableContents"/>
              <w:spacing w:before="0" w:after="0"/>
              <w:ind w:left="225" w:right="0" w:hanging="225"/>
              <w:rPr/>
            </w:pPr>
            <w:r>
              <w:rPr/>
              <w:t>Diluted</w:t>
            </w:r>
          </w:p>
        </w:tc>
        <w:tc>
          <w:tcPr>
            <w:tcW w:w="27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917" w:type="dxa"/>
            <w:tcBorders/>
            <w:shd w:fill="auto" w:val="clear"/>
            <w:vAlign w:val="bottom"/>
          </w:tcPr>
          <w:p>
            <w:pPr>
              <w:pStyle w:val="TableContents"/>
              <w:spacing w:before="0" w:after="283"/>
              <w:jc w:val="right"/>
              <w:rPr/>
            </w:pPr>
            <w:r>
              <w:rPr/>
              <w:t>(0.11</w:t>
            </w:r>
          </w:p>
        </w:tc>
        <w:tc>
          <w:tcPr>
            <w:tcW w:w="157" w:type="dxa"/>
            <w:tcBorders/>
            <w:shd w:fill="auto" w:val="clear"/>
            <w:vAlign w:val="bottom"/>
          </w:tcPr>
          <w:p>
            <w:pPr>
              <w:pStyle w:val="TableContents"/>
              <w:spacing w:before="0" w:after="283"/>
              <w:rPr/>
            </w:pPr>
            <w:r>
              <w:rPr/>
              <w:t>)</w:t>
            </w:r>
          </w:p>
        </w:tc>
        <w:tc>
          <w:tcPr>
            <w:tcW w:w="29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822" w:type="dxa"/>
            <w:tcBorders/>
            <w:shd w:fill="auto" w:val="clear"/>
            <w:vAlign w:val="bottom"/>
          </w:tcPr>
          <w:p>
            <w:pPr>
              <w:pStyle w:val="TableContents"/>
              <w:spacing w:before="0" w:after="283"/>
              <w:jc w:val="right"/>
              <w:rPr/>
            </w:pPr>
            <w:r>
              <w:rPr/>
              <w:t>(0.02</w:t>
            </w:r>
          </w:p>
        </w:tc>
        <w:tc>
          <w:tcPr>
            <w:tcW w:w="140" w:type="dxa"/>
            <w:tcBorders/>
            <w:shd w:fill="auto" w:val="clear"/>
            <w:vAlign w:val="bottom"/>
          </w:tcPr>
          <w:p>
            <w:pPr>
              <w:pStyle w:val="TableContents"/>
              <w:spacing w:before="0" w:after="283"/>
              <w:rPr/>
            </w:pPr>
            <w:r>
              <w:rPr/>
              <w:t>)</w:t>
            </w:r>
          </w:p>
        </w:tc>
      </w:tr>
      <w:tr>
        <w:trPr/>
        <w:tc>
          <w:tcPr>
            <w:tcW w:w="7212" w:type="dxa"/>
            <w:tcBorders/>
            <w:shd w:fill="auto" w:val="clear"/>
            <w:vAlign w:val="bottom"/>
          </w:tcPr>
          <w:p>
            <w:pPr>
              <w:pStyle w:val="TableContents"/>
              <w:spacing w:before="0" w:after="0"/>
              <w:ind w:left="225" w:right="0" w:hanging="225"/>
              <w:rPr/>
            </w:pPr>
            <w:r>
              <w:rPr/>
              <w:t> </w:t>
            </w:r>
          </w:p>
        </w:tc>
        <w:tc>
          <w:tcPr>
            <w:tcW w:w="27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7212" w:type="dxa"/>
            <w:tcBorders/>
            <w:shd w:fill="CCEEFF" w:val="clear"/>
            <w:vAlign w:val="bottom"/>
          </w:tcPr>
          <w:p>
            <w:pPr>
              <w:pStyle w:val="TableContents"/>
              <w:spacing w:before="0" w:after="0"/>
              <w:ind w:left="225" w:right="0" w:hanging="225"/>
              <w:rPr/>
            </w:pPr>
            <w:r>
              <w:rPr/>
              <w:t>Net loss per share, pro forma:</w:t>
            </w:r>
          </w:p>
        </w:tc>
        <w:tc>
          <w:tcPr>
            <w:tcW w:w="27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7212" w:type="dxa"/>
            <w:tcBorders/>
            <w:shd w:fill="auto" w:val="clear"/>
            <w:vAlign w:val="bottom"/>
          </w:tcPr>
          <w:p>
            <w:pPr>
              <w:pStyle w:val="TableContents"/>
              <w:spacing w:before="0" w:after="0"/>
              <w:ind w:left="225" w:right="0" w:hanging="225"/>
              <w:rPr/>
            </w:pPr>
            <w:r>
              <w:rPr/>
              <w:t>Basic</w:t>
            </w:r>
          </w:p>
        </w:tc>
        <w:tc>
          <w:tcPr>
            <w:tcW w:w="27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917" w:type="dxa"/>
            <w:tcBorders/>
            <w:shd w:fill="auto" w:val="clear"/>
            <w:vAlign w:val="bottom"/>
          </w:tcPr>
          <w:p>
            <w:pPr>
              <w:pStyle w:val="TableContents"/>
              <w:spacing w:before="0" w:after="283"/>
              <w:jc w:val="right"/>
              <w:rPr/>
            </w:pPr>
            <w:r>
              <w:rPr/>
              <w:t>(0.11</w:t>
            </w:r>
          </w:p>
        </w:tc>
        <w:tc>
          <w:tcPr>
            <w:tcW w:w="157" w:type="dxa"/>
            <w:tcBorders/>
            <w:shd w:fill="auto" w:val="clear"/>
            <w:vAlign w:val="bottom"/>
          </w:tcPr>
          <w:p>
            <w:pPr>
              <w:pStyle w:val="TableContents"/>
              <w:spacing w:before="0" w:after="283"/>
              <w:rPr/>
            </w:pPr>
            <w:r>
              <w:rPr/>
              <w:t>)</w:t>
            </w:r>
          </w:p>
        </w:tc>
        <w:tc>
          <w:tcPr>
            <w:tcW w:w="29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822" w:type="dxa"/>
            <w:tcBorders/>
            <w:shd w:fill="auto" w:val="clear"/>
            <w:vAlign w:val="bottom"/>
          </w:tcPr>
          <w:p>
            <w:pPr>
              <w:pStyle w:val="TableContents"/>
              <w:spacing w:before="0" w:after="283"/>
              <w:jc w:val="right"/>
              <w:rPr/>
            </w:pPr>
            <w:r>
              <w:rPr/>
              <w:t>(0.02</w:t>
            </w:r>
          </w:p>
        </w:tc>
        <w:tc>
          <w:tcPr>
            <w:tcW w:w="140" w:type="dxa"/>
            <w:tcBorders/>
            <w:shd w:fill="auto" w:val="clear"/>
            <w:vAlign w:val="bottom"/>
          </w:tcPr>
          <w:p>
            <w:pPr>
              <w:pStyle w:val="TableContents"/>
              <w:spacing w:before="0" w:after="283"/>
              <w:rPr/>
            </w:pPr>
            <w:r>
              <w:rPr/>
              <w:t>)</w:t>
            </w:r>
          </w:p>
        </w:tc>
      </w:tr>
      <w:tr>
        <w:trPr/>
        <w:tc>
          <w:tcPr>
            <w:tcW w:w="7212" w:type="dxa"/>
            <w:tcBorders/>
            <w:shd w:fill="CCEEFF" w:val="clear"/>
            <w:vAlign w:val="bottom"/>
          </w:tcPr>
          <w:p>
            <w:pPr>
              <w:pStyle w:val="TableContents"/>
              <w:spacing w:before="0" w:after="0"/>
              <w:ind w:left="225" w:right="0" w:hanging="225"/>
              <w:rPr/>
            </w:pPr>
            <w:r>
              <w:rPr/>
              <w:t>Diluted</w:t>
            </w:r>
          </w:p>
        </w:tc>
        <w:tc>
          <w:tcPr>
            <w:tcW w:w="27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917" w:type="dxa"/>
            <w:tcBorders/>
            <w:shd w:fill="CCEEFF" w:val="clear"/>
            <w:vAlign w:val="bottom"/>
          </w:tcPr>
          <w:p>
            <w:pPr>
              <w:pStyle w:val="TableContents"/>
              <w:spacing w:before="0" w:after="283"/>
              <w:jc w:val="right"/>
              <w:rPr/>
            </w:pPr>
            <w:r>
              <w:rPr/>
              <w:t>(0.11</w:t>
            </w:r>
          </w:p>
        </w:tc>
        <w:tc>
          <w:tcPr>
            <w:tcW w:w="157" w:type="dxa"/>
            <w:tcBorders/>
            <w:shd w:fill="CCEEFF" w:val="clear"/>
            <w:vAlign w:val="bottom"/>
          </w:tcPr>
          <w:p>
            <w:pPr>
              <w:pStyle w:val="TableContents"/>
              <w:spacing w:before="0" w:after="283"/>
              <w:rPr/>
            </w:pPr>
            <w:r>
              <w:rPr/>
              <w:t>)</w:t>
            </w:r>
          </w:p>
        </w:tc>
        <w:tc>
          <w:tcPr>
            <w:tcW w:w="29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(0.02</w:t>
            </w:r>
          </w:p>
        </w:tc>
        <w:tc>
          <w:tcPr>
            <w:tcW w:w="140" w:type="dxa"/>
            <w:tcBorders/>
            <w:shd w:fill="CCEEFF" w:val="clear"/>
            <w:vAlign w:val="bottom"/>
          </w:tcPr>
          <w:p>
            <w:pPr>
              <w:pStyle w:val="TableContents"/>
              <w:spacing w:before="0" w:after="283"/>
              <w:rPr/>
            </w:pPr>
            <w:r>
              <w:rPr/>
              <w: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NOTES TO CONSOLIDATED CONDENSED FINANCIAL STATEMENTS (UNAUDITED)</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For purposes of pro forma disclosures under SFAS No. 123, the estimated fair value of the options is assumed to be amortized to compensation expense over the options vesting period. The fair value of the options granted in 2004 has been estimated at the date of grant using the Black-Scholes option pricing model with the following assumptions: </w:t>
      </w:r>
    </w:p>
    <w:tbl>
      <w:tblPr>
        <w:tblW w:w="5000" w:type="pct"/>
        <w:jc w:val="center"/>
        <w:tblInd w:w="0" w:type="dxa"/>
        <w:tblCellMar>
          <w:top w:w="0" w:type="dxa"/>
          <w:left w:w="0" w:type="dxa"/>
          <w:bottom w:w="0" w:type="dxa"/>
          <w:right w:w="0" w:type="dxa"/>
        </w:tblCellMar>
      </w:tblPr>
      <w:tblGrid>
        <w:gridCol w:w="8818"/>
        <w:gridCol w:w="299"/>
        <w:gridCol w:w="170"/>
        <w:gridCol w:w="700"/>
        <w:gridCol w:w="218"/>
      </w:tblGrid>
      <w:tr>
        <w:trPr/>
        <w:tc>
          <w:tcPr>
            <w:tcW w:w="881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r>
      <w:tr>
        <w:trPr/>
        <w:tc>
          <w:tcPr>
            <w:tcW w:w="8818" w:type="dxa"/>
            <w:tcBorders/>
            <w:shd w:fill="CCEEFF" w:val="clear"/>
            <w:vAlign w:val="bottom"/>
          </w:tcPr>
          <w:p>
            <w:pPr>
              <w:pStyle w:val="TableContents"/>
              <w:spacing w:before="0" w:after="0"/>
              <w:ind w:left="225" w:right="0" w:hanging="225"/>
              <w:rPr/>
            </w:pPr>
            <w:r>
              <w:rPr/>
              <w:t>Risk-free interest rate</w:t>
            </w:r>
          </w:p>
        </w:tc>
        <w:tc>
          <w:tcPr>
            <w:tcW w:w="299"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700" w:type="dxa"/>
            <w:tcBorders/>
            <w:shd w:fill="CCEEFF" w:val="clear"/>
            <w:vAlign w:val="bottom"/>
          </w:tcPr>
          <w:p>
            <w:pPr>
              <w:pStyle w:val="TableContents"/>
              <w:spacing w:before="0" w:after="283"/>
              <w:jc w:val="right"/>
              <w:rPr/>
            </w:pPr>
            <w:r>
              <w:rPr/>
              <w:t>3.3</w:t>
            </w:r>
          </w:p>
        </w:tc>
        <w:tc>
          <w:tcPr>
            <w:tcW w:w="218" w:type="dxa"/>
            <w:tcBorders/>
            <w:shd w:fill="CCEEFF" w:val="clear"/>
            <w:vAlign w:val="bottom"/>
          </w:tcPr>
          <w:p>
            <w:pPr>
              <w:pStyle w:val="TableContents"/>
              <w:spacing w:before="0" w:after="283"/>
              <w:rPr/>
            </w:pPr>
            <w:r>
              <w:rPr/>
              <w:t>%</w:t>
            </w:r>
          </w:p>
        </w:tc>
      </w:tr>
      <w:tr>
        <w:trPr/>
        <w:tc>
          <w:tcPr>
            <w:tcW w:w="8818" w:type="dxa"/>
            <w:tcBorders/>
            <w:shd w:fill="auto" w:val="clear"/>
            <w:vAlign w:val="bottom"/>
          </w:tcPr>
          <w:p>
            <w:pPr>
              <w:pStyle w:val="TableContents"/>
              <w:spacing w:before="0" w:after="0"/>
              <w:ind w:left="225" w:right="0" w:hanging="225"/>
              <w:rPr/>
            </w:pPr>
            <w:r>
              <w:rPr/>
              <w:t>Expected volatility</w:t>
            </w:r>
          </w:p>
        </w:tc>
        <w:tc>
          <w:tcPr>
            <w:tcW w:w="29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pPr>
            <w:r>
              <w:rPr/>
              <w:t>26.9</w:t>
            </w:r>
          </w:p>
        </w:tc>
        <w:tc>
          <w:tcPr>
            <w:tcW w:w="218" w:type="dxa"/>
            <w:tcBorders/>
            <w:shd w:fill="auto" w:val="clear"/>
            <w:vAlign w:val="bottom"/>
          </w:tcPr>
          <w:p>
            <w:pPr>
              <w:pStyle w:val="TableContents"/>
              <w:spacing w:before="0" w:after="283"/>
              <w:rPr/>
            </w:pPr>
            <w:r>
              <w:rPr/>
              <w:t>%</w:t>
            </w:r>
          </w:p>
        </w:tc>
      </w:tr>
      <w:tr>
        <w:trPr/>
        <w:tc>
          <w:tcPr>
            <w:tcW w:w="8818" w:type="dxa"/>
            <w:tcBorders/>
            <w:shd w:fill="CCEEFF" w:val="clear"/>
            <w:vAlign w:val="bottom"/>
          </w:tcPr>
          <w:p>
            <w:pPr>
              <w:pStyle w:val="TableContents"/>
              <w:spacing w:before="0" w:after="0"/>
              <w:ind w:left="225" w:right="0" w:hanging="225"/>
              <w:rPr/>
            </w:pPr>
            <w:r>
              <w:rPr/>
              <w:t>Dividend yield</w:t>
            </w:r>
          </w:p>
        </w:tc>
        <w:tc>
          <w:tcPr>
            <w:tcW w:w="299"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700" w:type="dxa"/>
            <w:tcBorders/>
            <w:shd w:fill="CCEEFF" w:val="clear"/>
            <w:vAlign w:val="bottom"/>
          </w:tcPr>
          <w:p>
            <w:pPr>
              <w:pStyle w:val="TableContents"/>
              <w:spacing w:before="0" w:after="283"/>
              <w:jc w:val="right"/>
              <w:rPr/>
            </w:pPr>
            <w:r>
              <w:rPr/>
              <w:t>20</w:t>
            </w:r>
          </w:p>
        </w:tc>
        <w:tc>
          <w:tcPr>
            <w:tcW w:w="218" w:type="dxa"/>
            <w:tcBorders/>
            <w:shd w:fill="CCEEFF" w:val="clear"/>
            <w:vAlign w:val="bottom"/>
          </w:tcPr>
          <w:p>
            <w:pPr>
              <w:pStyle w:val="TableContents"/>
              <w:spacing w:before="0" w:after="283"/>
              <w:rPr/>
            </w:pPr>
            <w:r>
              <w:rPr/>
              <w:t>%</w:t>
            </w:r>
          </w:p>
        </w:tc>
      </w:tr>
      <w:tr>
        <w:trPr/>
        <w:tc>
          <w:tcPr>
            <w:tcW w:w="8818" w:type="dxa"/>
            <w:tcBorders/>
            <w:shd w:fill="auto" w:val="clear"/>
            <w:vAlign w:val="bottom"/>
          </w:tcPr>
          <w:p>
            <w:pPr>
              <w:pStyle w:val="TableContents"/>
              <w:spacing w:before="0" w:after="0"/>
              <w:ind w:left="225" w:right="0" w:hanging="225"/>
              <w:rPr/>
            </w:pPr>
            <w:r>
              <w:rPr/>
              <w:t>Expected life (years)</w:t>
            </w:r>
          </w:p>
        </w:tc>
        <w:tc>
          <w:tcPr>
            <w:tcW w:w="299"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5</w:t>
            </w:r>
          </w:p>
        </w:tc>
        <w:tc>
          <w:tcPr>
            <w:tcW w:w="218" w:type="dxa"/>
            <w:tcBorders/>
            <w:shd w:fill="auto" w:val="clear"/>
            <w:vAlign w:val="bottom"/>
          </w:tcPr>
          <w:p>
            <w:pPr>
              <w:pStyle w:val="TableContents"/>
              <w:spacing w:before="0" w:after="283"/>
              <w:rPr/>
            </w:pPr>
            <w:r>
              <w:rPr/>
              <w:t> </w:t>
            </w:r>
          </w:p>
        </w:tc>
      </w:tr>
      <w:tr>
        <w:trPr/>
        <w:tc>
          <w:tcPr>
            <w:tcW w:w="8818" w:type="dxa"/>
            <w:tcBorders/>
            <w:shd w:fill="CCEEFF" w:val="clear"/>
            <w:vAlign w:val="bottom"/>
          </w:tcPr>
          <w:p>
            <w:pPr>
              <w:pStyle w:val="TableContents"/>
              <w:spacing w:before="0" w:after="0"/>
              <w:ind w:left="225" w:right="0" w:hanging="225"/>
              <w:rPr/>
            </w:pPr>
            <w:r>
              <w:rPr/>
              <w:t>Weighted-average fair value of options granted</w:t>
            </w:r>
          </w:p>
        </w:tc>
        <w:tc>
          <w:tcPr>
            <w:tcW w:w="299"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3.01</w:t>
            </w:r>
          </w:p>
        </w:tc>
        <w:tc>
          <w:tcPr>
            <w:tcW w:w="218" w:type="dxa"/>
            <w:tcBorders/>
            <w:shd w:fill="CCEEFF" w:val="clear"/>
            <w:vAlign w:val="bottom"/>
          </w:tcPr>
          <w:p>
            <w:pPr>
              <w:pStyle w:val="TableContents"/>
              <w:spacing w:before="0" w:after="283"/>
              <w:rPr/>
            </w:pPr>
            <w:r>
              <w:rPr/>
              <w:t> </w:t>
            </w:r>
          </w:p>
        </w:tc>
      </w:tr>
    </w:tbl>
    <w:p>
      <w:pPr>
        <w:pStyle w:val="TextBody"/>
        <w:jc w:val="left"/>
        <w:rPr/>
      </w:pPr>
      <w:r>
        <w:rPr/>
        <w:t>     </w:t>
      </w:r>
      <w:r>
        <w:rPr>
          <w:rFonts w:ascii="Times New Roman;Times;serif" w:hAnsi="Times New Roman;Times;serif"/>
          <w:sz w:val="17"/>
        </w:rPr>
        <w:t xml:space="preserve">The Black-Scholes and Binary option valuation models were developed for use in estimating the fair value of traded options that have no vesting restrictions and are fully transferable. In addition, option valuation models require the input of highly subjective assumptions, including the expected stock price volatility. Because options held by our directors have characteristics significantly different from those of traded options, and because changes in the subjective input assumptions can materially affect the fair value estimate, in our opinion, the existing models do not necessarily provide a reliable single measure of the fair value of these options. </w:t>
      </w:r>
    </w:p>
    <w:p>
      <w:pPr>
        <w:pStyle w:val="TextBody"/>
        <w:jc w:val="left"/>
        <w:rPr>
          <w:rFonts w:ascii="Times New Roman;Times;serif" w:hAnsi="Times New Roman;Times;serif"/>
          <w:sz w:val="17"/>
        </w:rPr>
      </w:pPr>
      <w:r>
        <w:rPr>
          <w:rFonts w:ascii="Times New Roman;Times;serif" w:hAnsi="Times New Roman;Times;serif"/>
          <w:b/>
          <w:i/>
          <w:sz w:val="17"/>
        </w:rPr>
        <w:t>Reclassifications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Certain prior year amounts have been reclassified to conform to the current period presentation. </w:t>
      </w:r>
    </w:p>
    <w:p>
      <w:pPr>
        <w:pStyle w:val="TextBody"/>
        <w:jc w:val="left"/>
        <w:rPr>
          <w:rFonts w:ascii="Times New Roman;Times;serif" w:hAnsi="Times New Roman;Times;serif"/>
          <w:sz w:val="17"/>
        </w:rPr>
      </w:pPr>
      <w:r>
        <w:rPr>
          <w:rFonts w:ascii="Times New Roman;Times;serif" w:hAnsi="Times New Roman;Times;serif"/>
          <w:b/>
          <w:sz w:val="17"/>
        </w:rPr>
        <w:t>2. Information regarding our operations in different segments</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We operate and track results in three reportable segments  California avocados, international avocados and perishable foods products, and processed products. These three business segments are presented based on our management structure and information used by our president to measure performance and allocate resources. The California avocados segment includes all operations that involve the distribution of avocados grown in California. The international avocados and perishable foods products segment includes both operations related to distribution of fresh avocados grown outside of California, papayas, and the distribution of other perishable food items. The processed products segment represents all operations related to the purchase, manufacturing, and distribution of processed avocado products. Those costs that can be specifically identified with a particular product line are charged directly to that product line. Costs that are not segment specific are generally allocated based on two-year average sales dollars. We do not allocate assets or specifically identify them to our operating segments. </w:t>
      </w:r>
    </w:p>
    <w:tbl>
      <w:tblPr>
        <w:tblW w:w="5000" w:type="pct"/>
        <w:jc w:val="center"/>
        <w:tblInd w:w="0" w:type="dxa"/>
        <w:tblCellMar>
          <w:top w:w="0" w:type="dxa"/>
          <w:left w:w="0" w:type="dxa"/>
          <w:bottom w:w="0" w:type="dxa"/>
          <w:right w:w="0" w:type="dxa"/>
        </w:tblCellMar>
      </w:tblPr>
      <w:tblGrid>
        <w:gridCol w:w="2673"/>
        <w:gridCol w:w="154"/>
        <w:gridCol w:w="200"/>
        <w:gridCol w:w="928"/>
        <w:gridCol w:w="117"/>
        <w:gridCol w:w="154"/>
        <w:gridCol w:w="269"/>
        <w:gridCol w:w="1321"/>
        <w:gridCol w:w="86"/>
        <w:gridCol w:w="154"/>
        <w:gridCol w:w="213"/>
        <w:gridCol w:w="889"/>
        <w:gridCol w:w="117"/>
        <w:gridCol w:w="153"/>
        <w:gridCol w:w="260"/>
        <w:gridCol w:w="1198"/>
        <w:gridCol w:w="117"/>
        <w:gridCol w:w="154"/>
        <w:gridCol w:w="156"/>
        <w:gridCol w:w="766"/>
        <w:gridCol w:w="126"/>
      </w:tblGrid>
      <w:tr>
        <w:trPr/>
        <w:tc>
          <w:tcPr>
            <w:tcW w:w="267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267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90" w:type="dxa"/>
            <w:gridSpan w:val="2"/>
            <w:tcBorders/>
            <w:shd w:fill="auto" w:val="clear"/>
            <w:vAlign w:val="bottom"/>
          </w:tcPr>
          <w:p>
            <w:pPr>
              <w:pStyle w:val="TableContents"/>
              <w:spacing w:before="0" w:after="283"/>
              <w:jc w:val="center"/>
              <w:rPr>
                <w:b/>
              </w:rPr>
            </w:pPr>
            <w:r>
              <w:rPr>
                <w:b/>
              </w:rPr>
              <w:t>International</w:t>
            </w:r>
          </w:p>
        </w:tc>
        <w:tc>
          <w:tcPr>
            <w:tcW w:w="8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02"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458"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22" w:type="dxa"/>
            <w:gridSpan w:val="2"/>
            <w:tcBorders/>
            <w:shd w:fill="auto" w:val="clear"/>
            <w:vAlign w:val="bottom"/>
          </w:tcPr>
          <w:p>
            <w:pPr>
              <w:pStyle w:val="TableContents"/>
              <w:spacing w:before="0" w:after="283"/>
              <w:jc w:val="center"/>
              <w:rPr/>
            </w:pPr>
            <w:r>
              <w:rPr/>
              <w:t> </w:t>
            </w:r>
          </w:p>
        </w:tc>
        <w:tc>
          <w:tcPr>
            <w:tcW w:w="126" w:type="dxa"/>
            <w:tcBorders/>
            <w:shd w:fill="auto" w:val="clear"/>
            <w:vAlign w:val="bottom"/>
          </w:tcPr>
          <w:p>
            <w:pPr>
              <w:pStyle w:val="TableContents"/>
              <w:spacing w:before="0" w:after="283"/>
              <w:rPr/>
            </w:pPr>
            <w:r>
              <w:rPr/>
              <w:t> </w:t>
            </w:r>
          </w:p>
        </w:tc>
      </w:tr>
      <w:tr>
        <w:trPr/>
        <w:tc>
          <w:tcPr>
            <w:tcW w:w="267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90" w:type="dxa"/>
            <w:gridSpan w:val="2"/>
            <w:tcBorders/>
            <w:shd w:fill="auto" w:val="clear"/>
            <w:vAlign w:val="bottom"/>
          </w:tcPr>
          <w:p>
            <w:pPr>
              <w:pStyle w:val="TableContents"/>
              <w:spacing w:before="0" w:after="283"/>
              <w:jc w:val="center"/>
              <w:rPr>
                <w:b/>
              </w:rPr>
            </w:pPr>
            <w:r>
              <w:rPr>
                <w:b/>
              </w:rPr>
              <w:t>avocados and</w:t>
            </w:r>
          </w:p>
        </w:tc>
        <w:tc>
          <w:tcPr>
            <w:tcW w:w="8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02"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458"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22" w:type="dxa"/>
            <w:gridSpan w:val="2"/>
            <w:tcBorders/>
            <w:shd w:fill="auto" w:val="clear"/>
            <w:vAlign w:val="bottom"/>
          </w:tcPr>
          <w:p>
            <w:pPr>
              <w:pStyle w:val="TableContents"/>
              <w:spacing w:before="0" w:after="283"/>
              <w:jc w:val="center"/>
              <w:rPr/>
            </w:pPr>
            <w:r>
              <w:rPr/>
              <w:t> </w:t>
            </w:r>
          </w:p>
        </w:tc>
        <w:tc>
          <w:tcPr>
            <w:tcW w:w="126" w:type="dxa"/>
            <w:tcBorders/>
            <w:shd w:fill="auto" w:val="clear"/>
            <w:vAlign w:val="bottom"/>
          </w:tcPr>
          <w:p>
            <w:pPr>
              <w:pStyle w:val="TableContents"/>
              <w:spacing w:before="0" w:after="283"/>
              <w:rPr/>
            </w:pPr>
            <w:r>
              <w:rPr/>
              <w:t> </w:t>
            </w:r>
          </w:p>
        </w:tc>
      </w:tr>
      <w:tr>
        <w:trPr/>
        <w:tc>
          <w:tcPr>
            <w:tcW w:w="267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28" w:type="dxa"/>
            <w:gridSpan w:val="2"/>
            <w:tcBorders/>
            <w:shd w:fill="auto" w:val="clear"/>
            <w:vAlign w:val="bottom"/>
          </w:tcPr>
          <w:p>
            <w:pPr>
              <w:pStyle w:val="TableContents"/>
              <w:spacing w:before="0" w:after="283"/>
              <w:jc w:val="center"/>
              <w:rPr>
                <w:b/>
              </w:rPr>
            </w:pPr>
            <w:r>
              <w:rPr>
                <w:b/>
              </w:rPr>
              <w:t>California</w:t>
            </w:r>
          </w:p>
        </w:tc>
        <w:tc>
          <w:tcPr>
            <w:tcW w:w="11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90" w:type="dxa"/>
            <w:gridSpan w:val="2"/>
            <w:tcBorders/>
            <w:shd w:fill="auto" w:val="clear"/>
            <w:vAlign w:val="bottom"/>
          </w:tcPr>
          <w:p>
            <w:pPr>
              <w:pStyle w:val="TableContents"/>
              <w:spacing w:before="0" w:after="283"/>
              <w:jc w:val="center"/>
              <w:rPr>
                <w:b/>
              </w:rPr>
            </w:pPr>
            <w:r>
              <w:rPr>
                <w:b/>
              </w:rPr>
              <w:t>perishable food</w:t>
            </w:r>
          </w:p>
        </w:tc>
        <w:tc>
          <w:tcPr>
            <w:tcW w:w="8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02" w:type="dxa"/>
            <w:gridSpan w:val="2"/>
            <w:tcBorders/>
            <w:shd w:fill="auto" w:val="clear"/>
            <w:vAlign w:val="bottom"/>
          </w:tcPr>
          <w:p>
            <w:pPr>
              <w:pStyle w:val="TableContents"/>
              <w:spacing w:before="0" w:after="283"/>
              <w:jc w:val="center"/>
              <w:rPr>
                <w:b/>
              </w:rPr>
            </w:pPr>
            <w:r>
              <w:rPr>
                <w:b/>
              </w:rPr>
              <w:t>Processed</w:t>
            </w:r>
          </w:p>
        </w:tc>
        <w:tc>
          <w:tcPr>
            <w:tcW w:w="11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458" w:type="dxa"/>
            <w:gridSpan w:val="2"/>
            <w:tcBorders/>
            <w:shd w:fill="auto" w:val="clear"/>
            <w:vAlign w:val="bottom"/>
          </w:tcPr>
          <w:p>
            <w:pPr>
              <w:pStyle w:val="TableContents"/>
              <w:spacing w:before="0" w:after="283"/>
              <w:jc w:val="center"/>
              <w:rPr>
                <w:b/>
              </w:rPr>
            </w:pPr>
            <w:r>
              <w:rPr>
                <w:b/>
              </w:rPr>
              <w:t>Inter-segment</w:t>
            </w:r>
          </w:p>
        </w:tc>
        <w:tc>
          <w:tcPr>
            <w:tcW w:w="11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22" w:type="dxa"/>
            <w:gridSpan w:val="2"/>
            <w:tcBorders/>
            <w:shd w:fill="auto" w:val="clear"/>
            <w:vAlign w:val="bottom"/>
          </w:tcPr>
          <w:p>
            <w:pPr>
              <w:pStyle w:val="TableContents"/>
              <w:spacing w:before="0" w:after="283"/>
              <w:jc w:val="center"/>
              <w:rPr/>
            </w:pPr>
            <w:r>
              <w:rPr/>
              <w:t> </w:t>
            </w:r>
          </w:p>
        </w:tc>
        <w:tc>
          <w:tcPr>
            <w:tcW w:w="126" w:type="dxa"/>
            <w:tcBorders/>
            <w:shd w:fill="auto" w:val="clear"/>
            <w:vAlign w:val="bottom"/>
          </w:tcPr>
          <w:p>
            <w:pPr>
              <w:pStyle w:val="TableContents"/>
              <w:spacing w:before="0" w:after="283"/>
              <w:rPr/>
            </w:pPr>
            <w:r>
              <w:rPr/>
              <w:t> </w:t>
            </w:r>
          </w:p>
        </w:tc>
      </w:tr>
      <w:tr>
        <w:trPr/>
        <w:tc>
          <w:tcPr>
            <w:tcW w:w="267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2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11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8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0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1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45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2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26" w:type="dxa"/>
            <w:tcBorders/>
            <w:shd w:fill="auto" w:val="clear"/>
            <w:vAlign w:val="bottom"/>
          </w:tcPr>
          <w:p>
            <w:pPr>
              <w:pStyle w:val="TableContents"/>
              <w:spacing w:before="0" w:after="283"/>
              <w:rPr/>
            </w:pPr>
            <w:r>
              <w:rPr/>
              <w:t> </w:t>
            </w:r>
          </w:p>
        </w:tc>
      </w:tr>
      <w:tr>
        <w:trPr/>
        <w:tc>
          <w:tcPr>
            <w:tcW w:w="267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378" w:type="dxa"/>
            <w:gridSpan w:val="19"/>
            <w:tcBorders/>
            <w:shd w:fill="auto" w:val="clear"/>
            <w:vAlign w:val="bottom"/>
          </w:tcPr>
          <w:p>
            <w:pPr>
              <w:pStyle w:val="TableContents"/>
              <w:spacing w:before="0" w:after="283"/>
              <w:jc w:val="center"/>
              <w:rPr>
                <w:b/>
              </w:rPr>
            </w:pPr>
            <w:r>
              <w:rPr>
                <w:b/>
              </w:rPr>
              <w:t>(in thousands)</w:t>
            </w:r>
          </w:p>
        </w:tc>
      </w:tr>
      <w:tr>
        <w:trPr/>
        <w:tc>
          <w:tcPr>
            <w:tcW w:w="2673" w:type="dxa"/>
            <w:tcBorders/>
            <w:shd w:fill="CCEEFF" w:val="clear"/>
            <w:vAlign w:val="bottom"/>
          </w:tcPr>
          <w:p>
            <w:pPr>
              <w:pStyle w:val="TableContents"/>
              <w:spacing w:before="0" w:after="0"/>
              <w:ind w:left="225" w:right="0" w:hanging="225"/>
              <w:rPr>
                <w:b/>
              </w:rPr>
            </w:pPr>
            <w:r>
              <w:rPr>
                <w:b/>
              </w:rPr>
              <w:t>Three months ended January 31, 2005</w:t>
            </w:r>
          </w:p>
        </w:tc>
        <w:tc>
          <w:tcPr>
            <w:tcW w:w="15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r>
      <w:tr>
        <w:trPr/>
        <w:tc>
          <w:tcPr>
            <w:tcW w:w="2673" w:type="dxa"/>
            <w:tcBorders/>
            <w:shd w:fill="auto" w:val="clear"/>
            <w:vAlign w:val="bottom"/>
          </w:tcPr>
          <w:p>
            <w:pPr>
              <w:pStyle w:val="TableContents"/>
              <w:spacing w:before="0" w:after="0"/>
              <w:ind w:left="225" w:right="0" w:hanging="225"/>
              <w:rPr/>
            </w:pPr>
            <w:r>
              <w:rPr/>
              <w:t>Net sales</w:t>
            </w:r>
          </w:p>
        </w:tc>
        <w:tc>
          <w:tcPr>
            <w:tcW w:w="15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w:t>
            </w:r>
          </w:p>
        </w:tc>
        <w:tc>
          <w:tcPr>
            <w:tcW w:w="928" w:type="dxa"/>
            <w:tcBorders/>
            <w:shd w:fill="auto" w:val="clear"/>
            <w:vAlign w:val="bottom"/>
          </w:tcPr>
          <w:p>
            <w:pPr>
              <w:pStyle w:val="TableContents"/>
              <w:spacing w:before="0" w:after="283"/>
              <w:jc w:val="right"/>
              <w:rPr/>
            </w:pPr>
            <w:r>
              <w:rPr/>
              <w:t>8,677</w:t>
            </w:r>
          </w:p>
        </w:tc>
        <w:tc>
          <w:tcPr>
            <w:tcW w:w="11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jc w:val="left"/>
              <w:rPr/>
            </w:pPr>
            <w:r>
              <w:rPr/>
              <w:t>$</w:t>
            </w:r>
          </w:p>
        </w:tc>
        <w:tc>
          <w:tcPr>
            <w:tcW w:w="1321" w:type="dxa"/>
            <w:tcBorders/>
            <w:shd w:fill="auto" w:val="clear"/>
            <w:vAlign w:val="bottom"/>
          </w:tcPr>
          <w:p>
            <w:pPr>
              <w:pStyle w:val="TableContents"/>
              <w:spacing w:before="0" w:after="283"/>
              <w:jc w:val="right"/>
              <w:rPr/>
            </w:pPr>
            <w:r>
              <w:rPr/>
              <w:t>36,387</w:t>
            </w:r>
          </w:p>
        </w:tc>
        <w:tc>
          <w:tcPr>
            <w:tcW w:w="8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889" w:type="dxa"/>
            <w:tcBorders/>
            <w:shd w:fill="auto" w:val="clear"/>
            <w:vAlign w:val="bottom"/>
          </w:tcPr>
          <w:p>
            <w:pPr>
              <w:pStyle w:val="TableContents"/>
              <w:spacing w:before="0" w:after="283"/>
              <w:jc w:val="right"/>
              <w:rPr/>
            </w:pPr>
            <w:r>
              <w:rPr/>
              <w:t>7,502</w:t>
            </w:r>
          </w:p>
        </w:tc>
        <w:tc>
          <w:tcPr>
            <w:tcW w:w="11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left"/>
              <w:rPr/>
            </w:pPr>
            <w:r>
              <w:rPr/>
              <w:t>$</w:t>
            </w:r>
          </w:p>
        </w:tc>
        <w:tc>
          <w:tcPr>
            <w:tcW w:w="1198" w:type="dxa"/>
            <w:tcBorders/>
            <w:shd w:fill="auto" w:val="clear"/>
            <w:vAlign w:val="bottom"/>
          </w:tcPr>
          <w:p>
            <w:pPr>
              <w:pStyle w:val="TableContents"/>
              <w:spacing w:before="0" w:after="283"/>
              <w:jc w:val="right"/>
              <w:rPr/>
            </w:pPr>
            <w:r>
              <w:rPr/>
              <w:t>(4,895</w:t>
            </w:r>
          </w:p>
        </w:tc>
        <w:tc>
          <w:tcPr>
            <w:tcW w:w="117" w:type="dxa"/>
            <w:tcBorders/>
            <w:shd w:fill="auto" w:val="clear"/>
            <w:vAlign w:val="bottom"/>
          </w:tcPr>
          <w:p>
            <w:pPr>
              <w:pStyle w:val="TableContents"/>
              <w:spacing w:before="0" w:after="283"/>
              <w:rPr/>
            </w:pPr>
            <w:r>
              <w:rPr/>
              <w:t>)</w:t>
            </w:r>
          </w:p>
        </w:tc>
        <w:tc>
          <w:tcPr>
            <w:tcW w:w="15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766" w:type="dxa"/>
            <w:tcBorders/>
            <w:shd w:fill="auto" w:val="clear"/>
            <w:vAlign w:val="bottom"/>
          </w:tcPr>
          <w:p>
            <w:pPr>
              <w:pStyle w:val="TableContents"/>
              <w:spacing w:before="0" w:after="283"/>
              <w:jc w:val="right"/>
              <w:rPr/>
            </w:pPr>
            <w:r>
              <w:rPr/>
              <w:t>47,671</w:t>
            </w:r>
          </w:p>
        </w:tc>
        <w:tc>
          <w:tcPr>
            <w:tcW w:w="126" w:type="dxa"/>
            <w:tcBorders/>
            <w:shd w:fill="auto" w:val="clear"/>
            <w:vAlign w:val="bottom"/>
          </w:tcPr>
          <w:p>
            <w:pPr>
              <w:pStyle w:val="TableContents"/>
              <w:spacing w:before="0" w:after="283"/>
              <w:rPr/>
            </w:pPr>
            <w:r>
              <w:rPr/>
              <w:t> </w:t>
            </w:r>
          </w:p>
        </w:tc>
      </w:tr>
      <w:tr>
        <w:trPr/>
        <w:tc>
          <w:tcPr>
            <w:tcW w:w="2673" w:type="dxa"/>
            <w:tcBorders/>
            <w:shd w:fill="CCEEFF" w:val="clear"/>
            <w:vAlign w:val="bottom"/>
          </w:tcPr>
          <w:p>
            <w:pPr>
              <w:pStyle w:val="TableContents"/>
              <w:spacing w:before="0" w:after="0"/>
              <w:ind w:left="225" w:right="0" w:hanging="225"/>
              <w:rPr/>
            </w:pPr>
            <w:r>
              <w:rPr/>
              <w:t>Cost of sales</w:t>
            </w:r>
          </w:p>
        </w:tc>
        <w:tc>
          <w:tcPr>
            <w:tcW w:w="15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8,685</w:t>
            </w:r>
          </w:p>
        </w:tc>
        <w:tc>
          <w:tcPr>
            <w:tcW w:w="11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spacing w:before="0" w:after="283"/>
              <w:jc w:val="right"/>
              <w:rPr/>
            </w:pPr>
            <w:r>
              <w:rPr/>
              <w:t>34,935</w:t>
            </w:r>
          </w:p>
        </w:tc>
        <w:tc>
          <w:tcPr>
            <w:tcW w:w="8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6,994</w:t>
            </w:r>
          </w:p>
        </w:tc>
        <w:tc>
          <w:tcPr>
            <w:tcW w:w="11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jc w:val="left"/>
              <w:rPr/>
            </w:pPr>
            <w:r>
              <w:rPr/>
              <w:t> </w:t>
            </w:r>
          </w:p>
        </w:tc>
        <w:tc>
          <w:tcPr>
            <w:tcW w:w="1198" w:type="dxa"/>
            <w:tcBorders/>
            <w:shd w:fill="CCEEFF" w:val="clear"/>
            <w:vAlign w:val="bottom"/>
          </w:tcPr>
          <w:p>
            <w:pPr>
              <w:pStyle w:val="TableContents"/>
              <w:spacing w:before="0" w:after="283"/>
              <w:jc w:val="right"/>
              <w:rPr/>
            </w:pPr>
            <w:r>
              <w:rPr/>
              <w:t>(4,895</w:t>
            </w:r>
          </w:p>
        </w:tc>
        <w:tc>
          <w:tcPr>
            <w:tcW w:w="117" w:type="dxa"/>
            <w:tcBorders/>
            <w:shd w:fill="CCEEFF" w:val="clear"/>
            <w:vAlign w:val="bottom"/>
          </w:tcPr>
          <w:p>
            <w:pPr>
              <w:pStyle w:val="TableContents"/>
              <w:spacing w:before="0" w:after="283"/>
              <w:rPr/>
            </w:pPr>
            <w:r>
              <w:rPr/>
              <w:t>)</w:t>
            </w:r>
          </w:p>
        </w:tc>
        <w:tc>
          <w:tcPr>
            <w:tcW w:w="15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45,719</w:t>
            </w:r>
          </w:p>
        </w:tc>
        <w:tc>
          <w:tcPr>
            <w:tcW w:w="126" w:type="dxa"/>
            <w:tcBorders/>
            <w:shd w:fill="CCEEFF" w:val="clear"/>
            <w:vAlign w:val="bottom"/>
          </w:tcPr>
          <w:p>
            <w:pPr>
              <w:pStyle w:val="TableContents"/>
              <w:spacing w:before="0" w:after="283"/>
              <w:rPr/>
            </w:pPr>
            <w:r>
              <w:rPr/>
              <w:t> </w:t>
            </w:r>
          </w:p>
        </w:tc>
      </w:tr>
      <w:tr>
        <w:trPr/>
        <w:tc>
          <w:tcPr>
            <w:tcW w:w="2673" w:type="dxa"/>
            <w:tcBorders/>
            <w:shd w:fill="auto" w:val="clear"/>
            <w:vAlign w:val="center"/>
          </w:tcPr>
          <w:p>
            <w:pPr>
              <w:pStyle w:val="TableContents"/>
              <w:spacing w:before="0" w:after="0"/>
              <w:ind w:left="225" w:right="0" w:hanging="225"/>
              <w:rPr/>
            </w:pPr>
            <w:r>
              <w:rPr/>
              <w:t> </w:t>
            </w:r>
          </w:p>
        </w:tc>
        <w:tc>
          <w:tcPr>
            <w:tcW w:w="154" w:type="dxa"/>
            <w:tcBorders/>
            <w:shd w:fill="auto" w:val="clear"/>
            <w:vAlign w:val="center"/>
          </w:tcPr>
          <w:p>
            <w:pPr>
              <w:pStyle w:val="TableContents"/>
              <w:spacing w:before="0" w:after="283"/>
              <w:rPr/>
            </w:pPr>
            <w:r>
              <w:rPr/>
              <w:t> </w:t>
            </w:r>
          </w:p>
        </w:tc>
        <w:tc>
          <w:tcPr>
            <w:tcW w:w="11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5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4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673" w:type="dxa"/>
            <w:tcBorders/>
            <w:shd w:fill="auto" w:val="clear"/>
            <w:vAlign w:val="bottom"/>
          </w:tcPr>
          <w:p>
            <w:pPr>
              <w:pStyle w:val="TableContents"/>
              <w:spacing w:before="0" w:after="0"/>
              <w:ind w:left="225" w:right="0" w:hanging="225"/>
              <w:rPr/>
            </w:pPr>
            <w:r>
              <w:rPr/>
              <w:t>Gross margin (deficit)</w:t>
            </w:r>
          </w:p>
        </w:tc>
        <w:tc>
          <w:tcPr>
            <w:tcW w:w="15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 </w:t>
            </w:r>
          </w:p>
        </w:tc>
        <w:tc>
          <w:tcPr>
            <w:tcW w:w="928" w:type="dxa"/>
            <w:tcBorders/>
            <w:shd w:fill="auto" w:val="clear"/>
            <w:vAlign w:val="bottom"/>
          </w:tcPr>
          <w:p>
            <w:pPr>
              <w:pStyle w:val="TableContents"/>
              <w:spacing w:before="0" w:after="283"/>
              <w:jc w:val="right"/>
              <w:rPr/>
            </w:pPr>
            <w:r>
              <w:rPr/>
              <w:t>(8</w:t>
            </w:r>
          </w:p>
        </w:tc>
        <w:tc>
          <w:tcPr>
            <w:tcW w:w="117" w:type="dxa"/>
            <w:tcBorders/>
            <w:shd w:fill="auto" w:val="clear"/>
            <w:vAlign w:val="bottom"/>
          </w:tcPr>
          <w:p>
            <w:pPr>
              <w:pStyle w:val="TableContents"/>
              <w:spacing w:before="0" w:after="283"/>
              <w:rPr/>
            </w:pPr>
            <w:r>
              <w:rPr/>
              <w:t>)</w:t>
            </w:r>
          </w:p>
        </w:tc>
        <w:tc>
          <w:tcPr>
            <w:tcW w:w="154"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jc w:val="right"/>
              <w:rPr/>
            </w:pPr>
            <w:r>
              <w:rPr/>
              <w:t>1,452</w:t>
            </w:r>
          </w:p>
        </w:tc>
        <w:tc>
          <w:tcPr>
            <w:tcW w:w="8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508</w:t>
            </w:r>
          </w:p>
        </w:tc>
        <w:tc>
          <w:tcPr>
            <w:tcW w:w="11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1,952</w:t>
            </w:r>
          </w:p>
        </w:tc>
        <w:tc>
          <w:tcPr>
            <w:tcW w:w="126" w:type="dxa"/>
            <w:tcBorders/>
            <w:shd w:fill="auto" w:val="clear"/>
            <w:vAlign w:val="bottom"/>
          </w:tcPr>
          <w:p>
            <w:pPr>
              <w:pStyle w:val="TableContents"/>
              <w:spacing w:before="0" w:after="283"/>
              <w:rPr/>
            </w:pPr>
            <w:r>
              <w:rPr/>
              <w:t> </w:t>
            </w:r>
          </w:p>
        </w:tc>
      </w:tr>
      <w:tr>
        <w:trPr/>
        <w:tc>
          <w:tcPr>
            <w:tcW w:w="2673" w:type="dxa"/>
            <w:tcBorders/>
            <w:shd w:fill="CCEEFF" w:val="clear"/>
            <w:vAlign w:val="bottom"/>
          </w:tcPr>
          <w:p>
            <w:pPr>
              <w:pStyle w:val="TableContents"/>
              <w:spacing w:before="0" w:after="0"/>
              <w:ind w:left="225" w:right="0" w:hanging="225"/>
              <w:rPr/>
            </w:pPr>
            <w:r>
              <w:rPr/>
              <w:t>Selling, general and administrative</w:t>
            </w:r>
          </w:p>
        </w:tc>
        <w:tc>
          <w:tcPr>
            <w:tcW w:w="15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1,773</w:t>
            </w:r>
          </w:p>
        </w:tc>
        <w:tc>
          <w:tcPr>
            <w:tcW w:w="11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spacing w:before="0" w:after="283"/>
              <w:jc w:val="right"/>
              <w:rPr/>
            </w:pPr>
            <w:r>
              <w:rPr/>
              <w:t>1,386</w:t>
            </w:r>
          </w:p>
        </w:tc>
        <w:tc>
          <w:tcPr>
            <w:tcW w:w="8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1,354</w:t>
            </w:r>
          </w:p>
        </w:tc>
        <w:tc>
          <w:tcPr>
            <w:tcW w:w="11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4,513</w:t>
            </w:r>
          </w:p>
        </w:tc>
        <w:tc>
          <w:tcPr>
            <w:tcW w:w="126" w:type="dxa"/>
            <w:tcBorders/>
            <w:shd w:fill="CCEEFF" w:val="clear"/>
            <w:vAlign w:val="bottom"/>
          </w:tcPr>
          <w:p>
            <w:pPr>
              <w:pStyle w:val="TableContents"/>
              <w:spacing w:before="0" w:after="283"/>
              <w:rPr/>
            </w:pPr>
            <w:r>
              <w:rPr/>
              <w:t> </w:t>
            </w:r>
          </w:p>
        </w:tc>
      </w:tr>
      <w:tr>
        <w:trPr/>
        <w:tc>
          <w:tcPr>
            <w:tcW w:w="2673" w:type="dxa"/>
            <w:tcBorders/>
            <w:shd w:fill="auto" w:val="clear"/>
            <w:vAlign w:val="center"/>
          </w:tcPr>
          <w:p>
            <w:pPr>
              <w:pStyle w:val="TableContents"/>
              <w:spacing w:before="0" w:after="0"/>
              <w:ind w:left="225" w:right="0" w:hanging="225"/>
              <w:rPr/>
            </w:pPr>
            <w:r>
              <w:rPr/>
              <w:t> </w:t>
            </w:r>
          </w:p>
        </w:tc>
        <w:tc>
          <w:tcPr>
            <w:tcW w:w="154" w:type="dxa"/>
            <w:tcBorders/>
            <w:shd w:fill="auto" w:val="clear"/>
            <w:vAlign w:val="center"/>
          </w:tcPr>
          <w:p>
            <w:pPr>
              <w:pStyle w:val="TableContents"/>
              <w:spacing w:before="0" w:after="283"/>
              <w:rPr/>
            </w:pPr>
            <w:r>
              <w:rPr/>
              <w:t> </w:t>
            </w:r>
          </w:p>
        </w:tc>
        <w:tc>
          <w:tcPr>
            <w:tcW w:w="11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5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4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673" w:type="dxa"/>
            <w:tcBorders/>
            <w:shd w:fill="auto" w:val="clear"/>
            <w:vAlign w:val="bottom"/>
          </w:tcPr>
          <w:p>
            <w:pPr>
              <w:pStyle w:val="TableContents"/>
              <w:spacing w:before="0" w:after="0"/>
              <w:ind w:left="225" w:right="0" w:hanging="225"/>
              <w:rPr/>
            </w:pPr>
            <w:r>
              <w:rPr/>
              <w:t>Operating income (loss)</w:t>
            </w:r>
          </w:p>
        </w:tc>
        <w:tc>
          <w:tcPr>
            <w:tcW w:w="15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 </w:t>
            </w:r>
          </w:p>
        </w:tc>
        <w:tc>
          <w:tcPr>
            <w:tcW w:w="928" w:type="dxa"/>
            <w:tcBorders/>
            <w:shd w:fill="auto" w:val="clear"/>
            <w:vAlign w:val="bottom"/>
          </w:tcPr>
          <w:p>
            <w:pPr>
              <w:pStyle w:val="TableContents"/>
              <w:spacing w:before="0" w:after="283"/>
              <w:jc w:val="right"/>
              <w:rPr/>
            </w:pPr>
            <w:r>
              <w:rPr/>
              <w:t>(1,781</w:t>
            </w:r>
          </w:p>
        </w:tc>
        <w:tc>
          <w:tcPr>
            <w:tcW w:w="117" w:type="dxa"/>
            <w:tcBorders/>
            <w:shd w:fill="auto" w:val="clear"/>
            <w:vAlign w:val="bottom"/>
          </w:tcPr>
          <w:p>
            <w:pPr>
              <w:pStyle w:val="TableContents"/>
              <w:spacing w:before="0" w:after="283"/>
              <w:rPr/>
            </w:pPr>
            <w:r>
              <w:rPr/>
              <w:t>)</w:t>
            </w:r>
          </w:p>
        </w:tc>
        <w:tc>
          <w:tcPr>
            <w:tcW w:w="154"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jc w:val="right"/>
              <w:rPr/>
            </w:pPr>
            <w:r>
              <w:rPr/>
              <w:t>66</w:t>
            </w:r>
          </w:p>
        </w:tc>
        <w:tc>
          <w:tcPr>
            <w:tcW w:w="8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 </w:t>
            </w:r>
          </w:p>
        </w:tc>
        <w:tc>
          <w:tcPr>
            <w:tcW w:w="889" w:type="dxa"/>
            <w:tcBorders/>
            <w:shd w:fill="auto" w:val="clear"/>
            <w:vAlign w:val="bottom"/>
          </w:tcPr>
          <w:p>
            <w:pPr>
              <w:pStyle w:val="TableContents"/>
              <w:spacing w:before="0" w:after="283"/>
              <w:jc w:val="right"/>
              <w:rPr/>
            </w:pPr>
            <w:r>
              <w:rPr/>
              <w:t>(846</w:t>
            </w:r>
          </w:p>
        </w:tc>
        <w:tc>
          <w:tcPr>
            <w:tcW w:w="117" w:type="dxa"/>
            <w:tcBorders/>
            <w:shd w:fill="auto" w:val="clear"/>
            <w:vAlign w:val="bottom"/>
          </w:tcPr>
          <w:p>
            <w:pPr>
              <w:pStyle w:val="TableContents"/>
              <w:spacing w:before="0" w:after="283"/>
              <w:rPr/>
            </w:pPr>
            <w:r>
              <w:rPr/>
              <w:t>)</w:t>
            </w:r>
          </w:p>
        </w:tc>
        <w:tc>
          <w:tcPr>
            <w:tcW w:w="15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766" w:type="dxa"/>
            <w:tcBorders/>
            <w:shd w:fill="auto" w:val="clear"/>
            <w:vAlign w:val="bottom"/>
          </w:tcPr>
          <w:p>
            <w:pPr>
              <w:pStyle w:val="TableContents"/>
              <w:spacing w:before="0" w:after="283"/>
              <w:jc w:val="right"/>
              <w:rPr/>
            </w:pPr>
            <w:r>
              <w:rPr/>
              <w:t>(2,561</w:t>
            </w:r>
          </w:p>
        </w:tc>
        <w:tc>
          <w:tcPr>
            <w:tcW w:w="126" w:type="dxa"/>
            <w:tcBorders/>
            <w:shd w:fill="auto" w:val="clear"/>
            <w:vAlign w:val="bottom"/>
          </w:tcPr>
          <w:p>
            <w:pPr>
              <w:pStyle w:val="TableContents"/>
              <w:spacing w:before="0" w:after="283"/>
              <w:rPr/>
            </w:pPr>
            <w:r>
              <w:rPr/>
              <w:t>)</w:t>
            </w:r>
          </w:p>
        </w:tc>
      </w:tr>
      <w:tr>
        <w:trPr/>
        <w:tc>
          <w:tcPr>
            <w:tcW w:w="2673" w:type="dxa"/>
            <w:tcBorders/>
            <w:shd w:fill="CCEEFF" w:val="clear"/>
            <w:vAlign w:val="bottom"/>
          </w:tcPr>
          <w:p>
            <w:pPr>
              <w:pStyle w:val="TableContents"/>
              <w:spacing w:before="0" w:after="0"/>
              <w:ind w:left="225" w:right="0" w:hanging="225"/>
              <w:rPr/>
            </w:pPr>
            <w:r>
              <w:rPr/>
              <w:t>Other income (expense), net</w:t>
            </w:r>
          </w:p>
        </w:tc>
        <w:tc>
          <w:tcPr>
            <w:tcW w:w="15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56</w:t>
            </w:r>
          </w:p>
        </w:tc>
        <w:tc>
          <w:tcPr>
            <w:tcW w:w="11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spacing w:before="0" w:after="283"/>
              <w:jc w:val="right"/>
              <w:rPr/>
            </w:pPr>
            <w:r>
              <w:rPr/>
              <w:t>29</w:t>
            </w:r>
          </w:p>
        </w:tc>
        <w:tc>
          <w:tcPr>
            <w:tcW w:w="8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889" w:type="dxa"/>
            <w:tcBorders/>
            <w:shd w:fill="CCEEFF" w:val="clear"/>
            <w:vAlign w:val="bottom"/>
          </w:tcPr>
          <w:p>
            <w:pPr>
              <w:pStyle w:val="TableContents"/>
              <w:spacing w:before="0" w:after="283"/>
              <w:jc w:val="right"/>
              <w:rPr/>
            </w:pPr>
            <w:r>
              <w:rPr/>
              <w:t>(3</w:t>
            </w:r>
          </w:p>
        </w:tc>
        <w:tc>
          <w:tcPr>
            <w:tcW w:w="117" w:type="dxa"/>
            <w:tcBorders/>
            <w:shd w:fill="CCEEFF" w:val="clear"/>
            <w:vAlign w:val="bottom"/>
          </w:tcPr>
          <w:p>
            <w:pPr>
              <w:pStyle w:val="TableContents"/>
              <w:spacing w:before="0" w:after="283"/>
              <w:rPr/>
            </w:pPr>
            <w:r>
              <w:rPr/>
              <w:t>)</w:t>
            </w:r>
          </w:p>
        </w:tc>
        <w:tc>
          <w:tcPr>
            <w:tcW w:w="153"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82</w:t>
            </w:r>
          </w:p>
        </w:tc>
        <w:tc>
          <w:tcPr>
            <w:tcW w:w="126" w:type="dxa"/>
            <w:tcBorders/>
            <w:shd w:fill="CCEEFF" w:val="clear"/>
            <w:vAlign w:val="bottom"/>
          </w:tcPr>
          <w:p>
            <w:pPr>
              <w:pStyle w:val="TableContents"/>
              <w:spacing w:before="0" w:after="283"/>
              <w:rPr/>
            </w:pPr>
            <w:r>
              <w:rPr/>
              <w:t> </w:t>
            </w:r>
          </w:p>
        </w:tc>
      </w:tr>
      <w:tr>
        <w:trPr/>
        <w:tc>
          <w:tcPr>
            <w:tcW w:w="2673" w:type="dxa"/>
            <w:tcBorders/>
            <w:shd w:fill="auto" w:val="clear"/>
            <w:vAlign w:val="center"/>
          </w:tcPr>
          <w:p>
            <w:pPr>
              <w:pStyle w:val="TableContents"/>
              <w:spacing w:before="0" w:after="0"/>
              <w:ind w:left="225" w:right="0" w:hanging="225"/>
              <w:rPr/>
            </w:pPr>
            <w:r>
              <w:rPr/>
              <w:t> </w:t>
            </w:r>
          </w:p>
        </w:tc>
        <w:tc>
          <w:tcPr>
            <w:tcW w:w="154" w:type="dxa"/>
            <w:tcBorders/>
            <w:shd w:fill="auto" w:val="clear"/>
            <w:vAlign w:val="center"/>
          </w:tcPr>
          <w:p>
            <w:pPr>
              <w:pStyle w:val="TableContents"/>
              <w:spacing w:before="0" w:after="283"/>
              <w:rPr/>
            </w:pPr>
            <w:r>
              <w:rPr/>
              <w:t> </w:t>
            </w:r>
          </w:p>
        </w:tc>
        <w:tc>
          <w:tcPr>
            <w:tcW w:w="11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5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4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673" w:type="dxa"/>
            <w:tcBorders/>
            <w:shd w:fill="auto" w:val="clear"/>
            <w:vAlign w:val="bottom"/>
          </w:tcPr>
          <w:p>
            <w:pPr>
              <w:pStyle w:val="TableContents"/>
              <w:spacing w:before="0" w:after="0"/>
              <w:ind w:left="225" w:right="0" w:hanging="225"/>
              <w:rPr/>
            </w:pPr>
            <w:r>
              <w:rPr/>
              <w:t>Income (loss) before provision (benefit) for income taxes</w:t>
            </w:r>
          </w:p>
        </w:tc>
        <w:tc>
          <w:tcPr>
            <w:tcW w:w="15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 </w:t>
            </w:r>
          </w:p>
        </w:tc>
        <w:tc>
          <w:tcPr>
            <w:tcW w:w="928" w:type="dxa"/>
            <w:tcBorders/>
            <w:shd w:fill="auto" w:val="clear"/>
            <w:vAlign w:val="bottom"/>
          </w:tcPr>
          <w:p>
            <w:pPr>
              <w:pStyle w:val="TableContents"/>
              <w:spacing w:before="0" w:after="283"/>
              <w:jc w:val="right"/>
              <w:rPr/>
            </w:pPr>
            <w:r>
              <w:rPr/>
              <w:t>(1,725</w:t>
            </w:r>
          </w:p>
        </w:tc>
        <w:tc>
          <w:tcPr>
            <w:tcW w:w="117" w:type="dxa"/>
            <w:tcBorders/>
            <w:shd w:fill="auto" w:val="clear"/>
            <w:vAlign w:val="bottom"/>
          </w:tcPr>
          <w:p>
            <w:pPr>
              <w:pStyle w:val="TableContents"/>
              <w:spacing w:before="0" w:after="283"/>
              <w:rPr/>
            </w:pPr>
            <w:r>
              <w:rPr/>
              <w:t>)</w:t>
            </w:r>
          </w:p>
        </w:tc>
        <w:tc>
          <w:tcPr>
            <w:tcW w:w="154"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jc w:val="right"/>
              <w:rPr/>
            </w:pPr>
            <w:r>
              <w:rPr/>
              <w:t>95</w:t>
            </w:r>
          </w:p>
        </w:tc>
        <w:tc>
          <w:tcPr>
            <w:tcW w:w="8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 </w:t>
            </w:r>
          </w:p>
        </w:tc>
        <w:tc>
          <w:tcPr>
            <w:tcW w:w="889" w:type="dxa"/>
            <w:tcBorders/>
            <w:shd w:fill="auto" w:val="clear"/>
            <w:vAlign w:val="bottom"/>
          </w:tcPr>
          <w:p>
            <w:pPr>
              <w:pStyle w:val="TableContents"/>
              <w:spacing w:before="0" w:after="283"/>
              <w:jc w:val="right"/>
              <w:rPr/>
            </w:pPr>
            <w:r>
              <w:rPr/>
              <w:t>(849</w:t>
            </w:r>
          </w:p>
        </w:tc>
        <w:tc>
          <w:tcPr>
            <w:tcW w:w="117" w:type="dxa"/>
            <w:tcBorders/>
            <w:shd w:fill="auto" w:val="clear"/>
            <w:vAlign w:val="bottom"/>
          </w:tcPr>
          <w:p>
            <w:pPr>
              <w:pStyle w:val="TableContents"/>
              <w:spacing w:before="0" w:after="283"/>
              <w:rPr/>
            </w:pPr>
            <w:r>
              <w:rPr/>
              <w:t>)</w:t>
            </w:r>
          </w:p>
        </w:tc>
        <w:tc>
          <w:tcPr>
            <w:tcW w:w="15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766" w:type="dxa"/>
            <w:tcBorders/>
            <w:shd w:fill="auto" w:val="clear"/>
            <w:vAlign w:val="bottom"/>
          </w:tcPr>
          <w:p>
            <w:pPr>
              <w:pStyle w:val="TableContents"/>
              <w:spacing w:before="0" w:after="283"/>
              <w:jc w:val="right"/>
              <w:rPr/>
            </w:pPr>
            <w:r>
              <w:rPr/>
              <w:t>(2,479</w:t>
            </w:r>
          </w:p>
        </w:tc>
        <w:tc>
          <w:tcPr>
            <w:tcW w:w="126" w:type="dxa"/>
            <w:tcBorders/>
            <w:shd w:fill="auto" w:val="clear"/>
            <w:vAlign w:val="bottom"/>
          </w:tcPr>
          <w:p>
            <w:pPr>
              <w:pStyle w:val="TableContents"/>
              <w:spacing w:before="0" w:after="283"/>
              <w:rPr/>
            </w:pPr>
            <w:r>
              <w:rPr/>
              <w:t>)</w:t>
            </w:r>
          </w:p>
        </w:tc>
      </w:tr>
      <w:tr>
        <w:trPr/>
        <w:tc>
          <w:tcPr>
            <w:tcW w:w="2673" w:type="dxa"/>
            <w:tcBorders/>
            <w:shd w:fill="CCEEFF" w:val="clear"/>
            <w:vAlign w:val="bottom"/>
          </w:tcPr>
          <w:p>
            <w:pPr>
              <w:pStyle w:val="TableContents"/>
              <w:spacing w:before="0" w:after="0"/>
              <w:ind w:left="225" w:right="0" w:hanging="225"/>
              <w:rPr/>
            </w:pPr>
            <w:r>
              <w:rPr/>
              <w:t>Provision (benefit) for income taxes</w:t>
            </w:r>
          </w:p>
        </w:tc>
        <w:tc>
          <w:tcPr>
            <w:tcW w:w="154"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left"/>
              <w:rPr/>
            </w:pPr>
            <w:r>
              <w:rPr/>
              <w:t> </w:t>
            </w:r>
          </w:p>
        </w:tc>
        <w:tc>
          <w:tcPr>
            <w:tcW w:w="928" w:type="dxa"/>
            <w:tcBorders/>
            <w:shd w:fill="CCEEFF" w:val="clear"/>
            <w:vAlign w:val="bottom"/>
          </w:tcPr>
          <w:p>
            <w:pPr>
              <w:pStyle w:val="TableContents"/>
              <w:spacing w:before="0" w:after="283"/>
              <w:jc w:val="right"/>
              <w:rPr/>
            </w:pPr>
            <w:r>
              <w:rPr/>
              <w:t>(649</w:t>
            </w:r>
          </w:p>
        </w:tc>
        <w:tc>
          <w:tcPr>
            <w:tcW w:w="117" w:type="dxa"/>
            <w:tcBorders/>
            <w:shd w:fill="CCEEFF" w:val="clear"/>
            <w:vAlign w:val="bottom"/>
          </w:tcPr>
          <w:p>
            <w:pPr>
              <w:pStyle w:val="TableContents"/>
              <w:spacing w:before="0" w:after="283"/>
              <w:rPr/>
            </w:pPr>
            <w:r>
              <w:rPr/>
              <w:t>)</w:t>
            </w:r>
          </w:p>
        </w:tc>
        <w:tc>
          <w:tcPr>
            <w:tcW w:w="154"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spacing w:before="0" w:after="283"/>
              <w:jc w:val="right"/>
              <w:rPr/>
            </w:pPr>
            <w:r>
              <w:rPr/>
              <w:t>36</w:t>
            </w:r>
          </w:p>
        </w:tc>
        <w:tc>
          <w:tcPr>
            <w:tcW w:w="8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889" w:type="dxa"/>
            <w:tcBorders/>
            <w:shd w:fill="CCEEFF" w:val="clear"/>
            <w:vAlign w:val="bottom"/>
          </w:tcPr>
          <w:p>
            <w:pPr>
              <w:pStyle w:val="TableContents"/>
              <w:spacing w:before="0" w:after="283"/>
              <w:jc w:val="right"/>
              <w:rPr/>
            </w:pPr>
            <w:r>
              <w:rPr/>
              <w:t>(319</w:t>
            </w:r>
          </w:p>
        </w:tc>
        <w:tc>
          <w:tcPr>
            <w:tcW w:w="117" w:type="dxa"/>
            <w:tcBorders/>
            <w:shd w:fill="CCEEFF" w:val="clear"/>
            <w:vAlign w:val="bottom"/>
          </w:tcPr>
          <w:p>
            <w:pPr>
              <w:pStyle w:val="TableContents"/>
              <w:spacing w:before="0" w:after="283"/>
              <w:rPr/>
            </w:pPr>
            <w:r>
              <w:rPr/>
              <w:t>)</w:t>
            </w:r>
          </w:p>
        </w:tc>
        <w:tc>
          <w:tcPr>
            <w:tcW w:w="153"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766" w:type="dxa"/>
            <w:tcBorders/>
            <w:shd w:fill="CCEEFF" w:val="clear"/>
            <w:vAlign w:val="bottom"/>
          </w:tcPr>
          <w:p>
            <w:pPr>
              <w:pStyle w:val="TableContents"/>
              <w:spacing w:before="0" w:after="283"/>
              <w:jc w:val="right"/>
              <w:rPr/>
            </w:pPr>
            <w:r>
              <w:rPr/>
              <w:t>(932</w:t>
            </w:r>
          </w:p>
        </w:tc>
        <w:tc>
          <w:tcPr>
            <w:tcW w:w="126" w:type="dxa"/>
            <w:tcBorders/>
            <w:shd w:fill="CCEEFF" w:val="clear"/>
            <w:vAlign w:val="bottom"/>
          </w:tcPr>
          <w:p>
            <w:pPr>
              <w:pStyle w:val="TableContents"/>
              <w:spacing w:before="0" w:after="283"/>
              <w:rPr/>
            </w:pPr>
            <w:r>
              <w:rPr/>
              <w:t>)</w:t>
            </w:r>
          </w:p>
        </w:tc>
      </w:tr>
      <w:tr>
        <w:trPr/>
        <w:tc>
          <w:tcPr>
            <w:tcW w:w="2673" w:type="dxa"/>
            <w:tcBorders/>
            <w:shd w:fill="auto" w:val="clear"/>
            <w:vAlign w:val="center"/>
          </w:tcPr>
          <w:p>
            <w:pPr>
              <w:pStyle w:val="TableContents"/>
              <w:spacing w:before="0" w:after="0"/>
              <w:ind w:left="225" w:right="0" w:hanging="225"/>
              <w:rPr/>
            </w:pPr>
            <w:r>
              <w:rPr/>
              <w:t> </w:t>
            </w:r>
          </w:p>
        </w:tc>
        <w:tc>
          <w:tcPr>
            <w:tcW w:w="154" w:type="dxa"/>
            <w:tcBorders/>
            <w:shd w:fill="auto" w:val="clear"/>
            <w:vAlign w:val="center"/>
          </w:tcPr>
          <w:p>
            <w:pPr>
              <w:pStyle w:val="TableContents"/>
              <w:spacing w:before="0" w:after="283"/>
              <w:rPr/>
            </w:pPr>
            <w:r>
              <w:rPr/>
              <w:t> </w:t>
            </w:r>
          </w:p>
        </w:tc>
        <w:tc>
          <w:tcPr>
            <w:tcW w:w="11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5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4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673" w:type="dxa"/>
            <w:tcBorders/>
            <w:shd w:fill="auto" w:val="clear"/>
            <w:vAlign w:val="bottom"/>
          </w:tcPr>
          <w:p>
            <w:pPr>
              <w:pStyle w:val="TableContents"/>
              <w:spacing w:before="0" w:after="0"/>
              <w:ind w:left="225" w:right="0" w:hanging="225"/>
              <w:rPr/>
            </w:pPr>
            <w:r>
              <w:rPr/>
              <w:t>Net income (loss)</w:t>
            </w:r>
          </w:p>
        </w:tc>
        <w:tc>
          <w:tcPr>
            <w:tcW w:w="154"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w:t>
            </w:r>
          </w:p>
        </w:tc>
        <w:tc>
          <w:tcPr>
            <w:tcW w:w="928" w:type="dxa"/>
            <w:tcBorders/>
            <w:shd w:fill="auto" w:val="clear"/>
            <w:vAlign w:val="bottom"/>
          </w:tcPr>
          <w:p>
            <w:pPr>
              <w:pStyle w:val="TableContents"/>
              <w:spacing w:before="0" w:after="283"/>
              <w:jc w:val="right"/>
              <w:rPr/>
            </w:pPr>
            <w:r>
              <w:rPr/>
              <w:t>(1,076</w:t>
            </w:r>
          </w:p>
        </w:tc>
        <w:tc>
          <w:tcPr>
            <w:tcW w:w="117" w:type="dxa"/>
            <w:tcBorders/>
            <w:shd w:fill="auto" w:val="clear"/>
            <w:vAlign w:val="bottom"/>
          </w:tcPr>
          <w:p>
            <w:pPr>
              <w:pStyle w:val="TableContents"/>
              <w:spacing w:before="0" w:after="283"/>
              <w:rPr/>
            </w:pPr>
            <w:r>
              <w:rPr/>
              <w:t>)</w:t>
            </w:r>
          </w:p>
        </w:tc>
        <w:tc>
          <w:tcPr>
            <w:tcW w:w="154"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jc w:val="left"/>
              <w:rPr/>
            </w:pPr>
            <w:r>
              <w:rPr/>
              <w:t>$</w:t>
            </w:r>
          </w:p>
        </w:tc>
        <w:tc>
          <w:tcPr>
            <w:tcW w:w="1321" w:type="dxa"/>
            <w:tcBorders/>
            <w:shd w:fill="auto" w:val="clear"/>
            <w:vAlign w:val="bottom"/>
          </w:tcPr>
          <w:p>
            <w:pPr>
              <w:pStyle w:val="TableContents"/>
              <w:spacing w:before="0" w:after="283"/>
              <w:jc w:val="right"/>
              <w:rPr/>
            </w:pPr>
            <w:r>
              <w:rPr/>
              <w:t>59</w:t>
            </w:r>
          </w:p>
        </w:tc>
        <w:tc>
          <w:tcPr>
            <w:tcW w:w="8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889" w:type="dxa"/>
            <w:tcBorders/>
            <w:shd w:fill="auto" w:val="clear"/>
            <w:vAlign w:val="bottom"/>
          </w:tcPr>
          <w:p>
            <w:pPr>
              <w:pStyle w:val="TableContents"/>
              <w:spacing w:before="0" w:after="283"/>
              <w:jc w:val="right"/>
              <w:rPr/>
            </w:pPr>
            <w:r>
              <w:rPr/>
              <w:t>(530</w:t>
            </w:r>
          </w:p>
        </w:tc>
        <w:tc>
          <w:tcPr>
            <w:tcW w:w="117" w:type="dxa"/>
            <w:tcBorders/>
            <w:shd w:fill="auto" w:val="clear"/>
            <w:vAlign w:val="bottom"/>
          </w:tcPr>
          <w:p>
            <w:pPr>
              <w:pStyle w:val="TableContents"/>
              <w:spacing w:before="0" w:after="283"/>
              <w:rPr/>
            </w:pPr>
            <w:r>
              <w:rPr/>
              <w:t>)</w:t>
            </w:r>
          </w:p>
        </w:tc>
        <w:tc>
          <w:tcPr>
            <w:tcW w:w="15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left"/>
              <w:rPr/>
            </w:pPr>
            <w:r>
              <w:rPr/>
              <w:t>$</w:t>
            </w:r>
          </w:p>
        </w:tc>
        <w:tc>
          <w:tcPr>
            <w:tcW w:w="1198"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766" w:type="dxa"/>
            <w:tcBorders/>
            <w:shd w:fill="auto" w:val="clear"/>
            <w:vAlign w:val="bottom"/>
          </w:tcPr>
          <w:p>
            <w:pPr>
              <w:pStyle w:val="TableContents"/>
              <w:spacing w:before="0" w:after="283"/>
              <w:jc w:val="right"/>
              <w:rPr/>
            </w:pPr>
            <w:r>
              <w:rPr/>
              <w:t>(1,547</w:t>
            </w:r>
          </w:p>
        </w:tc>
        <w:tc>
          <w:tcPr>
            <w:tcW w:w="126" w:type="dxa"/>
            <w:tcBorders/>
            <w:shd w:fill="auto" w:val="clear"/>
            <w:vAlign w:val="bottom"/>
          </w:tcPr>
          <w:p>
            <w:pPr>
              <w:pStyle w:val="TableContents"/>
              <w:spacing w:before="0" w:after="283"/>
              <w:rPr/>
            </w:pPr>
            <w:r>
              <w:rPr/>
              <w:t>)</w:t>
            </w:r>
          </w:p>
        </w:tc>
      </w:tr>
      <w:tr>
        <w:trPr/>
        <w:tc>
          <w:tcPr>
            <w:tcW w:w="2673" w:type="dxa"/>
            <w:tcBorders/>
            <w:shd w:fill="auto" w:val="clear"/>
            <w:vAlign w:val="center"/>
          </w:tcPr>
          <w:p>
            <w:pPr>
              <w:pStyle w:val="TableContents"/>
              <w:spacing w:before="0" w:after="0"/>
              <w:ind w:left="225" w:right="0" w:hanging="225"/>
              <w:rPr/>
            </w:pPr>
            <w:r>
              <w:rPr/>
              <w:t> </w:t>
            </w:r>
          </w:p>
        </w:tc>
        <w:tc>
          <w:tcPr>
            <w:tcW w:w="154" w:type="dxa"/>
            <w:tcBorders/>
            <w:shd w:fill="auto" w:val="clear"/>
            <w:vAlign w:val="center"/>
          </w:tcPr>
          <w:p>
            <w:pPr>
              <w:pStyle w:val="TableContents"/>
              <w:spacing w:before="0" w:after="283"/>
              <w:rPr/>
            </w:pPr>
            <w:r>
              <w:rPr/>
              <w:t> </w:t>
            </w:r>
          </w:p>
        </w:tc>
        <w:tc>
          <w:tcPr>
            <w:tcW w:w="11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5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1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4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b/>
          <w:sz w:val="17"/>
        </w:rPr>
        <w:t>NOTES TO CONSOLIDATED CONDENSED FINANCIAL STATEMENTS (UNAUDITED)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401"/>
        <w:gridCol w:w="137"/>
        <w:gridCol w:w="190"/>
        <w:gridCol w:w="931"/>
        <w:gridCol w:w="113"/>
        <w:gridCol w:w="137"/>
        <w:gridCol w:w="270"/>
        <w:gridCol w:w="1326"/>
        <w:gridCol w:w="82"/>
        <w:gridCol w:w="137"/>
        <w:gridCol w:w="292"/>
        <w:gridCol w:w="1195"/>
        <w:gridCol w:w="113"/>
        <w:gridCol w:w="137"/>
        <w:gridCol w:w="261"/>
        <w:gridCol w:w="1199"/>
        <w:gridCol w:w="113"/>
        <w:gridCol w:w="137"/>
        <w:gridCol w:w="154"/>
        <w:gridCol w:w="754"/>
        <w:gridCol w:w="126"/>
      </w:tblGrid>
      <w:tr>
        <w:trPr/>
        <w:tc>
          <w:tcPr>
            <w:tcW w:w="240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326"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240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596" w:type="dxa"/>
            <w:gridSpan w:val="2"/>
            <w:tcBorders/>
            <w:shd w:fill="auto" w:val="clear"/>
            <w:vAlign w:val="bottom"/>
          </w:tcPr>
          <w:p>
            <w:pPr>
              <w:pStyle w:val="TableContents"/>
              <w:spacing w:before="0" w:after="283"/>
              <w:jc w:val="center"/>
              <w:rPr>
                <w:b/>
              </w:rPr>
            </w:pPr>
            <w:r>
              <w:rPr>
                <w:b/>
              </w:rPr>
              <w:t>International</w:t>
            </w:r>
          </w:p>
        </w:tc>
        <w:tc>
          <w:tcPr>
            <w:tcW w:w="8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87" w:type="dxa"/>
            <w:gridSpan w:val="2"/>
            <w:tcBorders/>
            <w:shd w:fill="auto" w:val="clear"/>
            <w:vAlign w:val="bottom"/>
          </w:tcPr>
          <w:p>
            <w:pPr>
              <w:pStyle w:val="TableContents"/>
              <w:spacing w:before="0" w:after="283"/>
              <w:jc w:val="center"/>
              <w:rPr/>
            </w:pPr>
            <w:r>
              <w:rPr/>
              <w:t> </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60" w:type="dxa"/>
            <w:gridSpan w:val="2"/>
            <w:tcBorders/>
            <w:shd w:fill="auto" w:val="clear"/>
            <w:vAlign w:val="bottom"/>
          </w:tcPr>
          <w:p>
            <w:pPr>
              <w:pStyle w:val="TableContents"/>
              <w:spacing w:before="0" w:after="283"/>
              <w:jc w:val="center"/>
              <w:rPr/>
            </w:pPr>
            <w:r>
              <w:rPr/>
              <w:t> </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08" w:type="dxa"/>
            <w:gridSpan w:val="2"/>
            <w:tcBorders/>
            <w:shd w:fill="auto" w:val="clear"/>
            <w:vAlign w:val="bottom"/>
          </w:tcPr>
          <w:p>
            <w:pPr>
              <w:pStyle w:val="TableContents"/>
              <w:spacing w:before="0" w:after="283"/>
              <w:jc w:val="center"/>
              <w:rPr/>
            </w:pPr>
            <w:r>
              <w:rPr/>
              <w:t> </w:t>
            </w:r>
          </w:p>
        </w:tc>
        <w:tc>
          <w:tcPr>
            <w:tcW w:w="126" w:type="dxa"/>
            <w:tcBorders/>
            <w:shd w:fill="auto" w:val="clear"/>
            <w:vAlign w:val="bottom"/>
          </w:tcPr>
          <w:p>
            <w:pPr>
              <w:pStyle w:val="TableContents"/>
              <w:spacing w:before="0" w:after="283"/>
              <w:rPr/>
            </w:pPr>
            <w:r>
              <w:rPr/>
              <w:t> </w:t>
            </w:r>
          </w:p>
        </w:tc>
      </w:tr>
      <w:tr>
        <w:trPr/>
        <w:tc>
          <w:tcPr>
            <w:tcW w:w="240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596" w:type="dxa"/>
            <w:gridSpan w:val="2"/>
            <w:tcBorders/>
            <w:shd w:fill="auto" w:val="clear"/>
            <w:vAlign w:val="bottom"/>
          </w:tcPr>
          <w:p>
            <w:pPr>
              <w:pStyle w:val="TableContents"/>
              <w:spacing w:before="0" w:after="283"/>
              <w:jc w:val="center"/>
              <w:rPr>
                <w:b/>
              </w:rPr>
            </w:pPr>
            <w:r>
              <w:rPr>
                <w:b/>
              </w:rPr>
              <w:t>avocados and</w:t>
            </w:r>
          </w:p>
        </w:tc>
        <w:tc>
          <w:tcPr>
            <w:tcW w:w="8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87" w:type="dxa"/>
            <w:gridSpan w:val="2"/>
            <w:tcBorders/>
            <w:shd w:fill="auto" w:val="clear"/>
            <w:vAlign w:val="bottom"/>
          </w:tcPr>
          <w:p>
            <w:pPr>
              <w:pStyle w:val="TableContents"/>
              <w:spacing w:before="0" w:after="283"/>
              <w:jc w:val="center"/>
              <w:rPr/>
            </w:pPr>
            <w:r>
              <w:rPr/>
              <w:t> </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60" w:type="dxa"/>
            <w:gridSpan w:val="2"/>
            <w:tcBorders/>
            <w:shd w:fill="auto" w:val="clear"/>
            <w:vAlign w:val="bottom"/>
          </w:tcPr>
          <w:p>
            <w:pPr>
              <w:pStyle w:val="TableContents"/>
              <w:spacing w:before="0" w:after="283"/>
              <w:jc w:val="center"/>
              <w:rPr/>
            </w:pPr>
            <w:r>
              <w:rPr/>
              <w:t> </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08" w:type="dxa"/>
            <w:gridSpan w:val="2"/>
            <w:tcBorders/>
            <w:shd w:fill="auto" w:val="clear"/>
            <w:vAlign w:val="bottom"/>
          </w:tcPr>
          <w:p>
            <w:pPr>
              <w:pStyle w:val="TableContents"/>
              <w:spacing w:before="0" w:after="283"/>
              <w:jc w:val="center"/>
              <w:rPr/>
            </w:pPr>
            <w:r>
              <w:rPr/>
              <w:t> </w:t>
            </w:r>
          </w:p>
        </w:tc>
        <w:tc>
          <w:tcPr>
            <w:tcW w:w="126" w:type="dxa"/>
            <w:tcBorders/>
            <w:shd w:fill="auto" w:val="clear"/>
            <w:vAlign w:val="bottom"/>
          </w:tcPr>
          <w:p>
            <w:pPr>
              <w:pStyle w:val="TableContents"/>
              <w:spacing w:before="0" w:after="283"/>
              <w:rPr/>
            </w:pPr>
            <w:r>
              <w:rPr/>
              <w:t> </w:t>
            </w:r>
          </w:p>
        </w:tc>
      </w:tr>
      <w:tr>
        <w:trPr/>
        <w:tc>
          <w:tcPr>
            <w:tcW w:w="240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121" w:type="dxa"/>
            <w:gridSpan w:val="2"/>
            <w:tcBorders/>
            <w:shd w:fill="auto" w:val="clear"/>
            <w:vAlign w:val="bottom"/>
          </w:tcPr>
          <w:p>
            <w:pPr>
              <w:pStyle w:val="TableContents"/>
              <w:spacing w:before="0" w:after="283"/>
              <w:jc w:val="center"/>
              <w:rPr>
                <w:b/>
              </w:rPr>
            </w:pPr>
            <w:r>
              <w:rPr>
                <w:b/>
              </w:rPr>
              <w:t>California</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596" w:type="dxa"/>
            <w:gridSpan w:val="2"/>
            <w:tcBorders/>
            <w:shd w:fill="auto" w:val="clear"/>
            <w:vAlign w:val="bottom"/>
          </w:tcPr>
          <w:p>
            <w:pPr>
              <w:pStyle w:val="TableContents"/>
              <w:spacing w:before="0" w:after="283"/>
              <w:jc w:val="center"/>
              <w:rPr>
                <w:b/>
              </w:rPr>
            </w:pPr>
            <w:r>
              <w:rPr>
                <w:b/>
              </w:rPr>
              <w:t>perishable food</w:t>
            </w:r>
          </w:p>
        </w:tc>
        <w:tc>
          <w:tcPr>
            <w:tcW w:w="8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87" w:type="dxa"/>
            <w:gridSpan w:val="2"/>
            <w:tcBorders/>
            <w:shd w:fill="auto" w:val="clear"/>
            <w:vAlign w:val="bottom"/>
          </w:tcPr>
          <w:p>
            <w:pPr>
              <w:pStyle w:val="TableContents"/>
              <w:spacing w:before="0" w:after="283"/>
              <w:jc w:val="center"/>
              <w:rPr>
                <w:b/>
              </w:rPr>
            </w:pPr>
            <w:r>
              <w:rPr>
                <w:b/>
              </w:rPr>
              <w:t>Processed</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60" w:type="dxa"/>
            <w:gridSpan w:val="2"/>
            <w:tcBorders/>
            <w:shd w:fill="auto" w:val="clear"/>
            <w:vAlign w:val="bottom"/>
          </w:tcPr>
          <w:p>
            <w:pPr>
              <w:pStyle w:val="TableContents"/>
              <w:spacing w:before="0" w:after="283"/>
              <w:jc w:val="center"/>
              <w:rPr>
                <w:b/>
              </w:rPr>
            </w:pPr>
            <w:r>
              <w:rPr>
                <w:b/>
              </w:rPr>
              <w:t>Inter-segment</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08" w:type="dxa"/>
            <w:gridSpan w:val="2"/>
            <w:tcBorders/>
            <w:shd w:fill="auto" w:val="clear"/>
            <w:vAlign w:val="bottom"/>
          </w:tcPr>
          <w:p>
            <w:pPr>
              <w:pStyle w:val="TableContents"/>
              <w:spacing w:before="0" w:after="283"/>
              <w:jc w:val="center"/>
              <w:rPr/>
            </w:pPr>
            <w:r>
              <w:rPr/>
              <w:t> </w:t>
            </w:r>
          </w:p>
        </w:tc>
        <w:tc>
          <w:tcPr>
            <w:tcW w:w="126" w:type="dxa"/>
            <w:tcBorders/>
            <w:shd w:fill="auto" w:val="clear"/>
            <w:vAlign w:val="bottom"/>
          </w:tcPr>
          <w:p>
            <w:pPr>
              <w:pStyle w:val="TableContents"/>
              <w:spacing w:before="0" w:after="283"/>
              <w:rPr/>
            </w:pPr>
            <w:r>
              <w:rPr/>
              <w:t> </w:t>
            </w:r>
          </w:p>
        </w:tc>
      </w:tr>
      <w:tr>
        <w:trPr/>
        <w:tc>
          <w:tcPr>
            <w:tcW w:w="240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12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59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8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8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26" w:type="dxa"/>
            <w:tcBorders/>
            <w:shd w:fill="auto" w:val="clear"/>
            <w:vAlign w:val="bottom"/>
          </w:tcPr>
          <w:p>
            <w:pPr>
              <w:pStyle w:val="TableContents"/>
              <w:spacing w:before="0" w:after="283"/>
              <w:rPr/>
            </w:pPr>
            <w:r>
              <w:rPr/>
              <w:t> </w:t>
            </w:r>
          </w:p>
        </w:tc>
      </w:tr>
      <w:tr>
        <w:trPr/>
        <w:tc>
          <w:tcPr>
            <w:tcW w:w="240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326"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87" w:type="dxa"/>
            <w:gridSpan w:val="2"/>
            <w:tcBorders/>
            <w:shd w:fill="auto" w:val="clear"/>
            <w:vAlign w:val="bottom"/>
          </w:tcPr>
          <w:p>
            <w:pPr>
              <w:pStyle w:val="TableContents"/>
              <w:spacing w:before="0" w:after="283"/>
              <w:jc w:val="center"/>
              <w:rPr>
                <w:b/>
              </w:rPr>
            </w:pPr>
            <w:r>
              <w:rPr>
                <w:b/>
              </w:rPr>
              <w:t>(in thousands)</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2401" w:type="dxa"/>
            <w:tcBorders/>
            <w:shd w:fill="CCEEFF" w:val="clear"/>
            <w:vAlign w:val="bottom"/>
          </w:tcPr>
          <w:p>
            <w:pPr>
              <w:pStyle w:val="TableContents"/>
              <w:spacing w:before="0" w:after="0"/>
              <w:ind w:left="225" w:right="0" w:hanging="225"/>
              <w:rPr>
                <w:b/>
              </w:rPr>
            </w:pPr>
            <w:r>
              <w:rPr>
                <w:b/>
              </w:rPr>
              <w:t>Three months ended January 31, 2004</w:t>
            </w:r>
          </w:p>
        </w:tc>
        <w:tc>
          <w:tcPr>
            <w:tcW w:w="13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32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r>
      <w:tr>
        <w:trPr/>
        <w:tc>
          <w:tcPr>
            <w:tcW w:w="2401" w:type="dxa"/>
            <w:tcBorders/>
            <w:shd w:fill="auto" w:val="clear"/>
            <w:vAlign w:val="bottom"/>
          </w:tcPr>
          <w:p>
            <w:pPr>
              <w:pStyle w:val="TableContents"/>
              <w:spacing w:before="0" w:after="0"/>
              <w:ind w:left="225" w:right="0" w:hanging="225"/>
              <w:rPr/>
            </w:pPr>
            <w:r>
              <w:rPr/>
              <w:t>Net sales</w:t>
            </w:r>
          </w:p>
        </w:tc>
        <w:tc>
          <w:tcPr>
            <w:tcW w:w="1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931" w:type="dxa"/>
            <w:tcBorders/>
            <w:shd w:fill="auto" w:val="clear"/>
            <w:vAlign w:val="bottom"/>
          </w:tcPr>
          <w:p>
            <w:pPr>
              <w:pStyle w:val="TableContents"/>
              <w:spacing w:before="0" w:after="283"/>
              <w:jc w:val="right"/>
              <w:rPr/>
            </w:pPr>
            <w:r>
              <w:rPr/>
              <w:t>10,228</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left"/>
              <w:rPr/>
            </w:pPr>
            <w:r>
              <w:rPr/>
              <w:t>$</w:t>
            </w:r>
          </w:p>
        </w:tc>
        <w:tc>
          <w:tcPr>
            <w:tcW w:w="1326" w:type="dxa"/>
            <w:tcBorders/>
            <w:shd w:fill="auto" w:val="clear"/>
            <w:vAlign w:val="bottom"/>
          </w:tcPr>
          <w:p>
            <w:pPr>
              <w:pStyle w:val="TableContents"/>
              <w:spacing w:before="0" w:after="283"/>
              <w:jc w:val="right"/>
              <w:rPr/>
            </w:pPr>
            <w:r>
              <w:rPr/>
              <w:t>34,888</w:t>
            </w:r>
          </w:p>
        </w:tc>
        <w:tc>
          <w:tcPr>
            <w:tcW w:w="8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left"/>
              <w:rPr/>
            </w:pPr>
            <w:r>
              <w:rPr/>
              <w:t>$</w:t>
            </w:r>
          </w:p>
        </w:tc>
        <w:tc>
          <w:tcPr>
            <w:tcW w:w="1195" w:type="dxa"/>
            <w:tcBorders/>
            <w:shd w:fill="auto" w:val="clear"/>
            <w:vAlign w:val="bottom"/>
          </w:tcPr>
          <w:p>
            <w:pPr>
              <w:pStyle w:val="TableContents"/>
              <w:spacing w:before="0" w:after="283"/>
              <w:jc w:val="right"/>
              <w:rPr/>
            </w:pPr>
            <w:r>
              <w:rPr/>
              <w:t>7,060</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left"/>
              <w:rPr/>
            </w:pPr>
            <w:r>
              <w:rPr/>
              <w:t>$</w:t>
            </w:r>
          </w:p>
        </w:tc>
        <w:tc>
          <w:tcPr>
            <w:tcW w:w="1199" w:type="dxa"/>
            <w:tcBorders/>
            <w:shd w:fill="auto" w:val="clear"/>
            <w:vAlign w:val="bottom"/>
          </w:tcPr>
          <w:p>
            <w:pPr>
              <w:pStyle w:val="TableContents"/>
              <w:spacing w:before="0" w:after="283"/>
              <w:jc w:val="right"/>
              <w:rPr/>
            </w:pPr>
            <w:r>
              <w:rPr/>
              <w:t>(3,133</w:t>
            </w:r>
          </w:p>
        </w:tc>
        <w:tc>
          <w:tcPr>
            <w:tcW w:w="113" w:type="dxa"/>
            <w:tcBorders/>
            <w:shd w:fill="auto" w:val="clear"/>
            <w:vAlign w:val="bottom"/>
          </w:tcPr>
          <w:p>
            <w:pPr>
              <w:pStyle w:val="TableContents"/>
              <w:spacing w:before="0" w:after="283"/>
              <w:rPr/>
            </w:pPr>
            <w:r>
              <w:rPr/>
              <w:t>)</w:t>
            </w:r>
          </w:p>
        </w:tc>
        <w:tc>
          <w:tcPr>
            <w:tcW w:w="13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754" w:type="dxa"/>
            <w:tcBorders/>
            <w:shd w:fill="auto" w:val="clear"/>
            <w:vAlign w:val="bottom"/>
          </w:tcPr>
          <w:p>
            <w:pPr>
              <w:pStyle w:val="TableContents"/>
              <w:spacing w:before="0" w:after="283"/>
              <w:jc w:val="right"/>
              <w:rPr/>
            </w:pPr>
            <w:r>
              <w:rPr/>
              <w:t>49,043</w:t>
            </w:r>
          </w:p>
        </w:tc>
        <w:tc>
          <w:tcPr>
            <w:tcW w:w="126" w:type="dxa"/>
            <w:tcBorders/>
            <w:shd w:fill="auto" w:val="clear"/>
            <w:vAlign w:val="bottom"/>
          </w:tcPr>
          <w:p>
            <w:pPr>
              <w:pStyle w:val="TableContents"/>
              <w:spacing w:before="0" w:after="283"/>
              <w:rPr/>
            </w:pPr>
            <w:r>
              <w:rPr/>
              <w:t> </w:t>
            </w:r>
          </w:p>
        </w:tc>
      </w:tr>
      <w:tr>
        <w:trPr/>
        <w:tc>
          <w:tcPr>
            <w:tcW w:w="2401" w:type="dxa"/>
            <w:tcBorders/>
            <w:shd w:fill="CCEEFF" w:val="clear"/>
            <w:vAlign w:val="bottom"/>
          </w:tcPr>
          <w:p>
            <w:pPr>
              <w:pStyle w:val="TableContents"/>
              <w:spacing w:before="0" w:after="0"/>
              <w:ind w:left="225" w:right="0" w:hanging="225"/>
              <w:rPr/>
            </w:pPr>
            <w:r>
              <w:rPr/>
              <w:t>Cost of sales</w:t>
            </w:r>
          </w:p>
        </w:tc>
        <w:tc>
          <w:tcPr>
            <w:tcW w:w="13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jc w:val="right"/>
              <w:rPr/>
            </w:pPr>
            <w:r>
              <w:rPr/>
              <w:t>10,100</w:t>
            </w:r>
          </w:p>
        </w:tc>
        <w:tc>
          <w:tcPr>
            <w:tcW w:w="11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326" w:type="dxa"/>
            <w:tcBorders/>
            <w:shd w:fill="CCEEFF" w:val="clear"/>
            <w:vAlign w:val="bottom"/>
          </w:tcPr>
          <w:p>
            <w:pPr>
              <w:pStyle w:val="TableContents"/>
              <w:spacing w:before="0" w:after="283"/>
              <w:jc w:val="right"/>
              <w:rPr/>
            </w:pPr>
            <w:r>
              <w:rPr/>
              <w:t>32,718</w:t>
            </w:r>
          </w:p>
        </w:tc>
        <w:tc>
          <w:tcPr>
            <w:tcW w:w="82"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6,274</w:t>
            </w:r>
          </w:p>
        </w:tc>
        <w:tc>
          <w:tcPr>
            <w:tcW w:w="11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jc w:val="left"/>
              <w:rPr/>
            </w:pPr>
            <w:r>
              <w:rPr/>
              <w:t> </w:t>
            </w:r>
          </w:p>
        </w:tc>
        <w:tc>
          <w:tcPr>
            <w:tcW w:w="1199" w:type="dxa"/>
            <w:tcBorders/>
            <w:shd w:fill="CCEEFF" w:val="clear"/>
            <w:vAlign w:val="bottom"/>
          </w:tcPr>
          <w:p>
            <w:pPr>
              <w:pStyle w:val="TableContents"/>
              <w:spacing w:before="0" w:after="283"/>
              <w:jc w:val="right"/>
              <w:rPr/>
            </w:pPr>
            <w:r>
              <w:rPr/>
              <w:t>(3,133</w:t>
            </w:r>
          </w:p>
        </w:tc>
        <w:tc>
          <w:tcPr>
            <w:tcW w:w="113" w:type="dxa"/>
            <w:tcBorders/>
            <w:shd w:fill="CCEEFF" w:val="clear"/>
            <w:vAlign w:val="bottom"/>
          </w:tcPr>
          <w:p>
            <w:pPr>
              <w:pStyle w:val="TableContents"/>
              <w:spacing w:before="0" w:after="283"/>
              <w:rPr/>
            </w:pPr>
            <w:r>
              <w:rPr/>
              <w:t>)</w:t>
            </w:r>
          </w:p>
        </w:tc>
        <w:tc>
          <w:tcPr>
            <w:tcW w:w="13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45,959</w:t>
            </w:r>
          </w:p>
        </w:tc>
        <w:tc>
          <w:tcPr>
            <w:tcW w:w="126" w:type="dxa"/>
            <w:tcBorders/>
            <w:shd w:fill="CCEEFF" w:val="clear"/>
            <w:vAlign w:val="bottom"/>
          </w:tcPr>
          <w:p>
            <w:pPr>
              <w:pStyle w:val="TableContents"/>
              <w:spacing w:before="0" w:after="283"/>
              <w:rPr/>
            </w:pPr>
            <w:r>
              <w:rPr/>
              <w:t> </w:t>
            </w:r>
          </w:p>
        </w:tc>
      </w:tr>
      <w:tr>
        <w:trPr/>
        <w:tc>
          <w:tcPr>
            <w:tcW w:w="2401" w:type="dxa"/>
            <w:tcBorders/>
            <w:shd w:fill="auto" w:val="clear"/>
            <w:vAlign w:val="center"/>
          </w:tcPr>
          <w:p>
            <w:pPr>
              <w:pStyle w:val="TableContents"/>
              <w:spacing w:before="0" w:after="0"/>
              <w:ind w:left="225" w:right="0" w:hanging="225"/>
              <w:rPr/>
            </w:pPr>
            <w:r>
              <w:rPr/>
              <w:t> </w:t>
            </w:r>
          </w:p>
        </w:tc>
        <w:tc>
          <w:tcPr>
            <w:tcW w:w="137" w:type="dxa"/>
            <w:tcBorders/>
            <w:shd w:fill="auto" w:val="clear"/>
            <w:vAlign w:val="center"/>
          </w:tcPr>
          <w:p>
            <w:pPr>
              <w:pStyle w:val="TableContents"/>
              <w:spacing w:before="0" w:after="283"/>
              <w:rPr/>
            </w:pPr>
            <w:r>
              <w:rPr/>
              <w:t> </w:t>
            </w:r>
          </w:p>
        </w:tc>
        <w:tc>
          <w:tcPr>
            <w:tcW w:w="11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5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4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9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401" w:type="dxa"/>
            <w:tcBorders/>
            <w:shd w:fill="auto" w:val="clear"/>
            <w:vAlign w:val="bottom"/>
          </w:tcPr>
          <w:p>
            <w:pPr>
              <w:pStyle w:val="TableContents"/>
              <w:spacing w:before="0" w:after="0"/>
              <w:ind w:left="225" w:right="0" w:hanging="225"/>
              <w:rPr/>
            </w:pPr>
            <w:r>
              <w:rPr/>
              <w:t>Gross margin</w:t>
            </w:r>
          </w:p>
        </w:tc>
        <w:tc>
          <w:tcPr>
            <w:tcW w:w="1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jc w:val="right"/>
              <w:rPr/>
            </w:pPr>
            <w:r>
              <w:rPr/>
              <w:t>128</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326" w:type="dxa"/>
            <w:tcBorders/>
            <w:shd w:fill="auto" w:val="clear"/>
            <w:vAlign w:val="bottom"/>
          </w:tcPr>
          <w:p>
            <w:pPr>
              <w:pStyle w:val="TableContents"/>
              <w:spacing w:before="0" w:after="283"/>
              <w:jc w:val="right"/>
              <w:rPr/>
            </w:pPr>
            <w:r>
              <w:rPr/>
              <w:t>2,170</w:t>
            </w:r>
          </w:p>
        </w:tc>
        <w:tc>
          <w:tcPr>
            <w:tcW w:w="8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jc w:val="right"/>
              <w:rPr/>
            </w:pPr>
            <w:r>
              <w:rPr/>
              <w:t>786</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3,084</w:t>
            </w:r>
          </w:p>
        </w:tc>
        <w:tc>
          <w:tcPr>
            <w:tcW w:w="126" w:type="dxa"/>
            <w:tcBorders/>
            <w:shd w:fill="auto" w:val="clear"/>
            <w:vAlign w:val="bottom"/>
          </w:tcPr>
          <w:p>
            <w:pPr>
              <w:pStyle w:val="TableContents"/>
              <w:spacing w:before="0" w:after="283"/>
              <w:rPr/>
            </w:pPr>
            <w:r>
              <w:rPr/>
              <w:t> </w:t>
            </w:r>
          </w:p>
        </w:tc>
      </w:tr>
      <w:tr>
        <w:trPr/>
        <w:tc>
          <w:tcPr>
            <w:tcW w:w="2401" w:type="dxa"/>
            <w:tcBorders/>
            <w:shd w:fill="CCEEFF" w:val="clear"/>
            <w:vAlign w:val="bottom"/>
          </w:tcPr>
          <w:p>
            <w:pPr>
              <w:pStyle w:val="TableContents"/>
              <w:spacing w:before="0" w:after="0"/>
              <w:ind w:left="225" w:right="0" w:hanging="225"/>
              <w:rPr/>
            </w:pPr>
            <w:r>
              <w:rPr/>
              <w:t>Selling, general and administrative</w:t>
            </w:r>
          </w:p>
        </w:tc>
        <w:tc>
          <w:tcPr>
            <w:tcW w:w="13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jc w:val="right"/>
              <w:rPr/>
            </w:pPr>
            <w:r>
              <w:rPr/>
              <w:t>1,575</w:t>
            </w:r>
          </w:p>
        </w:tc>
        <w:tc>
          <w:tcPr>
            <w:tcW w:w="11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326" w:type="dxa"/>
            <w:tcBorders/>
            <w:shd w:fill="CCEEFF" w:val="clear"/>
            <w:vAlign w:val="bottom"/>
          </w:tcPr>
          <w:p>
            <w:pPr>
              <w:pStyle w:val="TableContents"/>
              <w:spacing w:before="0" w:after="283"/>
              <w:jc w:val="right"/>
              <w:rPr/>
            </w:pPr>
            <w:r>
              <w:rPr/>
              <w:t>995</w:t>
            </w:r>
          </w:p>
        </w:tc>
        <w:tc>
          <w:tcPr>
            <w:tcW w:w="82"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1,117</w:t>
            </w:r>
          </w:p>
        </w:tc>
        <w:tc>
          <w:tcPr>
            <w:tcW w:w="11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3,687</w:t>
            </w:r>
          </w:p>
        </w:tc>
        <w:tc>
          <w:tcPr>
            <w:tcW w:w="126" w:type="dxa"/>
            <w:tcBorders/>
            <w:shd w:fill="CCEEFF" w:val="clear"/>
            <w:vAlign w:val="bottom"/>
          </w:tcPr>
          <w:p>
            <w:pPr>
              <w:pStyle w:val="TableContents"/>
              <w:spacing w:before="0" w:after="283"/>
              <w:rPr/>
            </w:pPr>
            <w:r>
              <w:rPr/>
              <w:t> </w:t>
            </w:r>
          </w:p>
        </w:tc>
      </w:tr>
      <w:tr>
        <w:trPr/>
        <w:tc>
          <w:tcPr>
            <w:tcW w:w="2401" w:type="dxa"/>
            <w:tcBorders/>
            <w:shd w:fill="auto" w:val="clear"/>
            <w:vAlign w:val="center"/>
          </w:tcPr>
          <w:p>
            <w:pPr>
              <w:pStyle w:val="TableContents"/>
              <w:spacing w:before="0" w:after="0"/>
              <w:ind w:left="225" w:right="0" w:hanging="225"/>
              <w:rPr/>
            </w:pPr>
            <w:r>
              <w:rPr/>
              <w:t> </w:t>
            </w:r>
          </w:p>
        </w:tc>
        <w:tc>
          <w:tcPr>
            <w:tcW w:w="137" w:type="dxa"/>
            <w:tcBorders/>
            <w:shd w:fill="auto" w:val="clear"/>
            <w:vAlign w:val="center"/>
          </w:tcPr>
          <w:p>
            <w:pPr>
              <w:pStyle w:val="TableContents"/>
              <w:spacing w:before="0" w:after="283"/>
              <w:rPr/>
            </w:pPr>
            <w:r>
              <w:rPr/>
              <w:t> </w:t>
            </w:r>
          </w:p>
        </w:tc>
        <w:tc>
          <w:tcPr>
            <w:tcW w:w="11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5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4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9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401" w:type="dxa"/>
            <w:tcBorders/>
            <w:shd w:fill="auto" w:val="clear"/>
            <w:vAlign w:val="bottom"/>
          </w:tcPr>
          <w:p>
            <w:pPr>
              <w:pStyle w:val="TableContents"/>
              <w:spacing w:before="0" w:after="0"/>
              <w:ind w:left="225" w:right="0" w:hanging="225"/>
              <w:rPr/>
            </w:pPr>
            <w:r>
              <w:rPr/>
              <w:t>Operating income (loss)</w:t>
            </w:r>
          </w:p>
        </w:tc>
        <w:tc>
          <w:tcPr>
            <w:tcW w:w="1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 </w:t>
            </w:r>
          </w:p>
        </w:tc>
        <w:tc>
          <w:tcPr>
            <w:tcW w:w="931" w:type="dxa"/>
            <w:tcBorders/>
            <w:shd w:fill="auto" w:val="clear"/>
            <w:vAlign w:val="bottom"/>
          </w:tcPr>
          <w:p>
            <w:pPr>
              <w:pStyle w:val="TableContents"/>
              <w:spacing w:before="0" w:after="283"/>
              <w:jc w:val="right"/>
              <w:rPr/>
            </w:pPr>
            <w:r>
              <w:rPr/>
              <w:t>(1,447</w:t>
            </w:r>
          </w:p>
        </w:tc>
        <w:tc>
          <w:tcPr>
            <w:tcW w:w="113" w:type="dxa"/>
            <w:tcBorders/>
            <w:shd w:fill="auto" w:val="clear"/>
            <w:vAlign w:val="bottom"/>
          </w:tcPr>
          <w:p>
            <w:pPr>
              <w:pStyle w:val="TableContents"/>
              <w:spacing w:before="0" w:after="283"/>
              <w:rPr/>
            </w:pPr>
            <w:r>
              <w:rPr/>
              <w:t>)</w:t>
            </w:r>
          </w:p>
        </w:tc>
        <w:tc>
          <w:tcPr>
            <w:tcW w:w="13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326" w:type="dxa"/>
            <w:tcBorders/>
            <w:shd w:fill="auto" w:val="clear"/>
            <w:vAlign w:val="bottom"/>
          </w:tcPr>
          <w:p>
            <w:pPr>
              <w:pStyle w:val="TableContents"/>
              <w:spacing w:before="0" w:after="283"/>
              <w:jc w:val="right"/>
              <w:rPr/>
            </w:pPr>
            <w:r>
              <w:rPr/>
              <w:t>1,175</w:t>
            </w:r>
          </w:p>
        </w:tc>
        <w:tc>
          <w:tcPr>
            <w:tcW w:w="8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left"/>
              <w:rPr/>
            </w:pPr>
            <w:r>
              <w:rPr/>
              <w:t> </w:t>
            </w:r>
          </w:p>
        </w:tc>
        <w:tc>
          <w:tcPr>
            <w:tcW w:w="1195" w:type="dxa"/>
            <w:tcBorders/>
            <w:shd w:fill="auto" w:val="clear"/>
            <w:vAlign w:val="bottom"/>
          </w:tcPr>
          <w:p>
            <w:pPr>
              <w:pStyle w:val="TableContents"/>
              <w:spacing w:before="0" w:after="283"/>
              <w:jc w:val="right"/>
              <w:rPr/>
            </w:pPr>
            <w:r>
              <w:rPr/>
              <w:t>(331</w:t>
            </w:r>
          </w:p>
        </w:tc>
        <w:tc>
          <w:tcPr>
            <w:tcW w:w="113" w:type="dxa"/>
            <w:tcBorders/>
            <w:shd w:fill="auto" w:val="clear"/>
            <w:vAlign w:val="bottom"/>
          </w:tcPr>
          <w:p>
            <w:pPr>
              <w:pStyle w:val="TableContents"/>
              <w:spacing w:before="0" w:after="283"/>
              <w:rPr/>
            </w:pPr>
            <w:r>
              <w:rPr/>
              <w:t>)</w:t>
            </w:r>
          </w:p>
        </w:tc>
        <w:tc>
          <w:tcPr>
            <w:tcW w:w="137"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(603</w:t>
            </w:r>
          </w:p>
        </w:tc>
        <w:tc>
          <w:tcPr>
            <w:tcW w:w="126" w:type="dxa"/>
            <w:tcBorders/>
            <w:shd w:fill="auto" w:val="clear"/>
            <w:vAlign w:val="bottom"/>
          </w:tcPr>
          <w:p>
            <w:pPr>
              <w:pStyle w:val="TableContents"/>
              <w:spacing w:before="0" w:after="283"/>
              <w:rPr/>
            </w:pPr>
            <w:r>
              <w:rPr/>
              <w:t>)</w:t>
            </w:r>
          </w:p>
        </w:tc>
      </w:tr>
      <w:tr>
        <w:trPr/>
        <w:tc>
          <w:tcPr>
            <w:tcW w:w="2401" w:type="dxa"/>
            <w:tcBorders/>
            <w:shd w:fill="CCEEFF" w:val="clear"/>
            <w:vAlign w:val="bottom"/>
          </w:tcPr>
          <w:p>
            <w:pPr>
              <w:pStyle w:val="TableContents"/>
              <w:spacing w:before="0" w:after="0"/>
              <w:ind w:left="225" w:right="0" w:hanging="225"/>
              <w:rPr/>
            </w:pPr>
            <w:r>
              <w:rPr/>
              <w:t>Other income (expense), net</w:t>
            </w:r>
          </w:p>
        </w:tc>
        <w:tc>
          <w:tcPr>
            <w:tcW w:w="13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jc w:val="right"/>
              <w:rPr/>
            </w:pPr>
            <w:r>
              <w:rPr/>
              <w:t>83</w:t>
            </w:r>
          </w:p>
        </w:tc>
        <w:tc>
          <w:tcPr>
            <w:tcW w:w="11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326" w:type="dxa"/>
            <w:tcBorders/>
            <w:shd w:fill="CCEEFF" w:val="clear"/>
            <w:vAlign w:val="bottom"/>
          </w:tcPr>
          <w:p>
            <w:pPr>
              <w:pStyle w:val="TableContents"/>
              <w:spacing w:before="0" w:after="283"/>
              <w:jc w:val="right"/>
              <w:rPr/>
            </w:pPr>
            <w:r>
              <w:rPr/>
              <w:t>28</w:t>
            </w:r>
          </w:p>
        </w:tc>
        <w:tc>
          <w:tcPr>
            <w:tcW w:w="82"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95" w:type="dxa"/>
            <w:tcBorders/>
            <w:shd w:fill="CCEEFF" w:val="clear"/>
            <w:vAlign w:val="bottom"/>
          </w:tcPr>
          <w:p>
            <w:pPr>
              <w:pStyle w:val="TableContents"/>
              <w:spacing w:before="0" w:after="283"/>
              <w:jc w:val="right"/>
              <w:rPr/>
            </w:pPr>
            <w:r>
              <w:rPr/>
              <w:t>3</w:t>
            </w:r>
          </w:p>
        </w:tc>
        <w:tc>
          <w:tcPr>
            <w:tcW w:w="11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114</w:t>
            </w:r>
          </w:p>
        </w:tc>
        <w:tc>
          <w:tcPr>
            <w:tcW w:w="126" w:type="dxa"/>
            <w:tcBorders/>
            <w:shd w:fill="CCEEFF" w:val="clear"/>
            <w:vAlign w:val="bottom"/>
          </w:tcPr>
          <w:p>
            <w:pPr>
              <w:pStyle w:val="TableContents"/>
              <w:spacing w:before="0" w:after="283"/>
              <w:rPr/>
            </w:pPr>
            <w:r>
              <w:rPr/>
              <w:t> </w:t>
            </w:r>
          </w:p>
        </w:tc>
      </w:tr>
      <w:tr>
        <w:trPr/>
        <w:tc>
          <w:tcPr>
            <w:tcW w:w="2401" w:type="dxa"/>
            <w:tcBorders/>
            <w:shd w:fill="auto" w:val="clear"/>
            <w:vAlign w:val="center"/>
          </w:tcPr>
          <w:p>
            <w:pPr>
              <w:pStyle w:val="TableContents"/>
              <w:spacing w:before="0" w:after="0"/>
              <w:ind w:left="225" w:right="0" w:hanging="225"/>
              <w:rPr/>
            </w:pPr>
            <w:r>
              <w:rPr/>
              <w:t> </w:t>
            </w:r>
          </w:p>
        </w:tc>
        <w:tc>
          <w:tcPr>
            <w:tcW w:w="137" w:type="dxa"/>
            <w:tcBorders/>
            <w:shd w:fill="auto" w:val="clear"/>
            <w:vAlign w:val="center"/>
          </w:tcPr>
          <w:p>
            <w:pPr>
              <w:pStyle w:val="TableContents"/>
              <w:spacing w:before="0" w:after="283"/>
              <w:rPr/>
            </w:pPr>
            <w:r>
              <w:rPr/>
              <w:t> </w:t>
            </w:r>
          </w:p>
        </w:tc>
        <w:tc>
          <w:tcPr>
            <w:tcW w:w="11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5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4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9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401" w:type="dxa"/>
            <w:tcBorders/>
            <w:shd w:fill="auto" w:val="clear"/>
            <w:vAlign w:val="bottom"/>
          </w:tcPr>
          <w:p>
            <w:pPr>
              <w:pStyle w:val="TableContents"/>
              <w:spacing w:before="0" w:after="0"/>
              <w:ind w:left="225" w:right="0" w:hanging="225"/>
              <w:rPr/>
            </w:pPr>
            <w:r>
              <w:rPr/>
              <w:t>Income (loss) before provision (benefit) for income taxes</w:t>
            </w:r>
          </w:p>
        </w:tc>
        <w:tc>
          <w:tcPr>
            <w:tcW w:w="1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 </w:t>
            </w:r>
          </w:p>
        </w:tc>
        <w:tc>
          <w:tcPr>
            <w:tcW w:w="931" w:type="dxa"/>
            <w:tcBorders/>
            <w:shd w:fill="auto" w:val="clear"/>
            <w:vAlign w:val="bottom"/>
          </w:tcPr>
          <w:p>
            <w:pPr>
              <w:pStyle w:val="TableContents"/>
              <w:spacing w:before="0" w:after="283"/>
              <w:jc w:val="right"/>
              <w:rPr/>
            </w:pPr>
            <w:r>
              <w:rPr/>
              <w:t>(1,364</w:t>
            </w:r>
          </w:p>
        </w:tc>
        <w:tc>
          <w:tcPr>
            <w:tcW w:w="113" w:type="dxa"/>
            <w:tcBorders/>
            <w:shd w:fill="auto" w:val="clear"/>
            <w:vAlign w:val="bottom"/>
          </w:tcPr>
          <w:p>
            <w:pPr>
              <w:pStyle w:val="TableContents"/>
              <w:spacing w:before="0" w:after="283"/>
              <w:rPr/>
            </w:pPr>
            <w:r>
              <w:rPr/>
              <w:t>)</w:t>
            </w:r>
          </w:p>
        </w:tc>
        <w:tc>
          <w:tcPr>
            <w:tcW w:w="13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326" w:type="dxa"/>
            <w:tcBorders/>
            <w:shd w:fill="auto" w:val="clear"/>
            <w:vAlign w:val="bottom"/>
          </w:tcPr>
          <w:p>
            <w:pPr>
              <w:pStyle w:val="TableContents"/>
              <w:spacing w:before="0" w:after="283"/>
              <w:jc w:val="right"/>
              <w:rPr/>
            </w:pPr>
            <w:r>
              <w:rPr/>
              <w:t>1,203</w:t>
            </w:r>
          </w:p>
        </w:tc>
        <w:tc>
          <w:tcPr>
            <w:tcW w:w="8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left"/>
              <w:rPr/>
            </w:pPr>
            <w:r>
              <w:rPr/>
              <w:t> </w:t>
            </w:r>
          </w:p>
        </w:tc>
        <w:tc>
          <w:tcPr>
            <w:tcW w:w="1195" w:type="dxa"/>
            <w:tcBorders/>
            <w:shd w:fill="auto" w:val="clear"/>
            <w:vAlign w:val="bottom"/>
          </w:tcPr>
          <w:p>
            <w:pPr>
              <w:pStyle w:val="TableContents"/>
              <w:spacing w:before="0" w:after="283"/>
              <w:jc w:val="right"/>
              <w:rPr/>
            </w:pPr>
            <w:r>
              <w:rPr/>
              <w:t>(328</w:t>
            </w:r>
          </w:p>
        </w:tc>
        <w:tc>
          <w:tcPr>
            <w:tcW w:w="113" w:type="dxa"/>
            <w:tcBorders/>
            <w:shd w:fill="auto" w:val="clear"/>
            <w:vAlign w:val="bottom"/>
          </w:tcPr>
          <w:p>
            <w:pPr>
              <w:pStyle w:val="TableContents"/>
              <w:spacing w:before="0" w:after="283"/>
              <w:rPr/>
            </w:pPr>
            <w:r>
              <w:rPr/>
              <w:t>)</w:t>
            </w:r>
          </w:p>
        </w:tc>
        <w:tc>
          <w:tcPr>
            <w:tcW w:w="137"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(489</w:t>
            </w:r>
          </w:p>
        </w:tc>
        <w:tc>
          <w:tcPr>
            <w:tcW w:w="126" w:type="dxa"/>
            <w:tcBorders/>
            <w:shd w:fill="auto" w:val="clear"/>
            <w:vAlign w:val="bottom"/>
          </w:tcPr>
          <w:p>
            <w:pPr>
              <w:pStyle w:val="TableContents"/>
              <w:spacing w:before="0" w:after="283"/>
              <w:rPr/>
            </w:pPr>
            <w:r>
              <w:rPr/>
              <w:t>)</w:t>
            </w:r>
          </w:p>
        </w:tc>
      </w:tr>
      <w:tr>
        <w:trPr/>
        <w:tc>
          <w:tcPr>
            <w:tcW w:w="2401" w:type="dxa"/>
            <w:tcBorders/>
            <w:shd w:fill="CCEEFF" w:val="clear"/>
            <w:vAlign w:val="bottom"/>
          </w:tcPr>
          <w:p>
            <w:pPr>
              <w:pStyle w:val="TableContents"/>
              <w:spacing w:before="0" w:after="0"/>
              <w:ind w:left="225" w:right="0" w:hanging="225"/>
              <w:rPr/>
            </w:pPr>
            <w:r>
              <w:rPr/>
              <w:t>Provision (benefit) for income taxes</w:t>
            </w:r>
          </w:p>
        </w:tc>
        <w:tc>
          <w:tcPr>
            <w:tcW w:w="13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 </w:t>
            </w:r>
          </w:p>
        </w:tc>
        <w:tc>
          <w:tcPr>
            <w:tcW w:w="931" w:type="dxa"/>
            <w:tcBorders/>
            <w:shd w:fill="CCEEFF" w:val="clear"/>
            <w:vAlign w:val="bottom"/>
          </w:tcPr>
          <w:p>
            <w:pPr>
              <w:pStyle w:val="TableContents"/>
              <w:spacing w:before="0" w:after="283"/>
              <w:jc w:val="right"/>
              <w:rPr/>
            </w:pPr>
            <w:r>
              <w:rPr/>
              <w:t>(545</w:t>
            </w:r>
          </w:p>
        </w:tc>
        <w:tc>
          <w:tcPr>
            <w:tcW w:w="113" w:type="dxa"/>
            <w:tcBorders/>
            <w:shd w:fill="CCEEFF" w:val="clear"/>
            <w:vAlign w:val="bottom"/>
          </w:tcPr>
          <w:p>
            <w:pPr>
              <w:pStyle w:val="TableContents"/>
              <w:spacing w:before="0" w:after="283"/>
              <w:rPr/>
            </w:pPr>
            <w:r>
              <w:rPr/>
              <w:t>)</w:t>
            </w:r>
          </w:p>
        </w:tc>
        <w:tc>
          <w:tcPr>
            <w:tcW w:w="137"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326" w:type="dxa"/>
            <w:tcBorders/>
            <w:shd w:fill="CCEEFF" w:val="clear"/>
            <w:vAlign w:val="bottom"/>
          </w:tcPr>
          <w:p>
            <w:pPr>
              <w:pStyle w:val="TableContents"/>
              <w:spacing w:before="0" w:after="283"/>
              <w:jc w:val="right"/>
              <w:rPr/>
            </w:pPr>
            <w:r>
              <w:rPr/>
              <w:t>481</w:t>
            </w:r>
          </w:p>
        </w:tc>
        <w:tc>
          <w:tcPr>
            <w:tcW w:w="82"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pPr>
            <w:r>
              <w:rPr/>
              <w:t>(131</w:t>
            </w:r>
          </w:p>
        </w:tc>
        <w:tc>
          <w:tcPr>
            <w:tcW w:w="113" w:type="dxa"/>
            <w:tcBorders/>
            <w:shd w:fill="CCEEFF" w:val="clear"/>
            <w:vAlign w:val="bottom"/>
          </w:tcPr>
          <w:p>
            <w:pPr>
              <w:pStyle w:val="TableContents"/>
              <w:spacing w:before="0" w:after="283"/>
              <w:rPr/>
            </w:pPr>
            <w:r>
              <w:rPr/>
              <w:t>)</w:t>
            </w:r>
          </w:p>
        </w:tc>
        <w:tc>
          <w:tcPr>
            <w:tcW w:w="137"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283"/>
              <w:jc w:val="right"/>
              <w:rPr/>
            </w:pPr>
            <w:r>
              <w:rPr/>
              <w:t>(195</w:t>
            </w:r>
          </w:p>
        </w:tc>
        <w:tc>
          <w:tcPr>
            <w:tcW w:w="126" w:type="dxa"/>
            <w:tcBorders/>
            <w:shd w:fill="CCEEFF" w:val="clear"/>
            <w:vAlign w:val="bottom"/>
          </w:tcPr>
          <w:p>
            <w:pPr>
              <w:pStyle w:val="TableContents"/>
              <w:spacing w:before="0" w:after="283"/>
              <w:rPr/>
            </w:pPr>
            <w:r>
              <w:rPr/>
              <w:t>)</w:t>
            </w:r>
          </w:p>
        </w:tc>
      </w:tr>
      <w:tr>
        <w:trPr/>
        <w:tc>
          <w:tcPr>
            <w:tcW w:w="2401" w:type="dxa"/>
            <w:tcBorders/>
            <w:shd w:fill="auto" w:val="clear"/>
            <w:vAlign w:val="center"/>
          </w:tcPr>
          <w:p>
            <w:pPr>
              <w:pStyle w:val="TableContents"/>
              <w:spacing w:before="0" w:after="0"/>
              <w:ind w:left="225" w:right="0" w:hanging="225"/>
              <w:rPr/>
            </w:pPr>
            <w:r>
              <w:rPr/>
              <w:t> </w:t>
            </w:r>
          </w:p>
        </w:tc>
        <w:tc>
          <w:tcPr>
            <w:tcW w:w="137" w:type="dxa"/>
            <w:tcBorders/>
            <w:shd w:fill="auto" w:val="clear"/>
            <w:vAlign w:val="center"/>
          </w:tcPr>
          <w:p>
            <w:pPr>
              <w:pStyle w:val="TableContents"/>
              <w:spacing w:before="0" w:after="283"/>
              <w:rPr/>
            </w:pPr>
            <w:r>
              <w:rPr/>
              <w:t> </w:t>
            </w:r>
          </w:p>
        </w:tc>
        <w:tc>
          <w:tcPr>
            <w:tcW w:w="11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5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4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9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401" w:type="dxa"/>
            <w:tcBorders/>
            <w:shd w:fill="auto" w:val="clear"/>
            <w:vAlign w:val="bottom"/>
          </w:tcPr>
          <w:p>
            <w:pPr>
              <w:pStyle w:val="TableContents"/>
              <w:spacing w:before="0" w:after="0"/>
              <w:ind w:left="225" w:right="0" w:hanging="225"/>
              <w:rPr/>
            </w:pPr>
            <w:r>
              <w:rPr/>
              <w:t>Net income (loss)</w:t>
            </w:r>
          </w:p>
        </w:tc>
        <w:tc>
          <w:tcPr>
            <w:tcW w:w="1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931" w:type="dxa"/>
            <w:tcBorders/>
            <w:shd w:fill="auto" w:val="clear"/>
            <w:vAlign w:val="bottom"/>
          </w:tcPr>
          <w:p>
            <w:pPr>
              <w:pStyle w:val="TableContents"/>
              <w:spacing w:before="0" w:after="283"/>
              <w:jc w:val="right"/>
              <w:rPr/>
            </w:pPr>
            <w:r>
              <w:rPr/>
              <w:t>(819</w:t>
            </w:r>
          </w:p>
        </w:tc>
        <w:tc>
          <w:tcPr>
            <w:tcW w:w="113" w:type="dxa"/>
            <w:tcBorders/>
            <w:shd w:fill="auto" w:val="clear"/>
            <w:vAlign w:val="bottom"/>
          </w:tcPr>
          <w:p>
            <w:pPr>
              <w:pStyle w:val="TableContents"/>
              <w:spacing w:before="0" w:after="283"/>
              <w:rPr/>
            </w:pPr>
            <w:r>
              <w:rPr/>
              <w:t>)</w:t>
            </w:r>
          </w:p>
        </w:tc>
        <w:tc>
          <w:tcPr>
            <w:tcW w:w="137"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jc w:val="left"/>
              <w:rPr/>
            </w:pPr>
            <w:r>
              <w:rPr/>
              <w:t>$</w:t>
            </w:r>
          </w:p>
        </w:tc>
        <w:tc>
          <w:tcPr>
            <w:tcW w:w="1326" w:type="dxa"/>
            <w:tcBorders/>
            <w:shd w:fill="auto" w:val="clear"/>
            <w:vAlign w:val="bottom"/>
          </w:tcPr>
          <w:p>
            <w:pPr>
              <w:pStyle w:val="TableContents"/>
              <w:spacing w:before="0" w:after="283"/>
              <w:jc w:val="right"/>
              <w:rPr/>
            </w:pPr>
            <w:r>
              <w:rPr/>
              <w:t>722</w:t>
            </w:r>
          </w:p>
        </w:tc>
        <w:tc>
          <w:tcPr>
            <w:tcW w:w="8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jc w:val="left"/>
              <w:rPr/>
            </w:pPr>
            <w:r>
              <w:rPr/>
              <w:t>$</w:t>
            </w:r>
          </w:p>
        </w:tc>
        <w:tc>
          <w:tcPr>
            <w:tcW w:w="1195" w:type="dxa"/>
            <w:tcBorders/>
            <w:shd w:fill="auto" w:val="clear"/>
            <w:vAlign w:val="bottom"/>
          </w:tcPr>
          <w:p>
            <w:pPr>
              <w:pStyle w:val="TableContents"/>
              <w:spacing w:before="0" w:after="283"/>
              <w:jc w:val="right"/>
              <w:rPr/>
            </w:pPr>
            <w:r>
              <w:rPr/>
              <w:t>(197</w:t>
            </w:r>
          </w:p>
        </w:tc>
        <w:tc>
          <w:tcPr>
            <w:tcW w:w="113" w:type="dxa"/>
            <w:tcBorders/>
            <w:shd w:fill="auto" w:val="clear"/>
            <w:vAlign w:val="bottom"/>
          </w:tcPr>
          <w:p>
            <w:pPr>
              <w:pStyle w:val="TableContents"/>
              <w:spacing w:before="0" w:after="283"/>
              <w:rPr/>
            </w:pPr>
            <w:r>
              <w:rPr/>
              <w:t>)</w:t>
            </w:r>
          </w:p>
        </w:tc>
        <w:tc>
          <w:tcPr>
            <w:tcW w:w="137"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left"/>
              <w:rPr/>
            </w:pPr>
            <w:r>
              <w:rPr/>
              <w:t>$</w:t>
            </w:r>
          </w:p>
        </w:tc>
        <w:tc>
          <w:tcPr>
            <w:tcW w:w="1199"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w:t>
            </w:r>
          </w:p>
        </w:tc>
        <w:tc>
          <w:tcPr>
            <w:tcW w:w="754" w:type="dxa"/>
            <w:tcBorders/>
            <w:shd w:fill="auto" w:val="clear"/>
            <w:vAlign w:val="bottom"/>
          </w:tcPr>
          <w:p>
            <w:pPr>
              <w:pStyle w:val="TableContents"/>
              <w:spacing w:before="0" w:after="283"/>
              <w:jc w:val="right"/>
              <w:rPr/>
            </w:pPr>
            <w:r>
              <w:rPr/>
              <w:t>(294</w:t>
            </w:r>
          </w:p>
        </w:tc>
        <w:tc>
          <w:tcPr>
            <w:tcW w:w="126" w:type="dxa"/>
            <w:tcBorders/>
            <w:shd w:fill="auto" w:val="clear"/>
            <w:vAlign w:val="bottom"/>
          </w:tcPr>
          <w:p>
            <w:pPr>
              <w:pStyle w:val="TableContents"/>
              <w:spacing w:before="0" w:after="283"/>
              <w:rPr/>
            </w:pPr>
            <w:r>
              <w:rPr/>
              <w:t>)</w:t>
            </w:r>
          </w:p>
        </w:tc>
      </w:tr>
      <w:tr>
        <w:trPr/>
        <w:tc>
          <w:tcPr>
            <w:tcW w:w="2401" w:type="dxa"/>
            <w:tcBorders/>
            <w:shd w:fill="auto" w:val="clear"/>
            <w:vAlign w:val="center"/>
          </w:tcPr>
          <w:p>
            <w:pPr>
              <w:pStyle w:val="TableContents"/>
              <w:spacing w:before="0" w:after="0"/>
              <w:ind w:left="225" w:right="0" w:hanging="225"/>
              <w:rPr/>
            </w:pPr>
            <w:r>
              <w:rPr/>
              <w:t> </w:t>
            </w:r>
          </w:p>
        </w:tc>
        <w:tc>
          <w:tcPr>
            <w:tcW w:w="137" w:type="dxa"/>
            <w:tcBorders/>
            <w:shd w:fill="auto" w:val="clear"/>
            <w:vAlign w:val="center"/>
          </w:tcPr>
          <w:p>
            <w:pPr>
              <w:pStyle w:val="TableContents"/>
              <w:spacing w:before="0" w:after="283"/>
              <w:rPr/>
            </w:pPr>
            <w:r>
              <w:rPr/>
              <w:t> </w:t>
            </w:r>
          </w:p>
        </w:tc>
        <w:tc>
          <w:tcPr>
            <w:tcW w:w="11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5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4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4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3"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9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bl>
    <w:p>
      <w:pPr>
        <w:pStyle w:val="TextBody"/>
        <w:spacing w:before="0" w:after="0"/>
        <w:jc w:val="left"/>
        <w:rPr/>
      </w:pPr>
      <w:r>
        <w:rPr/>
        <w:t>     </w:t>
      </w:r>
      <w:r>
        <w:rPr>
          <w:rFonts w:ascii="Times New Roman;Times;serif" w:hAnsi="Times New Roman;Times;serif"/>
          <w:sz w:val="17"/>
        </w:rPr>
        <w:t xml:space="preserve">The following table sets forth sales by product category, by segment (in thousands): </w:t>
      </w:r>
    </w:p>
    <w:tbl>
      <w:tblPr>
        <w:tblW w:w="14101" w:type="dxa"/>
        <w:jc w:val="center"/>
        <w:tblInd w:w="0" w:type="dxa"/>
        <w:tblCellMar>
          <w:top w:w="0" w:type="dxa"/>
          <w:left w:w="0" w:type="dxa"/>
          <w:bottom w:w="0" w:type="dxa"/>
          <w:right w:w="0" w:type="dxa"/>
        </w:tblCellMar>
      </w:tblPr>
      <w:tblGrid>
        <w:gridCol w:w="4070"/>
        <w:gridCol w:w="60"/>
        <w:gridCol w:w="210"/>
        <w:gridCol w:w="845"/>
        <w:gridCol w:w="105"/>
        <w:gridCol w:w="66"/>
        <w:gridCol w:w="238"/>
        <w:gridCol w:w="1162"/>
        <w:gridCol w:w="66"/>
        <w:gridCol w:w="66"/>
        <w:gridCol w:w="184"/>
        <w:gridCol w:w="841"/>
        <w:gridCol w:w="105"/>
        <w:gridCol w:w="66"/>
        <w:gridCol w:w="155"/>
        <w:gridCol w:w="762"/>
        <w:gridCol w:w="95"/>
        <w:gridCol w:w="60"/>
        <w:gridCol w:w="179"/>
        <w:gridCol w:w="876"/>
        <w:gridCol w:w="101"/>
        <w:gridCol w:w="63"/>
        <w:gridCol w:w="237"/>
        <w:gridCol w:w="1163"/>
        <w:gridCol w:w="101"/>
        <w:gridCol w:w="63"/>
        <w:gridCol w:w="184"/>
        <w:gridCol w:w="841"/>
        <w:gridCol w:w="101"/>
        <w:gridCol w:w="63"/>
        <w:gridCol w:w="148"/>
        <w:gridCol w:w="730"/>
        <w:gridCol w:w="95"/>
      </w:tblGrid>
      <w:tr>
        <w:trPr/>
        <w:tc>
          <w:tcPr>
            <w:tcW w:w="40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40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1"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 2005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0"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 2004</w:t>
            </w:r>
          </w:p>
        </w:tc>
        <w:tc>
          <w:tcPr>
            <w:tcW w:w="95" w:type="dxa"/>
            <w:tcBorders/>
            <w:shd w:fill="auto" w:val="clear"/>
            <w:vAlign w:val="bottom"/>
          </w:tcPr>
          <w:p>
            <w:pPr>
              <w:pStyle w:val="TableContents"/>
              <w:spacing w:before="0" w:after="283"/>
              <w:rPr/>
            </w:pPr>
            <w:r>
              <w:rPr/>
              <w:t> </w:t>
            </w:r>
          </w:p>
        </w:tc>
      </w:tr>
      <w:tr>
        <w:trPr/>
        <w:tc>
          <w:tcPr>
            <w:tcW w:w="40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International</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International</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878"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40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avocados and</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avocados and</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878"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40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perishable</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perishable</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878"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40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b/>
              </w:rPr>
            </w:pPr>
            <w:r>
              <w:rPr>
                <w:b/>
              </w:rPr>
              <w:t>California</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food</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b/>
              </w:rPr>
            </w:pPr>
            <w:r>
              <w:rPr>
                <w:b/>
              </w:rPr>
              <w:t>Processed</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b/>
              </w:rPr>
            </w:pPr>
            <w:r>
              <w:rPr>
                <w:b/>
              </w:rPr>
              <w:t>California</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food</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b/>
              </w:rPr>
            </w:pPr>
            <w:r>
              <w:rPr>
                <w:b/>
              </w:rPr>
              <w:t>Processed</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878"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40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4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1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87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5" w:type="dxa"/>
            <w:tcBorders/>
            <w:shd w:fill="auto" w:val="clear"/>
            <w:vAlign w:val="bottom"/>
          </w:tcPr>
          <w:p>
            <w:pPr>
              <w:pStyle w:val="TableContents"/>
              <w:spacing w:before="0" w:after="283"/>
              <w:rPr/>
            </w:pPr>
            <w:r>
              <w:rPr/>
              <w:t> </w:t>
            </w:r>
          </w:p>
        </w:tc>
      </w:tr>
      <w:tr>
        <w:trPr/>
        <w:tc>
          <w:tcPr>
            <w:tcW w:w="4070" w:type="dxa"/>
            <w:tcBorders/>
            <w:shd w:fill="CCEEFF" w:val="clear"/>
            <w:vAlign w:val="bottom"/>
          </w:tcPr>
          <w:p>
            <w:pPr>
              <w:pStyle w:val="TableContents"/>
              <w:spacing w:before="0" w:after="0"/>
              <w:ind w:left="225" w:right="0" w:hanging="225"/>
              <w:rPr/>
            </w:pPr>
            <w:r>
              <w:rPr/>
              <w:t>Third-party sales:</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r>
      <w:tr>
        <w:trPr/>
        <w:tc>
          <w:tcPr>
            <w:tcW w:w="4070" w:type="dxa"/>
            <w:tcBorders/>
            <w:shd w:fill="auto" w:val="clear"/>
            <w:vAlign w:val="bottom"/>
          </w:tcPr>
          <w:p>
            <w:pPr>
              <w:pStyle w:val="TableContents"/>
              <w:spacing w:before="0" w:after="0"/>
              <w:ind w:left="225" w:right="0" w:hanging="225"/>
              <w:rPr/>
            </w:pPr>
            <w:r>
              <w:rPr/>
              <w:t>California avocados</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845" w:type="dxa"/>
            <w:tcBorders/>
            <w:shd w:fill="auto" w:val="clear"/>
            <w:vAlign w:val="bottom"/>
          </w:tcPr>
          <w:p>
            <w:pPr>
              <w:pStyle w:val="TableContents"/>
              <w:spacing w:before="0" w:after="283"/>
              <w:jc w:val="right"/>
              <w:rPr/>
            </w:pPr>
            <w:r>
              <w:rPr/>
              <w:t>7,545</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162"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841"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762" w:type="dxa"/>
            <w:tcBorders/>
            <w:shd w:fill="auto" w:val="clear"/>
            <w:vAlign w:val="bottom"/>
          </w:tcPr>
          <w:p>
            <w:pPr>
              <w:pStyle w:val="TableContents"/>
              <w:spacing w:before="0" w:after="283"/>
              <w:jc w:val="right"/>
              <w:rPr/>
            </w:pPr>
            <w:r>
              <w:rPr/>
              <w:t>7,545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9,555</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w:t>
            </w:r>
          </w:p>
        </w:tc>
        <w:tc>
          <w:tcPr>
            <w:tcW w:w="1163"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84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730" w:type="dxa"/>
            <w:tcBorders/>
            <w:shd w:fill="auto" w:val="clear"/>
            <w:vAlign w:val="bottom"/>
          </w:tcPr>
          <w:p>
            <w:pPr>
              <w:pStyle w:val="TableContents"/>
              <w:spacing w:before="0" w:after="283"/>
              <w:jc w:val="right"/>
              <w:rPr/>
            </w:pPr>
            <w:r>
              <w:rPr/>
              <w:t>9,555</w:t>
            </w:r>
          </w:p>
        </w:tc>
        <w:tc>
          <w:tcPr>
            <w:tcW w:w="95" w:type="dxa"/>
            <w:tcBorders/>
            <w:shd w:fill="auto" w:val="clear"/>
            <w:vAlign w:val="bottom"/>
          </w:tcPr>
          <w:p>
            <w:pPr>
              <w:pStyle w:val="TableContents"/>
              <w:spacing w:before="0" w:after="283"/>
              <w:rPr/>
            </w:pPr>
            <w:r>
              <w:rPr/>
              <w:t> </w:t>
            </w:r>
          </w:p>
        </w:tc>
      </w:tr>
      <w:tr>
        <w:trPr/>
        <w:tc>
          <w:tcPr>
            <w:tcW w:w="4070" w:type="dxa"/>
            <w:tcBorders/>
            <w:shd w:fill="CCEEFF" w:val="clear"/>
            <w:vAlign w:val="bottom"/>
          </w:tcPr>
          <w:p>
            <w:pPr>
              <w:pStyle w:val="TableContents"/>
              <w:spacing w:before="0" w:after="0"/>
              <w:ind w:left="225" w:right="0" w:hanging="225"/>
              <w:rPr/>
            </w:pPr>
            <w:r>
              <w:rPr/>
              <w:t>Imported avocados</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24,074</w:t>
            </w:r>
          </w:p>
        </w:tc>
        <w:tc>
          <w:tcPr>
            <w:tcW w:w="6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24,074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23,545</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23,545</w:t>
            </w:r>
          </w:p>
        </w:tc>
        <w:tc>
          <w:tcPr>
            <w:tcW w:w="95" w:type="dxa"/>
            <w:tcBorders/>
            <w:shd w:fill="CCEEFF" w:val="clear"/>
            <w:vAlign w:val="bottom"/>
          </w:tcPr>
          <w:p>
            <w:pPr>
              <w:pStyle w:val="TableContents"/>
              <w:spacing w:before="0" w:after="283"/>
              <w:rPr/>
            </w:pPr>
            <w:r>
              <w:rPr/>
              <w:t> </w:t>
            </w:r>
          </w:p>
        </w:tc>
      </w:tr>
      <w:tr>
        <w:trPr/>
        <w:tc>
          <w:tcPr>
            <w:tcW w:w="4070" w:type="dxa"/>
            <w:tcBorders/>
            <w:shd w:fill="auto" w:val="clear"/>
            <w:vAlign w:val="bottom"/>
          </w:tcPr>
          <w:p>
            <w:pPr>
              <w:pStyle w:val="TableContents"/>
              <w:spacing w:before="0" w:after="0"/>
              <w:ind w:left="225" w:right="0" w:hanging="225"/>
              <w:rPr/>
            </w:pPr>
            <w:r>
              <w:rPr/>
              <w:t>Papayas</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1,820</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1,820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1,640</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1,640</w:t>
            </w:r>
          </w:p>
        </w:tc>
        <w:tc>
          <w:tcPr>
            <w:tcW w:w="95" w:type="dxa"/>
            <w:tcBorders/>
            <w:shd w:fill="auto" w:val="clear"/>
            <w:vAlign w:val="bottom"/>
          </w:tcPr>
          <w:p>
            <w:pPr>
              <w:pStyle w:val="TableContents"/>
              <w:spacing w:before="0" w:after="283"/>
              <w:rPr/>
            </w:pPr>
            <w:r>
              <w:rPr/>
              <w:t> </w:t>
            </w:r>
          </w:p>
        </w:tc>
      </w:tr>
      <w:tr>
        <w:trPr/>
        <w:tc>
          <w:tcPr>
            <w:tcW w:w="4070" w:type="dxa"/>
            <w:tcBorders/>
            <w:shd w:fill="CCEEFF" w:val="clear"/>
            <w:vAlign w:val="bottom"/>
          </w:tcPr>
          <w:p>
            <w:pPr>
              <w:pStyle w:val="TableContents"/>
              <w:spacing w:before="0" w:after="0"/>
              <w:ind w:left="225" w:right="0" w:hanging="225"/>
              <w:rPr/>
            </w:pPr>
            <w:r>
              <w:rPr/>
              <w:t>Specialties and Tropicals</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3,449</w:t>
            </w:r>
          </w:p>
        </w:tc>
        <w:tc>
          <w:tcPr>
            <w:tcW w:w="6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3,449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3,979</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3,979</w:t>
            </w:r>
          </w:p>
        </w:tc>
        <w:tc>
          <w:tcPr>
            <w:tcW w:w="95" w:type="dxa"/>
            <w:tcBorders/>
            <w:shd w:fill="CCEEFF" w:val="clear"/>
            <w:vAlign w:val="bottom"/>
          </w:tcPr>
          <w:p>
            <w:pPr>
              <w:pStyle w:val="TableContents"/>
              <w:spacing w:before="0" w:after="283"/>
              <w:rPr/>
            </w:pPr>
            <w:r>
              <w:rPr/>
              <w:t> </w:t>
            </w:r>
          </w:p>
        </w:tc>
      </w:tr>
      <w:tr>
        <w:trPr/>
        <w:tc>
          <w:tcPr>
            <w:tcW w:w="4070" w:type="dxa"/>
            <w:tcBorders/>
            <w:shd w:fill="auto" w:val="clear"/>
            <w:vAlign w:val="bottom"/>
          </w:tcPr>
          <w:p>
            <w:pPr>
              <w:pStyle w:val="TableContents"/>
              <w:spacing w:before="0" w:after="0"/>
              <w:ind w:left="225" w:right="0" w:hanging="225"/>
              <w:rPr/>
            </w:pPr>
            <w:r>
              <w:rPr/>
              <w:t>Processed  food service</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6,025</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6,025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6,554</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6,554</w:t>
            </w:r>
          </w:p>
        </w:tc>
        <w:tc>
          <w:tcPr>
            <w:tcW w:w="95" w:type="dxa"/>
            <w:tcBorders/>
            <w:shd w:fill="auto" w:val="clear"/>
            <w:vAlign w:val="bottom"/>
          </w:tcPr>
          <w:p>
            <w:pPr>
              <w:pStyle w:val="TableContents"/>
              <w:spacing w:before="0" w:after="283"/>
              <w:rPr/>
            </w:pPr>
            <w:r>
              <w:rPr/>
              <w:t> </w:t>
            </w:r>
          </w:p>
        </w:tc>
      </w:tr>
      <w:tr>
        <w:trPr/>
        <w:tc>
          <w:tcPr>
            <w:tcW w:w="4070" w:type="dxa"/>
            <w:tcBorders/>
            <w:shd w:fill="CCEEFF" w:val="clear"/>
            <w:vAlign w:val="bottom"/>
          </w:tcPr>
          <w:p>
            <w:pPr>
              <w:pStyle w:val="TableContents"/>
              <w:spacing w:before="0" w:after="0"/>
              <w:ind w:left="225" w:right="0" w:hanging="225"/>
              <w:rPr/>
            </w:pPr>
            <w:r>
              <w:rPr/>
              <w:t>Processed  retail and club</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1,406</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1,406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950</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950</w:t>
            </w:r>
          </w:p>
        </w:tc>
        <w:tc>
          <w:tcPr>
            <w:tcW w:w="95" w:type="dxa"/>
            <w:tcBorders/>
            <w:shd w:fill="CCEEFF" w:val="clear"/>
            <w:vAlign w:val="bottom"/>
          </w:tcPr>
          <w:p>
            <w:pPr>
              <w:pStyle w:val="TableContents"/>
              <w:spacing w:before="0" w:after="283"/>
              <w:rPr/>
            </w:pPr>
            <w:r>
              <w:rPr/>
              <w:t> </w:t>
            </w:r>
          </w:p>
        </w:tc>
      </w:tr>
      <w:tr>
        <w:trPr/>
        <w:tc>
          <w:tcPr>
            <w:tcW w:w="407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9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4070" w:type="dxa"/>
            <w:tcBorders/>
            <w:shd w:fill="auto" w:val="clear"/>
            <w:vAlign w:val="bottom"/>
          </w:tcPr>
          <w:p>
            <w:pPr>
              <w:pStyle w:val="TableContents"/>
              <w:spacing w:before="0" w:after="0"/>
              <w:ind w:left="225" w:right="0" w:hanging="225"/>
              <w:rPr/>
            </w:pPr>
            <w:r>
              <w:rPr/>
              <w:t>Total fruit and product sales to third parties</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7,545</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29,343</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7,431</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44,319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9,555</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29,164</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7,504</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46,223</w:t>
            </w:r>
          </w:p>
        </w:tc>
        <w:tc>
          <w:tcPr>
            <w:tcW w:w="95" w:type="dxa"/>
            <w:tcBorders/>
            <w:shd w:fill="auto" w:val="clear"/>
            <w:vAlign w:val="bottom"/>
          </w:tcPr>
          <w:p>
            <w:pPr>
              <w:pStyle w:val="TableContents"/>
              <w:spacing w:before="0" w:after="283"/>
              <w:rPr/>
            </w:pPr>
            <w:r>
              <w:rPr/>
              <w:t> </w:t>
            </w:r>
          </w:p>
        </w:tc>
      </w:tr>
      <w:tr>
        <w:trPr/>
        <w:tc>
          <w:tcPr>
            <w:tcW w:w="4070" w:type="dxa"/>
            <w:tcBorders/>
            <w:shd w:fill="CCEEFF" w:val="clear"/>
            <w:vAlign w:val="bottom"/>
          </w:tcPr>
          <w:p>
            <w:pPr>
              <w:pStyle w:val="TableContents"/>
              <w:spacing w:before="0" w:after="0"/>
              <w:ind w:left="225" w:right="0" w:hanging="225"/>
              <w:rPr/>
            </w:pPr>
            <w:r>
              <w:rPr/>
              <w:t>Freight and other charges</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599</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4,467</w:t>
            </w:r>
          </w:p>
        </w:tc>
        <w:tc>
          <w:tcPr>
            <w:tcW w:w="6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283"/>
              <w:jc w:val="right"/>
              <w:rPr/>
            </w:pPr>
            <w:r>
              <w:rPr/>
              <w:t>(64</w:t>
            </w:r>
          </w:p>
        </w:tc>
        <w:tc>
          <w:tcPr>
            <w:tcW w:w="105" w:type="dxa"/>
            <w:tcBorders/>
            <w:shd w:fill="CCEEFF" w:val="clear"/>
            <w:vAlign w:val="bottom"/>
          </w:tcPr>
          <w:p>
            <w:pPr>
              <w:pStyle w:val="TableContents"/>
              <w:spacing w:before="0" w:after="283"/>
              <w:rPr/>
            </w:pPr>
            <w:r>
              <w:rPr/>
              <w:t>)</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5,002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702</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3,725</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68</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4,495</w:t>
            </w:r>
          </w:p>
        </w:tc>
        <w:tc>
          <w:tcPr>
            <w:tcW w:w="95" w:type="dxa"/>
            <w:tcBorders/>
            <w:shd w:fill="CCEEFF" w:val="clear"/>
            <w:vAlign w:val="bottom"/>
          </w:tcPr>
          <w:p>
            <w:pPr>
              <w:pStyle w:val="TableContents"/>
              <w:spacing w:before="0" w:after="283"/>
              <w:rPr/>
            </w:pPr>
            <w:r>
              <w:rPr/>
              <w:t> </w:t>
            </w:r>
          </w:p>
        </w:tc>
      </w:tr>
      <w:tr>
        <w:trPr/>
        <w:tc>
          <w:tcPr>
            <w:tcW w:w="407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9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4070" w:type="dxa"/>
            <w:tcBorders/>
            <w:shd w:fill="auto" w:val="clear"/>
            <w:vAlign w:val="bottom"/>
          </w:tcPr>
          <w:p>
            <w:pPr>
              <w:pStyle w:val="TableContents"/>
              <w:spacing w:before="0" w:after="0"/>
              <w:ind w:left="225" w:right="0" w:hanging="225"/>
              <w:rPr/>
            </w:pPr>
            <w:r>
              <w:rPr/>
              <w:t>Total third-party sales</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8,144</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33,810</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7,367</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49,321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10,257</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32,889</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7,572</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50,718</w:t>
            </w:r>
          </w:p>
        </w:tc>
        <w:tc>
          <w:tcPr>
            <w:tcW w:w="95" w:type="dxa"/>
            <w:tcBorders/>
            <w:shd w:fill="auto" w:val="clear"/>
            <w:vAlign w:val="bottom"/>
          </w:tcPr>
          <w:p>
            <w:pPr>
              <w:pStyle w:val="TableContents"/>
              <w:spacing w:before="0" w:after="283"/>
              <w:rPr/>
            </w:pPr>
            <w:r>
              <w:rPr/>
              <w:t> </w:t>
            </w:r>
          </w:p>
        </w:tc>
      </w:tr>
      <w:tr>
        <w:trPr/>
        <w:tc>
          <w:tcPr>
            <w:tcW w:w="4070" w:type="dxa"/>
            <w:tcBorders/>
            <w:shd w:fill="CCEEFF" w:val="clear"/>
            <w:vAlign w:val="bottom"/>
          </w:tcPr>
          <w:p>
            <w:pPr>
              <w:pStyle w:val="TableContents"/>
              <w:spacing w:before="0" w:after="0"/>
              <w:ind w:left="225" w:right="0" w:hanging="225"/>
              <w:rPr/>
            </w:pPr>
            <w:r>
              <w:rPr/>
              <w:t>Less sales incentives</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(17</w:t>
            </w:r>
          </w:p>
        </w:tc>
        <w:tc>
          <w:tcPr>
            <w:tcW w:w="105" w:type="dxa"/>
            <w:tcBorders/>
            <w:shd w:fill="CCEEFF" w:val="clear"/>
            <w:vAlign w:val="bottom"/>
          </w:tcPr>
          <w:p>
            <w:pPr>
              <w:pStyle w:val="TableContents"/>
              <w:spacing w:before="0" w:after="283"/>
              <w:rPr/>
            </w:pPr>
            <w:r>
              <w:rPr/>
              <w:t>)</w:t>
            </w:r>
          </w:p>
        </w:tc>
        <w:tc>
          <w:tcPr>
            <w:tcW w:w="66"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283"/>
              <w:jc w:val="right"/>
              <w:rPr/>
            </w:pPr>
            <w:r>
              <w:rPr/>
              <w:t>(1,633</w:t>
            </w:r>
          </w:p>
        </w:tc>
        <w:tc>
          <w:tcPr>
            <w:tcW w:w="105" w:type="dxa"/>
            <w:tcBorders/>
            <w:shd w:fill="CCEEFF" w:val="clear"/>
            <w:vAlign w:val="bottom"/>
          </w:tcPr>
          <w:p>
            <w:pPr>
              <w:pStyle w:val="TableContents"/>
              <w:spacing w:before="0" w:after="283"/>
              <w:rPr/>
            </w:pPr>
            <w:r>
              <w:rPr/>
              <w:t>)</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62" w:type="dxa"/>
            <w:tcBorders/>
            <w:shd w:fill="CCEEFF" w:val="clear"/>
            <w:vAlign w:val="bottom"/>
          </w:tcPr>
          <w:p>
            <w:pPr>
              <w:pStyle w:val="TableContents"/>
              <w:spacing w:before="0" w:after="283"/>
              <w:jc w:val="right"/>
              <w:rPr/>
            </w:pPr>
            <w:r>
              <w:rPr/>
              <w:t>(1,650</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876" w:type="dxa"/>
            <w:tcBorders/>
            <w:shd w:fill="CCEEFF" w:val="clear"/>
            <w:vAlign w:val="bottom"/>
          </w:tcPr>
          <w:p>
            <w:pPr>
              <w:pStyle w:val="TableContents"/>
              <w:spacing w:before="0" w:after="283"/>
              <w:jc w:val="right"/>
              <w:rPr/>
            </w:pPr>
            <w:r>
              <w:rPr/>
              <w:t>(29</w:t>
            </w:r>
          </w:p>
        </w:tc>
        <w:tc>
          <w:tcPr>
            <w:tcW w:w="101" w:type="dxa"/>
            <w:tcBorders/>
            <w:shd w:fill="CCEEFF" w:val="clear"/>
            <w:vAlign w:val="bottom"/>
          </w:tcPr>
          <w:p>
            <w:pPr>
              <w:pStyle w:val="TableContents"/>
              <w:spacing w:before="0" w:after="283"/>
              <w:rPr/>
            </w:pPr>
            <w:r>
              <w:rPr/>
              <w:t>)</w:t>
            </w:r>
          </w:p>
        </w:tc>
        <w:tc>
          <w:tcPr>
            <w:tcW w:w="63"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left"/>
              <w:rPr/>
            </w:pPr>
            <w:r>
              <w:rPr/>
              <w:t> </w:t>
            </w:r>
          </w:p>
        </w:tc>
        <w:tc>
          <w:tcPr>
            <w:tcW w:w="1163" w:type="dxa"/>
            <w:tcBorders/>
            <w:shd w:fill="CCEEFF" w:val="clear"/>
            <w:vAlign w:val="bottom"/>
          </w:tcPr>
          <w:p>
            <w:pPr>
              <w:pStyle w:val="TableContents"/>
              <w:spacing w:before="0" w:after="283"/>
              <w:jc w:val="right"/>
              <w:rPr/>
            </w:pPr>
            <w:r>
              <w:rPr/>
              <w:t>(46</w:t>
            </w:r>
          </w:p>
        </w:tc>
        <w:tc>
          <w:tcPr>
            <w:tcW w:w="101" w:type="dxa"/>
            <w:tcBorders/>
            <w:shd w:fill="CCEEFF" w:val="clear"/>
            <w:vAlign w:val="bottom"/>
          </w:tcPr>
          <w:p>
            <w:pPr>
              <w:pStyle w:val="TableContents"/>
              <w:spacing w:before="0" w:after="283"/>
              <w:rPr/>
            </w:pPr>
            <w:r>
              <w:rPr/>
              <w:t>)</w:t>
            </w:r>
          </w:p>
        </w:tc>
        <w:tc>
          <w:tcPr>
            <w:tcW w:w="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283"/>
              <w:jc w:val="right"/>
              <w:rPr/>
            </w:pPr>
            <w:r>
              <w:rPr/>
              <w:t>(1,600</w:t>
            </w:r>
          </w:p>
        </w:tc>
        <w:tc>
          <w:tcPr>
            <w:tcW w:w="101" w:type="dxa"/>
            <w:tcBorders/>
            <w:shd w:fill="CCEEFF" w:val="clear"/>
            <w:vAlign w:val="bottom"/>
          </w:tcPr>
          <w:p>
            <w:pPr>
              <w:pStyle w:val="TableContents"/>
              <w:spacing w:before="0" w:after="283"/>
              <w:rPr/>
            </w:pPr>
            <w:r>
              <w:rPr/>
              <w:t>)</w:t>
            </w:r>
          </w:p>
        </w:tc>
        <w:tc>
          <w:tcPr>
            <w:tcW w:w="6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730" w:type="dxa"/>
            <w:tcBorders/>
            <w:shd w:fill="CCEEFF" w:val="clear"/>
            <w:vAlign w:val="bottom"/>
          </w:tcPr>
          <w:p>
            <w:pPr>
              <w:pStyle w:val="TableContents"/>
              <w:spacing w:before="0" w:after="283"/>
              <w:jc w:val="right"/>
              <w:rPr/>
            </w:pPr>
            <w:r>
              <w:rPr/>
              <w:t>(1,675</w:t>
            </w:r>
          </w:p>
        </w:tc>
        <w:tc>
          <w:tcPr>
            <w:tcW w:w="95" w:type="dxa"/>
            <w:tcBorders/>
            <w:shd w:fill="CCEEFF" w:val="clear"/>
            <w:vAlign w:val="bottom"/>
          </w:tcPr>
          <w:p>
            <w:pPr>
              <w:pStyle w:val="TableContents"/>
              <w:spacing w:before="0" w:after="283"/>
              <w:rPr/>
            </w:pPr>
            <w:r>
              <w:rPr/>
              <w:t>)</w:t>
            </w:r>
          </w:p>
        </w:tc>
      </w:tr>
      <w:tr>
        <w:trPr/>
        <w:tc>
          <w:tcPr>
            <w:tcW w:w="407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9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4070" w:type="dxa"/>
            <w:tcBorders/>
            <w:shd w:fill="auto" w:val="clear"/>
            <w:vAlign w:val="bottom"/>
          </w:tcPr>
          <w:p>
            <w:pPr>
              <w:pStyle w:val="TableContents"/>
              <w:spacing w:before="0" w:after="0"/>
              <w:ind w:left="225" w:right="0" w:hanging="225"/>
              <w:rPr/>
            </w:pPr>
            <w:r>
              <w:rPr/>
              <w:t>Total net sales to third parties</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8,127</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33,810</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5,734</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47,671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10,228</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32,843</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5,972</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49,043</w:t>
            </w:r>
          </w:p>
        </w:tc>
        <w:tc>
          <w:tcPr>
            <w:tcW w:w="95" w:type="dxa"/>
            <w:tcBorders/>
            <w:shd w:fill="auto" w:val="clear"/>
            <w:vAlign w:val="bottom"/>
          </w:tcPr>
          <w:p>
            <w:pPr>
              <w:pStyle w:val="TableContents"/>
              <w:spacing w:before="0" w:after="283"/>
              <w:rPr/>
            </w:pPr>
            <w:r>
              <w:rPr/>
              <w:t> </w:t>
            </w:r>
          </w:p>
        </w:tc>
      </w:tr>
      <w:tr>
        <w:trPr/>
        <w:tc>
          <w:tcPr>
            <w:tcW w:w="4070" w:type="dxa"/>
            <w:tcBorders/>
            <w:shd w:fill="CCEEFF" w:val="clear"/>
            <w:vAlign w:val="bottom"/>
          </w:tcPr>
          <w:p>
            <w:pPr>
              <w:pStyle w:val="TableContents"/>
              <w:spacing w:before="0" w:after="0"/>
              <w:ind w:left="225" w:right="0" w:hanging="225"/>
              <w:rPr/>
            </w:pPr>
            <w:r>
              <w:rPr/>
              <w:t>Intercompany sales</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550</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2,577</w:t>
            </w:r>
          </w:p>
        </w:tc>
        <w:tc>
          <w:tcPr>
            <w:tcW w:w="6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1,768</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4,895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2,045</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1,088</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3,133</w:t>
            </w:r>
          </w:p>
        </w:tc>
        <w:tc>
          <w:tcPr>
            <w:tcW w:w="95" w:type="dxa"/>
            <w:tcBorders/>
            <w:shd w:fill="CCEEFF" w:val="clear"/>
            <w:vAlign w:val="bottom"/>
          </w:tcPr>
          <w:p>
            <w:pPr>
              <w:pStyle w:val="TableContents"/>
              <w:spacing w:before="0" w:after="283"/>
              <w:rPr/>
            </w:pPr>
            <w:r>
              <w:rPr/>
              <w:t> </w:t>
            </w:r>
          </w:p>
        </w:tc>
      </w:tr>
      <w:tr>
        <w:trPr/>
        <w:tc>
          <w:tcPr>
            <w:tcW w:w="407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9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4070" w:type="dxa"/>
            <w:tcBorders/>
            <w:shd w:fill="auto" w:val="clear"/>
            <w:vAlign w:val="bottom"/>
          </w:tcPr>
          <w:p>
            <w:pPr>
              <w:pStyle w:val="TableContents"/>
              <w:spacing w:before="0" w:after="0"/>
              <w:ind w:left="225" w:right="0" w:hanging="225"/>
              <w:rPr/>
            </w:pPr>
            <w:r>
              <w:rPr/>
              <w:t>Net sales before eliminations</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845" w:type="dxa"/>
            <w:tcBorders/>
            <w:shd w:fill="auto" w:val="clear"/>
            <w:vAlign w:val="bottom"/>
          </w:tcPr>
          <w:p>
            <w:pPr>
              <w:pStyle w:val="TableContents"/>
              <w:spacing w:before="0" w:after="283"/>
              <w:jc w:val="right"/>
              <w:rPr/>
            </w:pPr>
            <w:r>
              <w:rPr/>
              <w:t>8,677</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162" w:type="dxa"/>
            <w:tcBorders/>
            <w:shd w:fill="auto" w:val="clear"/>
            <w:vAlign w:val="bottom"/>
          </w:tcPr>
          <w:p>
            <w:pPr>
              <w:pStyle w:val="TableContents"/>
              <w:spacing w:before="0" w:after="283"/>
              <w:jc w:val="right"/>
              <w:rPr/>
            </w:pPr>
            <w:r>
              <w:rPr/>
              <w:t>36,387</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841" w:type="dxa"/>
            <w:tcBorders/>
            <w:shd w:fill="auto" w:val="clear"/>
            <w:vAlign w:val="bottom"/>
          </w:tcPr>
          <w:p>
            <w:pPr>
              <w:pStyle w:val="TableContents"/>
              <w:spacing w:before="0" w:after="283"/>
              <w:jc w:val="right"/>
              <w:rPr/>
            </w:pPr>
            <w:r>
              <w:rPr/>
              <w:t>7,502</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52,566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10,228</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left"/>
              <w:rPr/>
            </w:pPr>
            <w:r>
              <w:rPr/>
              <w:t>$</w:t>
            </w:r>
          </w:p>
        </w:tc>
        <w:tc>
          <w:tcPr>
            <w:tcW w:w="1163" w:type="dxa"/>
            <w:tcBorders/>
            <w:shd w:fill="auto" w:val="clear"/>
            <w:vAlign w:val="bottom"/>
          </w:tcPr>
          <w:p>
            <w:pPr>
              <w:pStyle w:val="TableContents"/>
              <w:spacing w:before="0" w:after="283"/>
              <w:jc w:val="right"/>
              <w:rPr/>
            </w:pPr>
            <w:r>
              <w:rPr/>
              <w:t>34,888</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841" w:type="dxa"/>
            <w:tcBorders/>
            <w:shd w:fill="auto" w:val="clear"/>
            <w:vAlign w:val="bottom"/>
          </w:tcPr>
          <w:p>
            <w:pPr>
              <w:pStyle w:val="TableContents"/>
              <w:spacing w:before="0" w:after="283"/>
              <w:jc w:val="right"/>
              <w:rPr/>
            </w:pPr>
            <w:r>
              <w:rPr/>
              <w:t>7,060</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52,176</w:t>
            </w:r>
          </w:p>
        </w:tc>
        <w:tc>
          <w:tcPr>
            <w:tcW w:w="95" w:type="dxa"/>
            <w:tcBorders/>
            <w:shd w:fill="auto" w:val="clear"/>
            <w:vAlign w:val="bottom"/>
          </w:tcPr>
          <w:p>
            <w:pPr>
              <w:pStyle w:val="TableContents"/>
              <w:spacing w:before="0" w:after="283"/>
              <w:rPr/>
            </w:pPr>
            <w:r>
              <w:rPr/>
              <w:t> </w:t>
            </w:r>
          </w:p>
        </w:tc>
      </w:tr>
      <w:tr>
        <w:trPr/>
        <w:tc>
          <w:tcPr>
            <w:tcW w:w="407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4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73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r>
      <w:tr>
        <w:trPr/>
        <w:tc>
          <w:tcPr>
            <w:tcW w:w="4070" w:type="dxa"/>
            <w:tcBorders/>
            <w:shd w:fill="CCEEFF" w:val="clear"/>
            <w:vAlign w:val="bottom"/>
          </w:tcPr>
          <w:p>
            <w:pPr>
              <w:pStyle w:val="TableContents"/>
              <w:spacing w:before="0" w:after="0"/>
              <w:ind w:left="225" w:right="0" w:hanging="225"/>
              <w:rPr/>
            </w:pPr>
            <w:r>
              <w:rPr/>
              <w:t>Intercompany sales eliminations.</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62" w:type="dxa"/>
            <w:tcBorders/>
            <w:shd w:fill="CCEEFF" w:val="clear"/>
            <w:vAlign w:val="bottom"/>
          </w:tcPr>
          <w:p>
            <w:pPr>
              <w:pStyle w:val="TableContents"/>
              <w:spacing w:before="0" w:after="283"/>
              <w:jc w:val="right"/>
              <w:rPr/>
            </w:pPr>
            <w:r>
              <w:rPr/>
              <w:t>(4,895</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730" w:type="dxa"/>
            <w:tcBorders/>
            <w:shd w:fill="CCEEFF" w:val="clear"/>
            <w:vAlign w:val="bottom"/>
          </w:tcPr>
          <w:p>
            <w:pPr>
              <w:pStyle w:val="TableContents"/>
              <w:spacing w:before="0" w:after="283"/>
              <w:jc w:val="right"/>
              <w:rPr/>
            </w:pPr>
            <w:r>
              <w:rPr/>
              <w:t>(3,133</w:t>
            </w:r>
          </w:p>
        </w:tc>
        <w:tc>
          <w:tcPr>
            <w:tcW w:w="95" w:type="dxa"/>
            <w:tcBorders/>
            <w:shd w:fill="CCEEFF" w:val="clear"/>
            <w:vAlign w:val="bottom"/>
          </w:tcPr>
          <w:p>
            <w:pPr>
              <w:pStyle w:val="TableContents"/>
              <w:spacing w:before="0" w:after="283"/>
              <w:rPr/>
            </w:pPr>
            <w:r>
              <w:rPr/>
              <w:t>)</w:t>
            </w:r>
          </w:p>
        </w:tc>
      </w:tr>
      <w:tr>
        <w:trPr/>
        <w:tc>
          <w:tcPr>
            <w:tcW w:w="407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841"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9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876"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841"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4070" w:type="dxa"/>
            <w:tcBorders/>
            <w:shd w:fill="auto" w:val="clear"/>
            <w:vAlign w:val="bottom"/>
          </w:tcPr>
          <w:p>
            <w:pPr>
              <w:pStyle w:val="TableContents"/>
              <w:spacing w:before="0" w:after="0"/>
              <w:ind w:left="225" w:right="0" w:hanging="225"/>
              <w:rPr/>
            </w:pPr>
            <w:r>
              <w:rPr/>
              <w:t>Consolidated net sales</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762" w:type="dxa"/>
            <w:tcBorders/>
            <w:shd w:fill="auto" w:val="clear"/>
            <w:vAlign w:val="bottom"/>
          </w:tcPr>
          <w:p>
            <w:pPr>
              <w:pStyle w:val="TableContents"/>
              <w:spacing w:before="0" w:after="283"/>
              <w:jc w:val="right"/>
              <w:rPr/>
            </w:pPr>
            <w:r>
              <w:rPr/>
              <w:t>47,671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730" w:type="dxa"/>
            <w:tcBorders/>
            <w:shd w:fill="auto" w:val="clear"/>
            <w:vAlign w:val="bottom"/>
          </w:tcPr>
          <w:p>
            <w:pPr>
              <w:pStyle w:val="TableContents"/>
              <w:spacing w:before="0" w:after="283"/>
              <w:jc w:val="right"/>
              <w:rPr/>
            </w:pPr>
            <w:r>
              <w:rPr/>
              <w:t>49,043</w:t>
            </w:r>
          </w:p>
        </w:tc>
        <w:tc>
          <w:tcPr>
            <w:tcW w:w="95" w:type="dxa"/>
            <w:tcBorders/>
            <w:shd w:fill="auto" w:val="clear"/>
            <w:vAlign w:val="bottom"/>
          </w:tcPr>
          <w:p>
            <w:pPr>
              <w:pStyle w:val="TableContents"/>
              <w:spacing w:before="0" w:after="283"/>
              <w:rPr/>
            </w:pPr>
            <w:r>
              <w:rPr/>
              <w:t> </w:t>
            </w:r>
          </w:p>
        </w:tc>
      </w:tr>
      <w:tr>
        <w:trPr/>
        <w:tc>
          <w:tcPr>
            <w:tcW w:w="407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841"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9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876"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163"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841"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bl>
    <w:p>
      <w:pPr>
        <w:pStyle w:val="TextBody"/>
        <w:jc w:val="left"/>
        <w:rPr/>
      </w:pPr>
      <w:r>
        <w:rPr/>
        <w:t>     </w:t>
      </w:r>
      <w:r>
        <w:rPr>
          <w:rFonts w:ascii="Times New Roman;Times;serif" w:hAnsi="Times New Roman;Times;serif"/>
          <w:b/>
          <w:sz w:val="17"/>
        </w:rPr>
        <w:t>3. Inventories</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Inventories consist of the following (in thousands): </w:t>
      </w:r>
    </w:p>
    <w:tbl>
      <w:tblPr>
        <w:tblW w:w="5000" w:type="pct"/>
        <w:jc w:val="center"/>
        <w:tblInd w:w="0" w:type="dxa"/>
        <w:tblCellMar>
          <w:top w:w="0" w:type="dxa"/>
          <w:left w:w="0" w:type="dxa"/>
          <w:bottom w:w="0" w:type="dxa"/>
          <w:right w:w="0" w:type="dxa"/>
        </w:tblCellMar>
      </w:tblPr>
      <w:tblGrid>
        <w:gridCol w:w="6904"/>
        <w:gridCol w:w="277"/>
        <w:gridCol w:w="213"/>
        <w:gridCol w:w="1050"/>
        <w:gridCol w:w="117"/>
        <w:gridCol w:w="277"/>
        <w:gridCol w:w="210"/>
        <w:gridCol w:w="1034"/>
        <w:gridCol w:w="123"/>
      </w:tblGrid>
      <w:tr>
        <w:trPr/>
        <w:tc>
          <w:tcPr>
            <w:tcW w:w="690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690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263" w:type="dxa"/>
            <w:gridSpan w:val="2"/>
            <w:tcBorders/>
            <w:shd w:fill="auto" w:val="clear"/>
            <w:vAlign w:val="bottom"/>
          </w:tcPr>
          <w:p>
            <w:pPr>
              <w:pStyle w:val="TableContents"/>
              <w:spacing w:before="0" w:after="283"/>
              <w:jc w:val="center"/>
              <w:rPr>
                <w:b/>
              </w:rPr>
            </w:pPr>
            <w:r>
              <w:rPr>
                <w:b/>
              </w:rPr>
              <w:t>January 31,</w:t>
            </w:r>
          </w:p>
        </w:tc>
        <w:tc>
          <w:tcPr>
            <w:tcW w:w="117"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283"/>
              <w:jc w:val="center"/>
              <w:rPr>
                <w:b/>
              </w:rPr>
            </w:pPr>
            <w:r>
              <w:rPr>
                <w:b/>
              </w:rPr>
              <w:t>October 31,</w:t>
            </w:r>
          </w:p>
        </w:tc>
        <w:tc>
          <w:tcPr>
            <w:tcW w:w="123" w:type="dxa"/>
            <w:tcBorders/>
            <w:shd w:fill="auto" w:val="clear"/>
            <w:vAlign w:val="bottom"/>
          </w:tcPr>
          <w:p>
            <w:pPr>
              <w:pStyle w:val="TableContents"/>
              <w:spacing w:before="0" w:after="283"/>
              <w:rPr/>
            </w:pPr>
            <w:r>
              <w:rPr/>
              <w:t> </w:t>
            </w:r>
          </w:p>
        </w:tc>
      </w:tr>
      <w:tr>
        <w:trPr/>
        <w:tc>
          <w:tcPr>
            <w:tcW w:w="6904"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2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7"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2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23" w:type="dxa"/>
            <w:tcBorders/>
            <w:shd w:fill="auto" w:val="clear"/>
            <w:vAlign w:val="bottom"/>
          </w:tcPr>
          <w:p>
            <w:pPr>
              <w:pStyle w:val="TableContents"/>
              <w:spacing w:before="0" w:after="283"/>
              <w:rPr/>
            </w:pPr>
            <w:r>
              <w:rPr/>
              <w:t> </w:t>
            </w:r>
          </w:p>
        </w:tc>
      </w:tr>
      <w:tr>
        <w:trPr/>
        <w:tc>
          <w:tcPr>
            <w:tcW w:w="6904" w:type="dxa"/>
            <w:tcBorders/>
            <w:shd w:fill="CCEEFF" w:val="clear"/>
            <w:vAlign w:val="bottom"/>
          </w:tcPr>
          <w:p>
            <w:pPr>
              <w:pStyle w:val="TableContents"/>
              <w:spacing w:before="0" w:after="0"/>
              <w:ind w:left="225" w:right="0" w:hanging="225"/>
              <w:rPr/>
            </w:pPr>
            <w:r>
              <w:rPr/>
              <w:t>Fresh fruit</w:t>
            </w:r>
          </w:p>
        </w:tc>
        <w:tc>
          <w:tcPr>
            <w:tcW w:w="277"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050" w:type="dxa"/>
            <w:tcBorders/>
            <w:shd w:fill="CCEEFF" w:val="clear"/>
            <w:vAlign w:val="bottom"/>
          </w:tcPr>
          <w:p>
            <w:pPr>
              <w:pStyle w:val="TableContents"/>
              <w:spacing w:before="0" w:after="283"/>
              <w:jc w:val="right"/>
              <w:rPr/>
            </w:pPr>
            <w:r>
              <w:rPr/>
              <w:t>3,661</w:t>
            </w:r>
          </w:p>
        </w:tc>
        <w:tc>
          <w:tcPr>
            <w:tcW w:w="117"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4" w:type="dxa"/>
            <w:tcBorders/>
            <w:shd w:fill="CCEEFF" w:val="clear"/>
            <w:vAlign w:val="bottom"/>
          </w:tcPr>
          <w:p>
            <w:pPr>
              <w:pStyle w:val="TableContents"/>
              <w:spacing w:before="0" w:after="283"/>
              <w:jc w:val="right"/>
              <w:rPr/>
            </w:pPr>
            <w:r>
              <w:rPr/>
              <w:t>3,424</w:t>
            </w:r>
          </w:p>
        </w:tc>
        <w:tc>
          <w:tcPr>
            <w:tcW w:w="123" w:type="dxa"/>
            <w:tcBorders/>
            <w:shd w:fill="CCEEFF" w:val="clear"/>
            <w:vAlign w:val="bottom"/>
          </w:tcPr>
          <w:p>
            <w:pPr>
              <w:pStyle w:val="TableContents"/>
              <w:spacing w:before="0" w:after="283"/>
              <w:rPr/>
            </w:pPr>
            <w:r>
              <w:rPr/>
              <w:t> </w:t>
            </w:r>
          </w:p>
        </w:tc>
      </w:tr>
      <w:tr>
        <w:trPr/>
        <w:tc>
          <w:tcPr>
            <w:tcW w:w="6904" w:type="dxa"/>
            <w:tcBorders/>
            <w:shd w:fill="auto" w:val="clear"/>
            <w:vAlign w:val="bottom"/>
          </w:tcPr>
          <w:p>
            <w:pPr>
              <w:pStyle w:val="TableContents"/>
              <w:spacing w:before="0" w:after="0"/>
              <w:ind w:left="225" w:right="0" w:hanging="225"/>
              <w:rPr/>
            </w:pPr>
            <w:r>
              <w:rPr/>
              <w:t>Packing supplies and ingredients</w:t>
            </w:r>
          </w:p>
        </w:tc>
        <w:tc>
          <w:tcPr>
            <w:tcW w:w="277"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right"/>
              <w:rPr/>
            </w:pPr>
            <w:r>
              <w:rPr/>
              <w:t>2,040</w:t>
            </w:r>
          </w:p>
        </w:tc>
        <w:tc>
          <w:tcPr>
            <w:tcW w:w="117"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2,081</w:t>
            </w:r>
          </w:p>
        </w:tc>
        <w:tc>
          <w:tcPr>
            <w:tcW w:w="123" w:type="dxa"/>
            <w:tcBorders/>
            <w:shd w:fill="auto" w:val="clear"/>
            <w:vAlign w:val="bottom"/>
          </w:tcPr>
          <w:p>
            <w:pPr>
              <w:pStyle w:val="TableContents"/>
              <w:spacing w:before="0" w:after="283"/>
              <w:rPr/>
            </w:pPr>
            <w:r>
              <w:rPr/>
              <w:t> </w:t>
            </w:r>
          </w:p>
        </w:tc>
      </w:tr>
      <w:tr>
        <w:trPr/>
        <w:tc>
          <w:tcPr>
            <w:tcW w:w="6904" w:type="dxa"/>
            <w:tcBorders/>
            <w:shd w:fill="CCEEFF" w:val="clear"/>
            <w:vAlign w:val="bottom"/>
          </w:tcPr>
          <w:p>
            <w:pPr>
              <w:pStyle w:val="TableContents"/>
              <w:spacing w:before="0" w:after="0"/>
              <w:ind w:left="225" w:right="0" w:hanging="225"/>
              <w:rPr/>
            </w:pPr>
            <w:r>
              <w:rPr/>
              <w:t>Finished processed foods</w:t>
            </w:r>
          </w:p>
        </w:tc>
        <w:tc>
          <w:tcPr>
            <w:tcW w:w="277"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right"/>
              <w:rPr/>
            </w:pPr>
            <w:r>
              <w:rPr/>
              <w:t>5,572</w:t>
            </w:r>
          </w:p>
        </w:tc>
        <w:tc>
          <w:tcPr>
            <w:tcW w:w="117"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5,870</w:t>
            </w:r>
          </w:p>
        </w:tc>
        <w:tc>
          <w:tcPr>
            <w:tcW w:w="123" w:type="dxa"/>
            <w:tcBorders/>
            <w:shd w:fill="CCEEFF" w:val="clear"/>
            <w:vAlign w:val="bottom"/>
          </w:tcPr>
          <w:p>
            <w:pPr>
              <w:pStyle w:val="TableContents"/>
              <w:spacing w:before="0" w:after="283"/>
              <w:rPr/>
            </w:pPr>
            <w:r>
              <w:rPr/>
              <w:t> </w:t>
            </w:r>
          </w:p>
        </w:tc>
      </w:tr>
      <w:tr>
        <w:trPr/>
        <w:tc>
          <w:tcPr>
            <w:tcW w:w="6904" w:type="dxa"/>
            <w:tcBorders/>
            <w:shd w:fill="auto" w:val="clear"/>
            <w:vAlign w:val="center"/>
          </w:tcPr>
          <w:p>
            <w:pPr>
              <w:pStyle w:val="TableContents"/>
              <w:spacing w:before="0" w:after="0"/>
              <w:ind w:left="225" w:right="0" w:hanging="225"/>
              <w:rPr/>
            </w:pPr>
            <w:r>
              <w:rPr/>
              <w:t> </w:t>
            </w:r>
          </w:p>
        </w:tc>
        <w:tc>
          <w:tcPr>
            <w:tcW w:w="277"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 </w:t>
            </w:r>
          </w:p>
        </w:tc>
        <w:tc>
          <w:tcPr>
            <w:tcW w:w="12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6904" w:type="dxa"/>
            <w:tcBorders/>
            <w:shd w:fill="auto" w:val="clear"/>
            <w:vAlign w:val="bottom"/>
          </w:tcPr>
          <w:p>
            <w:pPr>
              <w:pStyle w:val="TableContents"/>
              <w:spacing w:before="0" w:after="0"/>
              <w:ind w:left="225" w:right="0" w:hanging="225"/>
              <w:rPr/>
            </w:pPr>
            <w:r>
              <w:rPr/>
              <w:t> </w:t>
            </w:r>
          </w:p>
        </w:tc>
        <w:tc>
          <w:tcPr>
            <w:tcW w:w="277"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050" w:type="dxa"/>
            <w:tcBorders/>
            <w:shd w:fill="auto" w:val="clear"/>
            <w:vAlign w:val="bottom"/>
          </w:tcPr>
          <w:p>
            <w:pPr>
              <w:pStyle w:val="TableContents"/>
              <w:spacing w:before="0" w:after="283"/>
              <w:jc w:val="right"/>
              <w:rPr/>
            </w:pPr>
            <w:r>
              <w:rPr/>
              <w:t>11,273</w:t>
            </w:r>
          </w:p>
        </w:tc>
        <w:tc>
          <w:tcPr>
            <w:tcW w:w="117"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4" w:type="dxa"/>
            <w:tcBorders/>
            <w:shd w:fill="auto" w:val="clear"/>
            <w:vAlign w:val="bottom"/>
          </w:tcPr>
          <w:p>
            <w:pPr>
              <w:pStyle w:val="TableContents"/>
              <w:spacing w:before="0" w:after="283"/>
              <w:jc w:val="right"/>
              <w:rPr/>
            </w:pPr>
            <w:r>
              <w:rPr/>
              <w:t>11,375</w:t>
            </w:r>
          </w:p>
        </w:tc>
        <w:tc>
          <w:tcPr>
            <w:tcW w:w="123" w:type="dxa"/>
            <w:tcBorders/>
            <w:shd w:fill="auto" w:val="clear"/>
            <w:vAlign w:val="bottom"/>
          </w:tcPr>
          <w:p>
            <w:pPr>
              <w:pStyle w:val="TableContents"/>
              <w:spacing w:before="0" w:after="283"/>
              <w:rPr/>
            </w:pPr>
            <w:r>
              <w:rPr/>
              <w:t> </w:t>
            </w:r>
          </w:p>
        </w:tc>
      </w:tr>
      <w:tr>
        <w:trPr/>
        <w:tc>
          <w:tcPr>
            <w:tcW w:w="6904" w:type="dxa"/>
            <w:tcBorders/>
            <w:shd w:fill="auto" w:val="clear"/>
            <w:vAlign w:val="center"/>
          </w:tcPr>
          <w:p>
            <w:pPr>
              <w:pStyle w:val="TableContents"/>
              <w:spacing w:before="0" w:after="0"/>
              <w:ind w:left="225" w:right="0" w:hanging="225"/>
              <w:rPr/>
            </w:pPr>
            <w:r>
              <w:rPr/>
              <w:t> </w:t>
            </w:r>
          </w:p>
        </w:tc>
        <w:tc>
          <w:tcPr>
            <w:tcW w:w="277" w:type="dxa"/>
            <w:tcBorders/>
            <w:shd w:fill="auto" w:val="clear"/>
            <w:vAlign w:val="center"/>
          </w:tcPr>
          <w:p>
            <w:pPr>
              <w:pStyle w:val="TableContents"/>
              <w:spacing w:before="0" w:after="283"/>
              <w:rPr/>
            </w:pPr>
            <w:r>
              <w:rPr/>
              <w:t> </w:t>
            </w:r>
          </w:p>
        </w:tc>
        <w:tc>
          <w:tcPr>
            <w:tcW w:w="12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 </w:t>
            </w:r>
          </w:p>
        </w:tc>
        <w:tc>
          <w:tcPr>
            <w:tcW w:w="12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bl>
    <w:p>
      <w:pPr>
        <w:pStyle w:val="TextBody"/>
        <w:jc w:val="left"/>
        <w:rPr/>
      </w:pPr>
      <w:r>
        <w:rPr/>
        <w:t>     </w:t>
      </w:r>
      <w:r>
        <w:rPr>
          <w:rFonts w:ascii="Times New Roman;Times;serif" w:hAnsi="Times New Roman;Times;serif"/>
          <w:sz w:val="17"/>
        </w:rPr>
        <w:t xml:space="preserve">During the three month periods ended January 31, 2005 and 2004, we were not required to, and did not, record any provisions to reduce our inventories to the lower of cost or market.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b/>
          <w:sz w:val="17"/>
        </w:rPr>
        <w:t>NOTES TO CONSOLIDATED CONDENSED FINANCIAL STATEMENTS (UNAUDITED)</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b/>
          <w:sz w:val="17"/>
        </w:rPr>
        <w:t>4. Related Party transactions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We sell papayas obtained from an entity owned by our Chairman of the Board of Directors, Chief Executive Officer and President. Sales of papayas procured from the related entity amounted to approximately $1,820,000 and $1,640,000 for the three months ended January 31, 2005 and 2004, resulting in gross margins of approximately $261,000 and $183,000. Net amounts due to this entity approximated $91,000 and $113,000 at January 31, 2005 and October 31, 2004. </w:t>
      </w:r>
    </w:p>
    <w:p>
      <w:pPr>
        <w:pStyle w:val="TextBody"/>
        <w:jc w:val="left"/>
        <w:rPr/>
      </w:pPr>
      <w:r>
        <w:rPr/>
        <w:t>     </w:t>
      </w:r>
      <w:r>
        <w:rPr>
          <w:rFonts w:ascii="Times New Roman;Times;serif" w:hAnsi="Times New Roman;Times;serif"/>
          <w:sz w:val="17"/>
        </w:rPr>
        <w:t xml:space="preserve">Certain members of our Board of Directors market avocados through Calavo pursuant to marketing agreements substantially similar to the marketing agreements that we enter into with other growers. During the three months ended January 31, 2005 and 2004, the aggregate amount of avocados procured from entities owned or controlled by members of our Board of Directors was approximately $383,000 and $403,000. </w:t>
      </w:r>
    </w:p>
    <w:p>
      <w:pPr>
        <w:pStyle w:val="TextBody"/>
        <w:jc w:val="left"/>
        <w:rPr>
          <w:rFonts w:ascii="Times New Roman;Times;serif" w:hAnsi="Times New Roman;Times;serif"/>
          <w:sz w:val="17"/>
        </w:rPr>
      </w:pPr>
      <w:r>
        <w:rPr>
          <w:rFonts w:ascii="Times New Roman;Times;serif" w:hAnsi="Times New Roman;Times;serif"/>
          <w:b/>
          <w:sz w:val="17"/>
        </w:rPr>
        <w:t>5. Other assets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Included in other assets in the accompanying consolidated financial statements are the following intangible assets: customer-related intangibles of $590,000 (accumulated amortization of $118,000 at January 31, 2005), brand name intangibles of $275,000 and other identified intangibles totaling $2,000 (accumulated amortization of $1,200 at January 31, 2005). The customer-related intangibles and other identified intangibles are being amortized over five and two years. The intangible asset related to the brand name currently has an indefinite remaining useful life and, as a result, is not currently subject to amortization. We anticipate recording amortization expense of approximately $89,000 for the remainder of fiscal 2005 and approximately $119,000 per annum for fiscal 2006 through fiscal 2008, with the remaining amortization expense of approximately $27,000 recorded in fiscal 2009. </w:t>
      </w:r>
    </w:p>
    <w:p>
      <w:pPr>
        <w:pStyle w:val="TextBody"/>
        <w:jc w:val="left"/>
        <w:rPr>
          <w:rFonts w:ascii="Times New Roman;Times;serif" w:hAnsi="Times New Roman;Times;serif"/>
          <w:sz w:val="17"/>
        </w:rPr>
      </w:pPr>
      <w:r>
        <w:rPr>
          <w:rFonts w:ascii="Times New Roman;Times;serif" w:hAnsi="Times New Roman;Times;serif"/>
          <w:b/>
          <w:sz w:val="17"/>
        </w:rPr>
        <w:t>6. Other events</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i/>
          <w:sz w:val="17"/>
        </w:rPr>
        <w:t>Dividend payment</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On January 3, 2005, we paid a $0.30 per share dividend in the aggregate amount of $4,052,000 to shareholders of record on November 15, 2004. </w:t>
      </w:r>
    </w:p>
    <w:p>
      <w:pPr>
        <w:pStyle w:val="TextBody"/>
        <w:jc w:val="left"/>
        <w:rPr>
          <w:rFonts w:ascii="Times New Roman;Times;serif" w:hAnsi="Times New Roman;Times;serif"/>
          <w:sz w:val="17"/>
        </w:rPr>
      </w:pPr>
      <w:r>
        <w:rPr>
          <w:rFonts w:ascii="Times New Roman;Times;serif" w:hAnsi="Times New Roman;Times;serif"/>
          <w:i/>
          <w:sz w:val="17"/>
        </w:rPr>
        <w:t>Contingencies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As previously reported, we are currently under examination by the Internal Revenue Service for the years ended October 31, 2002 and October 31, 2003, as well as the Mexican tax authorities (Hacienda) for the tax year ended December 31, 2000. During the first quarter of fiscal 2005, we received an assessment totaling approximately $2,000,000 from Hacienda related to the amount of income at our Mexican subsidiary. Based primarily on discussions with legal counsel, we believe that Haciendas position has no merit and that the Company will prevail. Accordingly, no amounts have been provided in the financial statements as of January 31, 2005. We are also involved in litigation arising in the ordinary course of our business that we do not believe will have a material adverse impact on our financial statements. </w:t>
      </w:r>
    </w:p>
    <w:p>
      <w:pPr>
        <w:pStyle w:val="TextBody"/>
        <w:jc w:val="left"/>
        <w:rPr>
          <w:rFonts w:ascii="Times New Roman;Times;serif" w:hAnsi="Times New Roman;Times;serif"/>
          <w:sz w:val="17"/>
        </w:rPr>
      </w:pPr>
      <w:r>
        <w:rPr>
          <w:rFonts w:ascii="Times New Roman;Times;serif" w:hAnsi="Times New Roman;Times;serif"/>
          <w:b/>
          <w:sz w:val="17"/>
        </w:rPr>
        <w:t>7. Processed product segment restructuring</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In February 2003, our Board of Directors approved a plan whereby the operations of our processed products business would be relocated. The plan called for the closing of our Santa Paula, California and Mexicali, Baja California Norte processing facilities and the relocation of these operations to a new facility in Uruapan, Michoacan, Mexico. We believe that this restructuring will provide cost savings in the elimination of certain transportation costs, duplicative overhead structures, and savings in the overall cost of labor and services. The Uruapan facility commenced operations in February 2004 and the Santa Paula and Mexicali facilities were closed in February 2003 and August 2004. For our first fiscal quarter 2005, we incurred costs related to this restructuring approximating $437,000, which is recorded in our income statement as both cost of sales ($298,000) and selling, general and administrative expenses ($139,000). We do not expect any additional costs related to this restructuring.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bookmarkStart w:id="9" w:name="107"/>
      <w:bookmarkEnd w:id="9"/>
      <w:r>
        <w:rPr>
          <w:rFonts w:ascii="Times New Roman;Times;serif" w:hAnsi="Times New Roman;Times;serif"/>
          <w:b/>
          <w:sz w:val="17"/>
        </w:rPr>
        <w:t>ITEM 2. MANAGEMENTS DISCUSSION AND ANALYSIS OF FINANCIAL CONDITION AND RESULTS OF OPERATIONS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year ended October 31, 2004 of Calavo Growers, Inc. (we, Calavo, or the Company). Certain prior year amounts have been reclassified to conform with the current period presentation. </w:t>
      </w:r>
    </w:p>
    <w:p>
      <w:pPr>
        <w:pStyle w:val="TextBody"/>
        <w:jc w:val="left"/>
        <w:rPr>
          <w:rFonts w:ascii="Times New Roman;Times;serif" w:hAnsi="Times New Roman;Times;serif"/>
          <w:sz w:val="17"/>
        </w:rPr>
      </w:pPr>
      <w:r>
        <w:rPr>
          <w:rFonts w:ascii="Times New Roman;Times;serif" w:hAnsi="Times New Roman;Times;serif"/>
          <w:b/>
          <w:i/>
          <w:sz w:val="17"/>
        </w:rPr>
        <w:t>Recent Developments</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i/>
          <w:sz w:val="17"/>
        </w:rPr>
        <w:t>Dividend payment</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On January 3, 2005, we paid a $0.30 per share dividend in the aggregate amount of $4,052,000 to shareholders of record on November 15, 2004. </w:t>
      </w:r>
    </w:p>
    <w:p>
      <w:pPr>
        <w:pStyle w:val="TextBody"/>
        <w:jc w:val="left"/>
        <w:rPr>
          <w:rFonts w:ascii="Times New Roman;Times;serif" w:hAnsi="Times New Roman;Times;serif"/>
          <w:sz w:val="17"/>
        </w:rPr>
      </w:pPr>
      <w:r>
        <w:rPr>
          <w:rFonts w:ascii="Times New Roman;Times;serif" w:hAnsi="Times New Roman;Times;serif"/>
          <w:i/>
          <w:sz w:val="17"/>
        </w:rPr>
        <w:t>Contingencies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As previously reported, we are currently under examination by the Internal Revenue Service for the years ended October 31, 2002 and October 31, 2003, as well as the Mexican tax authorities (Hacienda) for the tax year ended December 31, 2000. During the first quarter of fiscal 2005, we received an assessment totaling approximately $2,000,000 from Hacienda related to the amount of income at our Mexican subsidiary. Based primarily on discussions with legal counsel, we believe that Haciendas position has no merit and that the Company will prevail. Accordingly, no amounts have been provided in the financial statements as of January 31, 2005. We are also involved in litigation arising in the ordinary course of our business that we do not believe will have a material adverse impact on our financial statements. </w:t>
      </w:r>
    </w:p>
    <w:p>
      <w:pPr>
        <w:pStyle w:val="TextBody"/>
        <w:jc w:val="left"/>
        <w:rPr>
          <w:rFonts w:ascii="Times New Roman;Times;serif" w:hAnsi="Times New Roman;Times;serif"/>
          <w:sz w:val="17"/>
        </w:rPr>
      </w:pPr>
      <w:r>
        <w:rPr>
          <w:rFonts w:ascii="Times New Roman;Times;serif" w:hAnsi="Times New Roman;Times;serif"/>
          <w:i/>
          <w:sz w:val="17"/>
        </w:rPr>
        <w:t>Processed product segment restructuring</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In February 2003, our Board of Directors approved a plan whereby the operations of our processed products business would be relocated. The plan called for the closing of our Santa Paula, California and Mexicali, Baja California Norte processing facilities and the relocation of these operations to a new facility in Uruapan, Michoacan, Mexico. We believe that this restructuring will provide cost savings in the elimination of certain transportation costs, duplicative overhead structures, and savings in the overall cost of labor and services. The Uruapan facility commenced operations in February 2004 and the Santa Paula and Mexicali facilities were closed in February 2003 and August 2004. For our first fiscal quarter 2005, we incurred costs related to this restructuring approximating $437,000, which is recorded in our income statement as both cost of sales ($298,000) and selling, general and administrative expenses ($139,000). We do not expect any additional costs related to this restructuring.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r>
        <w:rPr>
          <w:rFonts w:ascii="Times New Roman;Times;serif" w:hAnsi="Times New Roman;Times;serif"/>
          <w:b/>
          <w:i/>
          <w:sz w:val="17"/>
        </w:rPr>
        <w:t>Net Sales</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The following table summarizes our net sales by business segment: </w:t>
      </w:r>
    </w:p>
    <w:tbl>
      <w:tblPr>
        <w:tblW w:w="5000" w:type="pct"/>
        <w:jc w:val="center"/>
        <w:tblInd w:w="0" w:type="dxa"/>
        <w:tblCellMar>
          <w:top w:w="0" w:type="dxa"/>
          <w:left w:w="0" w:type="dxa"/>
          <w:bottom w:w="0" w:type="dxa"/>
          <w:right w:w="0" w:type="dxa"/>
        </w:tblCellMar>
      </w:tblPr>
      <w:tblGrid>
        <w:gridCol w:w="5290"/>
        <w:gridCol w:w="224"/>
        <w:gridCol w:w="197"/>
        <w:gridCol w:w="968"/>
        <w:gridCol w:w="272"/>
        <w:gridCol w:w="233"/>
        <w:gridCol w:w="128"/>
        <w:gridCol w:w="900"/>
        <w:gridCol w:w="346"/>
        <w:gridCol w:w="233"/>
        <w:gridCol w:w="197"/>
        <w:gridCol w:w="973"/>
        <w:gridCol w:w="244"/>
      </w:tblGrid>
      <w:tr>
        <w:trPr/>
        <w:tc>
          <w:tcPr>
            <w:tcW w:w="529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7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r>
      <w:tr>
        <w:trPr/>
        <w:tc>
          <w:tcPr>
            <w:tcW w:w="529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4447"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w:t>
            </w:r>
          </w:p>
        </w:tc>
        <w:tc>
          <w:tcPr>
            <w:tcW w:w="244" w:type="dxa"/>
            <w:tcBorders/>
            <w:shd w:fill="auto" w:val="clear"/>
            <w:vAlign w:val="bottom"/>
          </w:tcPr>
          <w:p>
            <w:pPr>
              <w:pStyle w:val="TableContents"/>
              <w:spacing w:before="0" w:after="283"/>
              <w:rPr/>
            </w:pPr>
            <w:r>
              <w:rPr/>
              <w:t> </w:t>
            </w:r>
          </w:p>
        </w:tc>
      </w:tr>
      <w:tr>
        <w:trPr/>
        <w:tc>
          <w:tcPr>
            <w:tcW w:w="5290"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224" w:type="dxa"/>
            <w:tcBorders/>
            <w:shd w:fill="auto" w:val="clear"/>
            <w:vAlign w:val="bottom"/>
          </w:tcPr>
          <w:p>
            <w:pPr>
              <w:pStyle w:val="TableContents"/>
              <w:spacing w:before="0" w:after="283"/>
              <w:rPr/>
            </w:pPr>
            <w:r>
              <w:rPr/>
              <w:t> </w:t>
            </w:r>
          </w:p>
        </w:tc>
        <w:tc>
          <w:tcPr>
            <w:tcW w:w="116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7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02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4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17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44" w:type="dxa"/>
            <w:tcBorders/>
            <w:shd w:fill="auto" w:val="clear"/>
            <w:vAlign w:val="bottom"/>
          </w:tcPr>
          <w:p>
            <w:pPr>
              <w:pStyle w:val="TableContents"/>
              <w:spacing w:before="0" w:after="283"/>
              <w:rPr/>
            </w:pPr>
            <w:r>
              <w:rPr/>
              <w:t> </w:t>
            </w:r>
          </w:p>
        </w:tc>
      </w:tr>
      <w:tr>
        <w:trPr/>
        <w:tc>
          <w:tcPr>
            <w:tcW w:w="5290" w:type="dxa"/>
            <w:tcBorders/>
            <w:shd w:fill="CCEEFF" w:val="clear"/>
            <w:vAlign w:val="bottom"/>
          </w:tcPr>
          <w:p>
            <w:pPr>
              <w:pStyle w:val="TableContents"/>
              <w:spacing w:before="0" w:after="0"/>
              <w:ind w:left="225" w:right="0" w:hanging="225"/>
              <w:rPr/>
            </w:pPr>
            <w:r>
              <w:rPr/>
              <w:t>Net sales:</w:t>
            </w:r>
          </w:p>
        </w:tc>
        <w:tc>
          <w:tcPr>
            <w:tcW w:w="22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7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r>
      <w:tr>
        <w:trPr/>
        <w:tc>
          <w:tcPr>
            <w:tcW w:w="5290" w:type="dxa"/>
            <w:tcBorders/>
            <w:shd w:fill="auto" w:val="clear"/>
            <w:vAlign w:val="bottom"/>
          </w:tcPr>
          <w:p>
            <w:pPr>
              <w:pStyle w:val="TableContents"/>
              <w:spacing w:before="0" w:after="0"/>
              <w:ind w:left="450" w:right="0" w:hanging="225"/>
              <w:rPr/>
            </w:pPr>
            <w:r>
              <w:rPr/>
              <w:t>California avocados</w:t>
            </w:r>
          </w:p>
        </w:tc>
        <w:tc>
          <w:tcPr>
            <w:tcW w:w="22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968" w:type="dxa"/>
            <w:tcBorders/>
            <w:shd w:fill="auto" w:val="clear"/>
            <w:vAlign w:val="bottom"/>
          </w:tcPr>
          <w:p>
            <w:pPr>
              <w:pStyle w:val="TableContents"/>
              <w:spacing w:before="0" w:after="283"/>
              <w:jc w:val="right"/>
              <w:rPr/>
            </w:pPr>
            <w:r>
              <w:rPr/>
              <w:t>8,677</w:t>
            </w:r>
          </w:p>
        </w:tc>
        <w:tc>
          <w:tcPr>
            <w:tcW w:w="27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jc w:val="left"/>
              <w:rPr/>
            </w:pPr>
            <w:r>
              <w:rPr/>
              <w:t> </w:t>
            </w:r>
          </w:p>
        </w:tc>
        <w:tc>
          <w:tcPr>
            <w:tcW w:w="900" w:type="dxa"/>
            <w:tcBorders/>
            <w:shd w:fill="auto" w:val="clear"/>
            <w:vAlign w:val="bottom"/>
          </w:tcPr>
          <w:p>
            <w:pPr>
              <w:pStyle w:val="TableContents"/>
              <w:spacing w:before="0" w:after="283"/>
              <w:jc w:val="right"/>
              <w:rPr/>
            </w:pPr>
            <w:r>
              <w:rPr/>
              <w:t>(15.2</w:t>
            </w:r>
          </w:p>
        </w:tc>
        <w:tc>
          <w:tcPr>
            <w:tcW w:w="346" w:type="dxa"/>
            <w:tcBorders/>
            <w:shd w:fill="auto" w:val="clear"/>
            <w:vAlign w:val="bottom"/>
          </w:tcPr>
          <w:p>
            <w:pPr>
              <w:pStyle w:val="TableContents"/>
              <w:spacing w:before="0" w:after="283"/>
              <w:rPr/>
            </w:pPr>
            <w:r>
              <w:rPr/>
              <w:t>)%</w:t>
            </w:r>
          </w:p>
        </w:tc>
        <w:tc>
          <w:tcPr>
            <w:tcW w:w="233"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973" w:type="dxa"/>
            <w:tcBorders/>
            <w:shd w:fill="auto" w:val="clear"/>
            <w:vAlign w:val="bottom"/>
          </w:tcPr>
          <w:p>
            <w:pPr>
              <w:pStyle w:val="TableContents"/>
              <w:spacing w:before="0" w:after="283"/>
              <w:jc w:val="right"/>
              <w:rPr/>
            </w:pPr>
            <w:r>
              <w:rPr/>
              <w:t>10,228</w:t>
            </w:r>
          </w:p>
        </w:tc>
        <w:tc>
          <w:tcPr>
            <w:tcW w:w="244" w:type="dxa"/>
            <w:tcBorders/>
            <w:shd w:fill="auto" w:val="clear"/>
            <w:vAlign w:val="bottom"/>
          </w:tcPr>
          <w:p>
            <w:pPr>
              <w:pStyle w:val="TableContents"/>
              <w:spacing w:before="0" w:after="283"/>
              <w:rPr/>
            </w:pPr>
            <w:r>
              <w:rPr/>
              <w:t> </w:t>
            </w:r>
          </w:p>
        </w:tc>
      </w:tr>
      <w:tr>
        <w:trPr/>
        <w:tc>
          <w:tcPr>
            <w:tcW w:w="5290" w:type="dxa"/>
            <w:tcBorders/>
            <w:shd w:fill="CCEEFF" w:val="clear"/>
            <w:vAlign w:val="bottom"/>
          </w:tcPr>
          <w:p>
            <w:pPr>
              <w:pStyle w:val="TableContents"/>
              <w:spacing w:before="0" w:after="0"/>
              <w:ind w:left="450" w:right="0" w:hanging="225"/>
              <w:rPr/>
            </w:pPr>
            <w:r>
              <w:rPr/>
              <w:t>International avocados and perishable food products</w:t>
            </w:r>
          </w:p>
        </w:tc>
        <w:tc>
          <w:tcPr>
            <w:tcW w:w="22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pPr>
            <w:r>
              <w:rPr/>
              <w:t>36,387</w:t>
            </w:r>
          </w:p>
        </w:tc>
        <w:tc>
          <w:tcPr>
            <w:tcW w:w="272"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900" w:type="dxa"/>
            <w:tcBorders/>
            <w:shd w:fill="CCEEFF" w:val="clear"/>
            <w:vAlign w:val="bottom"/>
          </w:tcPr>
          <w:p>
            <w:pPr>
              <w:pStyle w:val="TableContents"/>
              <w:spacing w:before="0" w:after="283"/>
              <w:jc w:val="right"/>
              <w:rPr/>
            </w:pPr>
            <w:r>
              <w:rPr/>
              <w:t>4.3</w:t>
            </w:r>
          </w:p>
        </w:tc>
        <w:tc>
          <w:tcPr>
            <w:tcW w:w="346" w:type="dxa"/>
            <w:tcBorders/>
            <w:shd w:fill="CCEEFF" w:val="clear"/>
            <w:vAlign w:val="bottom"/>
          </w:tcPr>
          <w:p>
            <w:pPr>
              <w:pStyle w:val="TableContents"/>
              <w:spacing w:before="0" w:after="283"/>
              <w:rPr/>
            </w:pPr>
            <w:r>
              <w:rPr/>
              <w:t>%</w:t>
            </w:r>
          </w:p>
        </w:tc>
        <w:tc>
          <w:tcPr>
            <w:tcW w:w="233"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73" w:type="dxa"/>
            <w:tcBorders/>
            <w:shd w:fill="CCEEFF" w:val="clear"/>
            <w:vAlign w:val="bottom"/>
          </w:tcPr>
          <w:p>
            <w:pPr>
              <w:pStyle w:val="TableContents"/>
              <w:spacing w:before="0" w:after="283"/>
              <w:jc w:val="right"/>
              <w:rPr/>
            </w:pPr>
            <w:r>
              <w:rPr/>
              <w:t>34,888</w:t>
            </w:r>
          </w:p>
        </w:tc>
        <w:tc>
          <w:tcPr>
            <w:tcW w:w="244" w:type="dxa"/>
            <w:tcBorders/>
            <w:shd w:fill="CCEEFF" w:val="clear"/>
            <w:vAlign w:val="bottom"/>
          </w:tcPr>
          <w:p>
            <w:pPr>
              <w:pStyle w:val="TableContents"/>
              <w:spacing w:before="0" w:after="283"/>
              <w:rPr/>
            </w:pPr>
            <w:r>
              <w:rPr/>
              <w:t> </w:t>
            </w:r>
          </w:p>
        </w:tc>
      </w:tr>
      <w:tr>
        <w:trPr/>
        <w:tc>
          <w:tcPr>
            <w:tcW w:w="5290" w:type="dxa"/>
            <w:tcBorders/>
            <w:shd w:fill="auto" w:val="clear"/>
            <w:vAlign w:val="bottom"/>
          </w:tcPr>
          <w:p>
            <w:pPr>
              <w:pStyle w:val="TableContents"/>
              <w:spacing w:before="0" w:after="0"/>
              <w:ind w:left="450" w:right="0" w:hanging="225"/>
              <w:rPr/>
            </w:pPr>
            <w:r>
              <w:rPr/>
              <w:t>Processed products</w:t>
            </w:r>
          </w:p>
        </w:tc>
        <w:tc>
          <w:tcPr>
            <w:tcW w:w="22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jc w:val="right"/>
              <w:rPr/>
            </w:pPr>
            <w:r>
              <w:rPr/>
              <w:t>7,502</w:t>
            </w:r>
          </w:p>
        </w:tc>
        <w:tc>
          <w:tcPr>
            <w:tcW w:w="27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jc w:val="left"/>
              <w:rPr/>
            </w:pPr>
            <w:r>
              <w:rPr/>
              <w:t> </w:t>
            </w:r>
          </w:p>
        </w:tc>
        <w:tc>
          <w:tcPr>
            <w:tcW w:w="900" w:type="dxa"/>
            <w:tcBorders/>
            <w:shd w:fill="auto" w:val="clear"/>
            <w:vAlign w:val="bottom"/>
          </w:tcPr>
          <w:p>
            <w:pPr>
              <w:pStyle w:val="TableContents"/>
              <w:spacing w:before="0" w:after="283"/>
              <w:jc w:val="right"/>
              <w:rPr/>
            </w:pPr>
            <w:r>
              <w:rPr/>
              <w:t>6.3</w:t>
            </w:r>
          </w:p>
        </w:tc>
        <w:tc>
          <w:tcPr>
            <w:tcW w:w="346" w:type="dxa"/>
            <w:tcBorders/>
            <w:shd w:fill="auto" w:val="clear"/>
            <w:vAlign w:val="bottom"/>
          </w:tcPr>
          <w:p>
            <w:pPr>
              <w:pStyle w:val="TableContents"/>
              <w:spacing w:before="0" w:after="283"/>
              <w:rPr/>
            </w:pPr>
            <w:r>
              <w:rPr/>
              <w:t>%</w:t>
            </w:r>
          </w:p>
        </w:tc>
        <w:tc>
          <w:tcPr>
            <w:tcW w:w="233"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73" w:type="dxa"/>
            <w:tcBorders/>
            <w:shd w:fill="auto" w:val="clear"/>
            <w:vAlign w:val="bottom"/>
          </w:tcPr>
          <w:p>
            <w:pPr>
              <w:pStyle w:val="TableContents"/>
              <w:spacing w:before="0" w:after="283"/>
              <w:jc w:val="right"/>
              <w:rPr/>
            </w:pPr>
            <w:r>
              <w:rPr/>
              <w:t>7,060</w:t>
            </w:r>
          </w:p>
        </w:tc>
        <w:tc>
          <w:tcPr>
            <w:tcW w:w="244" w:type="dxa"/>
            <w:tcBorders/>
            <w:shd w:fill="auto" w:val="clear"/>
            <w:vAlign w:val="bottom"/>
          </w:tcPr>
          <w:p>
            <w:pPr>
              <w:pStyle w:val="TableContents"/>
              <w:spacing w:before="0" w:after="283"/>
              <w:rPr/>
            </w:pPr>
            <w:r>
              <w:rPr/>
              <w:t> </w:t>
            </w:r>
          </w:p>
        </w:tc>
      </w:tr>
      <w:tr>
        <w:trPr/>
        <w:tc>
          <w:tcPr>
            <w:tcW w:w="5290" w:type="dxa"/>
            <w:tcBorders/>
            <w:shd w:fill="CCEEFF" w:val="clear"/>
            <w:vAlign w:val="bottom"/>
          </w:tcPr>
          <w:p>
            <w:pPr>
              <w:pStyle w:val="TableContents"/>
              <w:spacing w:before="0" w:after="0"/>
              <w:ind w:left="450" w:right="0" w:hanging="225"/>
              <w:rPr/>
            </w:pPr>
            <w:r>
              <w:rPr/>
              <w:t>Eliminations</w:t>
            </w:r>
          </w:p>
        </w:tc>
        <w:tc>
          <w:tcPr>
            <w:tcW w:w="22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 </w:t>
            </w:r>
          </w:p>
        </w:tc>
        <w:tc>
          <w:tcPr>
            <w:tcW w:w="968" w:type="dxa"/>
            <w:tcBorders/>
            <w:shd w:fill="CCEEFF" w:val="clear"/>
            <w:vAlign w:val="bottom"/>
          </w:tcPr>
          <w:p>
            <w:pPr>
              <w:pStyle w:val="TableContents"/>
              <w:spacing w:before="0" w:after="283"/>
              <w:jc w:val="right"/>
              <w:rPr/>
            </w:pPr>
            <w:r>
              <w:rPr/>
              <w:t>(4,895</w:t>
            </w:r>
          </w:p>
        </w:tc>
        <w:tc>
          <w:tcPr>
            <w:tcW w:w="272" w:type="dxa"/>
            <w:tcBorders/>
            <w:shd w:fill="CCEEFF" w:val="clear"/>
            <w:vAlign w:val="bottom"/>
          </w:tcPr>
          <w:p>
            <w:pPr>
              <w:pStyle w:val="TableContents"/>
              <w:spacing w:before="0" w:after="283"/>
              <w:rPr/>
            </w:pPr>
            <w:r>
              <w:rPr/>
              <w:t>)</w:t>
            </w:r>
          </w:p>
        </w:tc>
        <w:tc>
          <w:tcPr>
            <w:tcW w:w="233"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 </w:t>
            </w:r>
          </w:p>
        </w:tc>
        <w:tc>
          <w:tcPr>
            <w:tcW w:w="973" w:type="dxa"/>
            <w:tcBorders/>
            <w:shd w:fill="CCEEFF" w:val="clear"/>
            <w:vAlign w:val="bottom"/>
          </w:tcPr>
          <w:p>
            <w:pPr>
              <w:pStyle w:val="TableContents"/>
              <w:spacing w:before="0" w:after="283"/>
              <w:jc w:val="right"/>
              <w:rPr/>
            </w:pPr>
            <w:r>
              <w:rPr/>
              <w:t>(3,133</w:t>
            </w:r>
          </w:p>
        </w:tc>
        <w:tc>
          <w:tcPr>
            <w:tcW w:w="244" w:type="dxa"/>
            <w:tcBorders/>
            <w:shd w:fill="CCEEFF" w:val="clear"/>
            <w:vAlign w:val="bottom"/>
          </w:tcPr>
          <w:p>
            <w:pPr>
              <w:pStyle w:val="TableContents"/>
              <w:spacing w:before="0" w:after="283"/>
              <w:rPr/>
            </w:pPr>
            <w:r>
              <w:rPr/>
              <w:t>)</w:t>
            </w:r>
          </w:p>
        </w:tc>
      </w:tr>
      <w:tr>
        <w:trPr/>
        <w:tc>
          <w:tcPr>
            <w:tcW w:w="5290"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1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72"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900"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4" w:type="dxa"/>
            <w:tcBorders/>
            <w:shd w:fill="auto" w:val="clear"/>
            <w:vAlign w:val="center"/>
          </w:tcPr>
          <w:p>
            <w:pPr>
              <w:pStyle w:val="TableContents"/>
              <w:spacing w:before="0" w:after="283"/>
              <w:rPr/>
            </w:pPr>
            <w:r>
              <w:rPr/>
              <w:t> </w:t>
            </w:r>
          </w:p>
        </w:tc>
      </w:tr>
      <w:tr>
        <w:trPr/>
        <w:tc>
          <w:tcPr>
            <w:tcW w:w="5290" w:type="dxa"/>
            <w:tcBorders/>
            <w:shd w:fill="auto" w:val="clear"/>
            <w:vAlign w:val="bottom"/>
          </w:tcPr>
          <w:p>
            <w:pPr>
              <w:pStyle w:val="TableContents"/>
              <w:spacing w:before="0" w:after="0"/>
              <w:ind w:left="675" w:right="0" w:hanging="225"/>
              <w:rPr/>
            </w:pPr>
            <w:r>
              <w:rPr/>
              <w:t>Total net sales</w:t>
            </w:r>
          </w:p>
        </w:tc>
        <w:tc>
          <w:tcPr>
            <w:tcW w:w="22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968" w:type="dxa"/>
            <w:tcBorders/>
            <w:shd w:fill="auto" w:val="clear"/>
            <w:vAlign w:val="bottom"/>
          </w:tcPr>
          <w:p>
            <w:pPr>
              <w:pStyle w:val="TableContents"/>
              <w:spacing w:before="0" w:after="283"/>
              <w:jc w:val="right"/>
              <w:rPr/>
            </w:pPr>
            <w:r>
              <w:rPr/>
              <w:t>47,671</w:t>
            </w:r>
          </w:p>
        </w:tc>
        <w:tc>
          <w:tcPr>
            <w:tcW w:w="27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jc w:val="left"/>
              <w:rPr/>
            </w:pPr>
            <w:r>
              <w:rPr/>
              <w:t> </w:t>
            </w:r>
          </w:p>
        </w:tc>
        <w:tc>
          <w:tcPr>
            <w:tcW w:w="900" w:type="dxa"/>
            <w:tcBorders/>
            <w:shd w:fill="auto" w:val="clear"/>
            <w:vAlign w:val="bottom"/>
          </w:tcPr>
          <w:p>
            <w:pPr>
              <w:pStyle w:val="TableContents"/>
              <w:spacing w:before="0" w:after="283"/>
              <w:jc w:val="right"/>
              <w:rPr/>
            </w:pPr>
            <w:r>
              <w:rPr/>
              <w:t>(2.8</w:t>
            </w:r>
          </w:p>
        </w:tc>
        <w:tc>
          <w:tcPr>
            <w:tcW w:w="346" w:type="dxa"/>
            <w:tcBorders/>
            <w:shd w:fill="auto" w:val="clear"/>
            <w:vAlign w:val="bottom"/>
          </w:tcPr>
          <w:p>
            <w:pPr>
              <w:pStyle w:val="TableContents"/>
              <w:spacing w:before="0" w:after="283"/>
              <w:rPr/>
            </w:pPr>
            <w:r>
              <w:rPr/>
              <w:t>)%</w:t>
            </w:r>
          </w:p>
        </w:tc>
        <w:tc>
          <w:tcPr>
            <w:tcW w:w="233"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973" w:type="dxa"/>
            <w:tcBorders/>
            <w:shd w:fill="auto" w:val="clear"/>
            <w:vAlign w:val="bottom"/>
          </w:tcPr>
          <w:p>
            <w:pPr>
              <w:pStyle w:val="TableContents"/>
              <w:spacing w:before="0" w:after="283"/>
              <w:jc w:val="right"/>
              <w:rPr/>
            </w:pPr>
            <w:r>
              <w:rPr/>
              <w:t>49,043</w:t>
            </w:r>
          </w:p>
        </w:tc>
        <w:tc>
          <w:tcPr>
            <w:tcW w:w="244" w:type="dxa"/>
            <w:tcBorders/>
            <w:shd w:fill="auto" w:val="clear"/>
            <w:vAlign w:val="bottom"/>
          </w:tcPr>
          <w:p>
            <w:pPr>
              <w:pStyle w:val="TableContents"/>
              <w:spacing w:before="0" w:after="283"/>
              <w:rPr/>
            </w:pPr>
            <w:r>
              <w:rPr/>
              <w:t> </w:t>
            </w:r>
          </w:p>
        </w:tc>
      </w:tr>
      <w:tr>
        <w:trPr/>
        <w:tc>
          <w:tcPr>
            <w:tcW w:w="5290"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1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72"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900"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4" w:type="dxa"/>
            <w:tcBorders/>
            <w:shd w:fill="auto" w:val="clear"/>
            <w:vAlign w:val="center"/>
          </w:tcPr>
          <w:p>
            <w:pPr>
              <w:pStyle w:val="TableContents"/>
              <w:spacing w:before="0" w:after="283"/>
              <w:rPr/>
            </w:pPr>
            <w:r>
              <w:rPr/>
              <w:t> </w:t>
            </w:r>
          </w:p>
        </w:tc>
      </w:tr>
      <w:tr>
        <w:trPr/>
        <w:tc>
          <w:tcPr>
            <w:tcW w:w="5290" w:type="dxa"/>
            <w:tcBorders/>
            <w:shd w:fill="CCEEFF" w:val="clear"/>
            <w:vAlign w:val="bottom"/>
          </w:tcPr>
          <w:p>
            <w:pPr>
              <w:pStyle w:val="TableContents"/>
              <w:spacing w:before="0" w:after="0"/>
              <w:ind w:left="225" w:right="0" w:hanging="225"/>
              <w:rPr/>
            </w:pPr>
            <w:r>
              <w:rPr/>
              <w:t>As a percentage of net sales:</w:t>
            </w:r>
          </w:p>
        </w:tc>
        <w:tc>
          <w:tcPr>
            <w:tcW w:w="22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73"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r>
      <w:tr>
        <w:trPr/>
        <w:tc>
          <w:tcPr>
            <w:tcW w:w="5290" w:type="dxa"/>
            <w:tcBorders/>
            <w:shd w:fill="auto" w:val="clear"/>
            <w:vAlign w:val="bottom"/>
          </w:tcPr>
          <w:p>
            <w:pPr>
              <w:pStyle w:val="TableContents"/>
              <w:spacing w:before="0" w:after="0"/>
              <w:ind w:left="450" w:right="0" w:hanging="225"/>
              <w:rPr/>
            </w:pPr>
            <w:r>
              <w:rPr/>
              <w:t>California avocados</w:t>
            </w:r>
          </w:p>
        </w:tc>
        <w:tc>
          <w:tcPr>
            <w:tcW w:w="22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 </w:t>
            </w:r>
          </w:p>
        </w:tc>
        <w:tc>
          <w:tcPr>
            <w:tcW w:w="968" w:type="dxa"/>
            <w:tcBorders/>
            <w:shd w:fill="auto" w:val="clear"/>
            <w:vAlign w:val="bottom"/>
          </w:tcPr>
          <w:p>
            <w:pPr>
              <w:pStyle w:val="TableContents"/>
              <w:spacing w:before="0" w:after="283"/>
              <w:jc w:val="right"/>
              <w:rPr/>
            </w:pPr>
            <w:r>
              <w:rPr/>
              <w:t>17.1</w:t>
            </w:r>
          </w:p>
        </w:tc>
        <w:tc>
          <w:tcPr>
            <w:tcW w:w="272" w:type="dxa"/>
            <w:tcBorders/>
            <w:shd w:fill="auto" w:val="clear"/>
            <w:vAlign w:val="bottom"/>
          </w:tcPr>
          <w:p>
            <w:pPr>
              <w:pStyle w:val="TableContents"/>
              <w:spacing w:before="0" w:after="283"/>
              <w:rPr/>
            </w:pPr>
            <w:r>
              <w:rPr/>
              <w:t>%</w:t>
            </w:r>
          </w:p>
        </w:tc>
        <w:tc>
          <w:tcPr>
            <w:tcW w:w="23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 </w:t>
            </w:r>
          </w:p>
        </w:tc>
        <w:tc>
          <w:tcPr>
            <w:tcW w:w="973" w:type="dxa"/>
            <w:tcBorders/>
            <w:shd w:fill="auto" w:val="clear"/>
            <w:vAlign w:val="bottom"/>
          </w:tcPr>
          <w:p>
            <w:pPr>
              <w:pStyle w:val="TableContents"/>
              <w:spacing w:before="0" w:after="283"/>
              <w:jc w:val="right"/>
              <w:rPr/>
            </w:pPr>
            <w:r>
              <w:rPr/>
              <w:t>20.9</w:t>
            </w:r>
          </w:p>
        </w:tc>
        <w:tc>
          <w:tcPr>
            <w:tcW w:w="244" w:type="dxa"/>
            <w:tcBorders/>
            <w:shd w:fill="auto" w:val="clear"/>
            <w:vAlign w:val="bottom"/>
          </w:tcPr>
          <w:p>
            <w:pPr>
              <w:pStyle w:val="TableContents"/>
              <w:spacing w:before="0" w:after="283"/>
              <w:rPr/>
            </w:pPr>
            <w:r>
              <w:rPr/>
              <w:t>%</w:t>
            </w:r>
          </w:p>
        </w:tc>
      </w:tr>
      <w:tr>
        <w:trPr/>
        <w:tc>
          <w:tcPr>
            <w:tcW w:w="5290" w:type="dxa"/>
            <w:tcBorders/>
            <w:shd w:fill="CCEEFF" w:val="clear"/>
            <w:vAlign w:val="bottom"/>
          </w:tcPr>
          <w:p>
            <w:pPr>
              <w:pStyle w:val="TableContents"/>
              <w:spacing w:before="0" w:after="0"/>
              <w:ind w:left="450" w:right="0" w:hanging="225"/>
              <w:rPr/>
            </w:pPr>
            <w:r>
              <w:rPr/>
              <w:t>International avocados and perishable food products</w:t>
            </w:r>
          </w:p>
        </w:tc>
        <w:tc>
          <w:tcPr>
            <w:tcW w:w="22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 </w:t>
            </w:r>
          </w:p>
        </w:tc>
        <w:tc>
          <w:tcPr>
            <w:tcW w:w="968" w:type="dxa"/>
            <w:tcBorders/>
            <w:shd w:fill="CCEEFF" w:val="clear"/>
            <w:vAlign w:val="bottom"/>
          </w:tcPr>
          <w:p>
            <w:pPr>
              <w:pStyle w:val="TableContents"/>
              <w:spacing w:before="0" w:after="283"/>
              <w:jc w:val="right"/>
              <w:rPr/>
            </w:pPr>
            <w:r>
              <w:rPr/>
              <w:t>70.9</w:t>
            </w:r>
          </w:p>
        </w:tc>
        <w:tc>
          <w:tcPr>
            <w:tcW w:w="272" w:type="dxa"/>
            <w:tcBorders/>
            <w:shd w:fill="CCEEFF" w:val="clear"/>
            <w:vAlign w:val="bottom"/>
          </w:tcPr>
          <w:p>
            <w:pPr>
              <w:pStyle w:val="TableContents"/>
              <w:spacing w:before="0" w:after="283"/>
              <w:rPr/>
            </w:pPr>
            <w:r>
              <w:rPr/>
              <w:t>%</w:t>
            </w:r>
          </w:p>
        </w:tc>
        <w:tc>
          <w:tcPr>
            <w:tcW w:w="233"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 </w:t>
            </w:r>
          </w:p>
        </w:tc>
        <w:tc>
          <w:tcPr>
            <w:tcW w:w="973" w:type="dxa"/>
            <w:tcBorders/>
            <w:shd w:fill="CCEEFF" w:val="clear"/>
            <w:vAlign w:val="bottom"/>
          </w:tcPr>
          <w:p>
            <w:pPr>
              <w:pStyle w:val="TableContents"/>
              <w:spacing w:before="0" w:after="283"/>
              <w:jc w:val="right"/>
              <w:rPr/>
            </w:pPr>
            <w:r>
              <w:rPr/>
              <w:t>67.0</w:t>
            </w:r>
          </w:p>
        </w:tc>
        <w:tc>
          <w:tcPr>
            <w:tcW w:w="244" w:type="dxa"/>
            <w:tcBorders/>
            <w:shd w:fill="CCEEFF" w:val="clear"/>
            <w:vAlign w:val="bottom"/>
          </w:tcPr>
          <w:p>
            <w:pPr>
              <w:pStyle w:val="TableContents"/>
              <w:spacing w:before="0" w:after="283"/>
              <w:rPr/>
            </w:pPr>
            <w:r>
              <w:rPr/>
              <w:t>%</w:t>
            </w:r>
          </w:p>
        </w:tc>
      </w:tr>
      <w:tr>
        <w:trPr/>
        <w:tc>
          <w:tcPr>
            <w:tcW w:w="5290" w:type="dxa"/>
            <w:tcBorders/>
            <w:shd w:fill="auto" w:val="clear"/>
            <w:vAlign w:val="bottom"/>
          </w:tcPr>
          <w:p>
            <w:pPr>
              <w:pStyle w:val="TableContents"/>
              <w:spacing w:before="0" w:after="0"/>
              <w:ind w:left="450" w:right="0" w:hanging="225"/>
              <w:rPr/>
            </w:pPr>
            <w:r>
              <w:rPr/>
              <w:t>Processed products</w:t>
            </w:r>
          </w:p>
        </w:tc>
        <w:tc>
          <w:tcPr>
            <w:tcW w:w="22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 </w:t>
            </w:r>
          </w:p>
        </w:tc>
        <w:tc>
          <w:tcPr>
            <w:tcW w:w="968" w:type="dxa"/>
            <w:tcBorders/>
            <w:shd w:fill="auto" w:val="clear"/>
            <w:vAlign w:val="bottom"/>
          </w:tcPr>
          <w:p>
            <w:pPr>
              <w:pStyle w:val="TableContents"/>
              <w:spacing w:before="0" w:after="283"/>
              <w:jc w:val="right"/>
              <w:rPr/>
            </w:pPr>
            <w:r>
              <w:rPr/>
              <w:t>12.0</w:t>
            </w:r>
          </w:p>
        </w:tc>
        <w:tc>
          <w:tcPr>
            <w:tcW w:w="272" w:type="dxa"/>
            <w:tcBorders/>
            <w:shd w:fill="auto" w:val="clear"/>
            <w:vAlign w:val="bottom"/>
          </w:tcPr>
          <w:p>
            <w:pPr>
              <w:pStyle w:val="TableContents"/>
              <w:spacing w:before="0" w:after="283"/>
              <w:rPr/>
            </w:pPr>
            <w:r>
              <w:rPr/>
              <w:t>%</w:t>
            </w:r>
          </w:p>
        </w:tc>
        <w:tc>
          <w:tcPr>
            <w:tcW w:w="23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 </w:t>
            </w:r>
          </w:p>
        </w:tc>
        <w:tc>
          <w:tcPr>
            <w:tcW w:w="973" w:type="dxa"/>
            <w:tcBorders/>
            <w:shd w:fill="auto" w:val="clear"/>
            <w:vAlign w:val="bottom"/>
          </w:tcPr>
          <w:p>
            <w:pPr>
              <w:pStyle w:val="TableContents"/>
              <w:spacing w:before="0" w:after="283"/>
              <w:jc w:val="right"/>
              <w:rPr/>
            </w:pPr>
            <w:r>
              <w:rPr/>
              <w:t>12.1</w:t>
            </w:r>
          </w:p>
        </w:tc>
        <w:tc>
          <w:tcPr>
            <w:tcW w:w="244" w:type="dxa"/>
            <w:tcBorders/>
            <w:shd w:fill="auto" w:val="clear"/>
            <w:vAlign w:val="bottom"/>
          </w:tcPr>
          <w:p>
            <w:pPr>
              <w:pStyle w:val="TableContents"/>
              <w:spacing w:before="0" w:after="283"/>
              <w:rPr/>
            </w:pPr>
            <w:r>
              <w:rPr/>
              <w:t>%</w:t>
            </w:r>
          </w:p>
        </w:tc>
      </w:tr>
      <w:tr>
        <w:trPr/>
        <w:tc>
          <w:tcPr>
            <w:tcW w:w="5290"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1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72"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900"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7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4" w:type="dxa"/>
            <w:tcBorders/>
            <w:shd w:fill="auto" w:val="clear"/>
            <w:vAlign w:val="center"/>
          </w:tcPr>
          <w:p>
            <w:pPr>
              <w:pStyle w:val="TableContents"/>
              <w:spacing w:before="0" w:after="283"/>
              <w:rPr/>
            </w:pPr>
            <w:r>
              <w:rPr/>
              <w:t> </w:t>
            </w:r>
          </w:p>
        </w:tc>
      </w:tr>
      <w:tr>
        <w:trPr/>
        <w:tc>
          <w:tcPr>
            <w:tcW w:w="5290" w:type="dxa"/>
            <w:tcBorders/>
            <w:shd w:fill="CCEEFF" w:val="clear"/>
            <w:vAlign w:val="bottom"/>
          </w:tcPr>
          <w:p>
            <w:pPr>
              <w:pStyle w:val="TableContents"/>
              <w:spacing w:before="0" w:after="0"/>
              <w:ind w:left="225" w:right="0" w:hanging="225"/>
              <w:rPr/>
            </w:pPr>
            <w:r>
              <w:rPr/>
              <w:t> </w:t>
            </w:r>
          </w:p>
        </w:tc>
        <w:tc>
          <w:tcPr>
            <w:tcW w:w="22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 </w:t>
            </w:r>
          </w:p>
        </w:tc>
        <w:tc>
          <w:tcPr>
            <w:tcW w:w="968" w:type="dxa"/>
            <w:tcBorders/>
            <w:shd w:fill="CCEEFF" w:val="clear"/>
            <w:vAlign w:val="bottom"/>
          </w:tcPr>
          <w:p>
            <w:pPr>
              <w:pStyle w:val="TableContents"/>
              <w:spacing w:before="0" w:after="283"/>
              <w:jc w:val="right"/>
              <w:rPr/>
            </w:pPr>
            <w:r>
              <w:rPr/>
              <w:t>100.0</w:t>
            </w:r>
          </w:p>
        </w:tc>
        <w:tc>
          <w:tcPr>
            <w:tcW w:w="272" w:type="dxa"/>
            <w:tcBorders/>
            <w:shd w:fill="CCEEFF" w:val="clear"/>
            <w:vAlign w:val="bottom"/>
          </w:tcPr>
          <w:p>
            <w:pPr>
              <w:pStyle w:val="TableContents"/>
              <w:spacing w:before="0" w:after="283"/>
              <w:rPr/>
            </w:pPr>
            <w:r>
              <w:rPr/>
              <w:t>%</w:t>
            </w:r>
          </w:p>
        </w:tc>
        <w:tc>
          <w:tcPr>
            <w:tcW w:w="233"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 </w:t>
            </w:r>
          </w:p>
        </w:tc>
        <w:tc>
          <w:tcPr>
            <w:tcW w:w="973" w:type="dxa"/>
            <w:tcBorders/>
            <w:shd w:fill="CCEEFF" w:val="clear"/>
            <w:vAlign w:val="bottom"/>
          </w:tcPr>
          <w:p>
            <w:pPr>
              <w:pStyle w:val="TableContents"/>
              <w:spacing w:before="0" w:after="283"/>
              <w:jc w:val="right"/>
              <w:rPr/>
            </w:pPr>
            <w:r>
              <w:rPr/>
              <w:t>100.0</w:t>
            </w:r>
          </w:p>
        </w:tc>
        <w:tc>
          <w:tcPr>
            <w:tcW w:w="244" w:type="dxa"/>
            <w:tcBorders/>
            <w:shd w:fill="CCEEFF" w:val="clear"/>
            <w:vAlign w:val="bottom"/>
          </w:tcPr>
          <w:p>
            <w:pPr>
              <w:pStyle w:val="TableContents"/>
              <w:spacing w:before="0" w:after="283"/>
              <w:rPr/>
            </w:pPr>
            <w:r>
              <w:rPr/>
              <w:t>%</w:t>
            </w:r>
          </w:p>
        </w:tc>
      </w:tr>
      <w:tr>
        <w:trPr/>
        <w:tc>
          <w:tcPr>
            <w:tcW w:w="5290"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1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72"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900"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7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4" w:type="dxa"/>
            <w:tcBorders/>
            <w:shd w:fill="auto" w:val="clear"/>
            <w:vAlign w:val="center"/>
          </w:tcPr>
          <w:p>
            <w:pPr>
              <w:pStyle w:val="TableContents"/>
              <w:spacing w:before="0" w:after="283"/>
              <w:rPr/>
            </w:pPr>
            <w:r>
              <w:rPr/>
              <w:t> </w:t>
            </w:r>
          </w:p>
        </w:tc>
      </w:tr>
    </w:tbl>
    <w:p>
      <w:pPr>
        <w:pStyle w:val="TextBody"/>
        <w:jc w:val="left"/>
        <w:rPr/>
      </w:pPr>
      <w:r>
        <w:rPr/>
        <w:t>     </w:t>
      </w:r>
      <w:r>
        <w:rPr>
          <w:rFonts w:ascii="Times New Roman;Times;serif" w:hAnsi="Times New Roman;Times;serif"/>
          <w:sz w:val="17"/>
        </w:rPr>
        <w:t xml:space="preserve">Net sales for the first quarter of fiscal year 2005, compared to fiscal year 2004, decreased by $1.4 million, or 2.8%. Consistent with the historical seasonality of the California avocado harvest season, during which we typically receive the fewest pounds of California avocados, our California avocado business generated only 17.1% of our consolidated net sales for the first quarter, as compared to only 20.9% for the same prior year period. Our international avocados and perishable food products segment, however, showed revenue growth, driven primarily by additional sales related to increases in the volume of avocados being imported from Mexico and Chile. Such increases, however, were partially offset by decreases in our average selling price. Net sales generated by our processed products business are not subject to the seasonal effect experienced by our other operating segments. The decrease in sales to third parties delivered by our processed products business is due primarily to a decrease in average prices, partially offset by an increase in total pounds of product sold. We anticipate that sales generated from our California avocados and international avocados and perishable food products segments will continue to represent the majority of total net sales and the percentage of total net sales generated from these segments may increase in the future. </w:t>
      </w:r>
    </w:p>
    <w:p>
      <w:pPr>
        <w:pStyle w:val="TextBody"/>
        <w:jc w:val="left"/>
        <w:rPr/>
      </w:pPr>
      <w:r>
        <w:rPr/>
        <w:t>     </w:t>
      </w:r>
      <w:r>
        <w:rPr>
          <w:rFonts w:ascii="Times New Roman;Times;serif" w:hAnsi="Times New Roman;Times;serif"/>
          <w:sz w:val="17"/>
        </w:rPr>
        <w:t xml:space="preserve">Net sales by segment include value-added services billed by our Uruapan packinghouse and Mexicali processing plant to the parent company. All intercompany sales are eliminated in our consolidated results of operations. </w:t>
      </w:r>
    </w:p>
    <w:p>
      <w:pPr>
        <w:pStyle w:val="TextBody"/>
        <w:jc w:val="left"/>
        <w:rPr>
          <w:rFonts w:ascii="Times New Roman;Times;serif" w:hAnsi="Times New Roman;Times;serif"/>
          <w:sz w:val="17"/>
        </w:rPr>
      </w:pPr>
      <w:r>
        <w:rPr>
          <w:rFonts w:ascii="Times New Roman;Times;serif" w:hAnsi="Times New Roman;Times;serif"/>
          <w:i/>
          <w:sz w:val="17"/>
        </w:rPr>
        <w:t>California avocados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Net sales delivered by the business decreased by approximately $2.1 million, or 15.2%, for the first quarter of fiscal year 2005 when compared to the same period for fiscal year 2004. The decrease in sales primarily reflects a decrease in pounds of avocados sold. Such decrease in pounds sold, totaling approximately 2.5 million, was primarily related to severe winter storms and an unanticipated increase in seasonal imports of Chilean sourced fruit during the period. Our market share of California avocados, however, remained strong during the first quarter of fiscal year 2005 at 44.6%. This is consistent with the 44.2% market share for the same prior year period. </w:t>
      </w:r>
    </w:p>
    <w:p>
      <w:pPr>
        <w:pStyle w:val="TextBody"/>
        <w:jc w:val="left"/>
        <w:rPr/>
      </w:pPr>
      <w:r>
        <w:rPr/>
        <w:t>     </w:t>
      </w:r>
      <w:r>
        <w:rPr>
          <w:rFonts w:ascii="Times New Roman;Times;serif" w:hAnsi="Times New Roman;Times;serif"/>
          <w:sz w:val="17"/>
        </w:rPr>
        <w:t xml:space="preserve">Despite the decrease in pounds of avocados sold, we did not experience a significant fluctuation in our average selling prices, on a per carton basis, of California avocados for the first quarter of fiscal year 2005 when compared to the corresponding period in the prior year. </w:t>
      </w:r>
    </w:p>
    <w:p>
      <w:pPr>
        <w:pStyle w:val="TextBody"/>
        <w:jc w:val="left"/>
        <w:rPr/>
      </w:pPr>
      <w:r>
        <w:rPr/>
        <w:t>     </w:t>
      </w:r>
      <w:r>
        <w:rPr>
          <w:rFonts w:ascii="Times New Roman;Times;serif" w:hAnsi="Times New Roman;Times;serif"/>
          <w:sz w:val="17"/>
        </w:rPr>
        <w:t xml:space="preserve">Our strategy is to continue to develop marketing opportunities that favorably position avocados packed by Calavo with our customers by emphasizing existing value-added services, such as fruit bagging and ripening. We believe these and other value-added strategies are critical elements in sustaining competitive average selling prices.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pPr>
      <w:r>
        <w:rPr/>
        <w:t>     </w:t>
      </w:r>
      <w:r>
        <w:rPr>
          <w:rFonts w:ascii="Times New Roman;Times;serif" w:hAnsi="Times New Roman;Times;serif"/>
          <w:sz w:val="17"/>
        </w:rPr>
        <w:t xml:space="preserve">We anticipate that our California avocado segment will experience a seasonal increase during the second fiscal quarter of 2005. In addition, we believe that the expected decrease in non-California sourced fruit will have a positive impact on average selling prices during the second fiscal quarter. </w:t>
      </w:r>
    </w:p>
    <w:p>
      <w:pPr>
        <w:pStyle w:val="TextBody"/>
        <w:jc w:val="left"/>
        <w:rPr>
          <w:rFonts w:ascii="Times New Roman;Times;serif" w:hAnsi="Times New Roman;Times;serif"/>
          <w:sz w:val="17"/>
        </w:rPr>
      </w:pPr>
      <w:r>
        <w:rPr>
          <w:rFonts w:ascii="Times New Roman;Times;serif" w:hAnsi="Times New Roman;Times;serif"/>
          <w:i/>
          <w:sz w:val="17"/>
        </w:rPr>
        <w:t>International and perishable food products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For the fiscal quarter ended January 31, 2005, when compared to the same period for 2004, sales to third-party customers increased by approximately $1.0 million, or 3.0%, from $32.8 million to $33.8 million. </w:t>
      </w:r>
    </w:p>
    <w:p>
      <w:pPr>
        <w:pStyle w:val="TextBody"/>
        <w:jc w:val="left"/>
        <w:rPr/>
      </w:pPr>
      <w:r>
        <w:rPr/>
        <w:t>     </w:t>
      </w:r>
      <w:r>
        <w:rPr>
          <w:rFonts w:ascii="Times New Roman;Times;serif" w:hAnsi="Times New Roman;Times;serif"/>
          <w:sz w:val="17"/>
        </w:rPr>
        <w:t xml:space="preserve">The increased sales to third-parties by our international and perishable food products segment were primarily driven by the additional sales related to Chilean and Mexican grown avocados in the U.S., Japanese, and/or European marketplace. The volume of Chilean and Mexican fruit handled increased by 5.1 million pounds, or 60.0%, and 1.7 million pounds, or 12.0%, when compared to the same prior year period. Such increases, however, were partially offset by decreases in The Dominican Republic sourced fruit. For the three months ended January 31, 2005, the volume of The Dominican Republic fruit handled decreased by 1.1 million pounds, or 22.2%, when compared to the same prior year period. </w:t>
      </w:r>
    </w:p>
    <w:p>
      <w:pPr>
        <w:pStyle w:val="TextBody"/>
        <w:jc w:val="left"/>
        <w:rPr/>
      </w:pPr>
      <w:r>
        <w:rPr/>
        <w:t>     </w:t>
      </w:r>
      <w:r>
        <w:rPr>
          <w:rFonts w:ascii="Times New Roman;Times;serif" w:hAnsi="Times New Roman;Times;serif"/>
          <w:sz w:val="17"/>
        </w:rPr>
        <w:t xml:space="preserve">For the first fiscal quarter of 2005, average selling prices, on a per carton basis, for Chilean, Mexican, and The Dominican Republic avocados were 24.3%, 6.4%, and 28.2% lower when compared to the same prior year period. These reductions were primarily the result of an increase in seasonal imports of Chilean sourced fruit during the period. </w:t>
      </w:r>
    </w:p>
    <w:p>
      <w:pPr>
        <w:pStyle w:val="TextBody"/>
        <w:jc w:val="left"/>
        <w:rPr/>
      </w:pPr>
      <w:r>
        <w:rPr/>
        <w:t>     </w:t>
      </w:r>
      <w:r>
        <w:rPr>
          <w:rFonts w:ascii="Times New Roman;Times;serif" w:hAnsi="Times New Roman;Times;serif"/>
          <w:sz w:val="17"/>
        </w:rPr>
        <w:t xml:space="preserve">We anticipate that net sales for this segment related to Chilean and The Dominican Republic sourced fruit will decrease in the second fiscal quarter of 2005 compared to the first fiscal quarter of 2005. This is consistent with the seasonal nature of the availability of certain foreign sourced avocados in the U.S. marketplace. In November 2004, the USDA published a rule allowing Hass avocado imports from Mexico into all 50 states, with the exception of California, Florida, and Hawaii. The exception extends for two years. For the remaining 47 states, however, avocado exports start February 1, 2005. While we believe that we are well positioned to respond to such legislation, we are unable to project the impact, if any, the adoption of this new rule would have on our financial condition and results of operations. </w:t>
      </w:r>
    </w:p>
    <w:p>
      <w:pPr>
        <w:pStyle w:val="TextBody"/>
        <w:jc w:val="left"/>
        <w:rPr>
          <w:rFonts w:ascii="Times New Roman;Times;serif" w:hAnsi="Times New Roman;Times;serif"/>
          <w:sz w:val="17"/>
        </w:rPr>
      </w:pPr>
      <w:r>
        <w:rPr>
          <w:rFonts w:ascii="Times New Roman;Times;serif" w:hAnsi="Times New Roman;Times;serif"/>
          <w:i/>
          <w:sz w:val="17"/>
        </w:rPr>
        <w:t>Processed products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For the quarter ended January 31, 2005, when compared to the same period for fiscal 2004, sales to third-party customers decreased by approximately $0.3 million, or 5.0%, from $6.0 million to $5.7 million. The decrease in third-party sales was primarily attributable to a decrease in sales prices, partially offset by an increase in total product pounds sold. During the first fiscal quarter of 2005, when compared to the same period for fiscal 2004, we experienced a decrease in average selling prices of $0.18 per pound, or 9.3%. Such decrease, however, was partially offset by an increase in pounds of product sold of approximately 177,000 pounds, or 5.7%. </w:t>
      </w:r>
    </w:p>
    <w:p>
      <w:pPr>
        <w:pStyle w:val="TextBody"/>
        <w:jc w:val="left"/>
        <w:rPr/>
      </w:pPr>
      <w:r>
        <w:rPr/>
        <w:t>     </w:t>
      </w:r>
      <w:r>
        <w:rPr>
          <w:rFonts w:ascii="Times New Roman;Times;serif" w:hAnsi="Times New Roman;Times;serif"/>
          <w:sz w:val="17"/>
        </w:rPr>
        <w:t xml:space="preserve">Our ultra high pressure products continue to experience solid demand. During the first quarter of fiscal 2005, sales of high pressure product totaled approximately $1.7 million, as compared to $1.3 million for the same prior year period. We believe that the introduction of these fresh guacamole products will, in the long-term, successfully address a growing market segment.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r>
        <w:rPr>
          <w:rFonts w:ascii="Times New Roman;Times;serif" w:hAnsi="Times New Roman;Times;serif"/>
          <w:b/>
          <w:i/>
          <w:sz w:val="17"/>
        </w:rPr>
        <w:t>Gross Margins</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The following table summarizes our gross margins and gross profit percentages by business segment for each of the three month periods ended January 31, 2005 and 2004: </w:t>
      </w:r>
    </w:p>
    <w:tbl>
      <w:tblPr>
        <w:tblW w:w="5000" w:type="pct"/>
        <w:jc w:val="center"/>
        <w:tblInd w:w="0" w:type="dxa"/>
        <w:tblCellMar>
          <w:top w:w="0" w:type="dxa"/>
          <w:left w:w="0" w:type="dxa"/>
          <w:bottom w:w="0" w:type="dxa"/>
          <w:right w:w="0" w:type="dxa"/>
        </w:tblCellMar>
      </w:tblPr>
      <w:tblGrid>
        <w:gridCol w:w="5355"/>
        <w:gridCol w:w="227"/>
        <w:gridCol w:w="201"/>
        <w:gridCol w:w="865"/>
        <w:gridCol w:w="354"/>
        <w:gridCol w:w="237"/>
        <w:gridCol w:w="119"/>
        <w:gridCol w:w="941"/>
        <w:gridCol w:w="354"/>
        <w:gridCol w:w="236"/>
        <w:gridCol w:w="201"/>
        <w:gridCol w:w="868"/>
        <w:gridCol w:w="247"/>
      </w:tblGrid>
      <w:tr>
        <w:trPr/>
        <w:tc>
          <w:tcPr>
            <w:tcW w:w="535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535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4376"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w:t>
            </w:r>
          </w:p>
        </w:tc>
        <w:tc>
          <w:tcPr>
            <w:tcW w:w="247" w:type="dxa"/>
            <w:tcBorders/>
            <w:shd w:fill="auto" w:val="clear"/>
            <w:vAlign w:val="bottom"/>
          </w:tcPr>
          <w:p>
            <w:pPr>
              <w:pStyle w:val="TableContents"/>
              <w:spacing w:before="0" w:after="283"/>
              <w:rPr/>
            </w:pPr>
            <w:r>
              <w:rPr/>
              <w:t> </w:t>
            </w:r>
          </w:p>
        </w:tc>
      </w:tr>
      <w:tr>
        <w:trPr/>
        <w:tc>
          <w:tcPr>
            <w:tcW w:w="5355"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227" w:type="dxa"/>
            <w:tcBorders/>
            <w:shd w:fill="auto" w:val="clear"/>
            <w:vAlign w:val="bottom"/>
          </w:tcPr>
          <w:p>
            <w:pPr>
              <w:pStyle w:val="TableContents"/>
              <w:spacing w:before="0" w:after="283"/>
              <w:rPr/>
            </w:pPr>
            <w:r>
              <w:rPr/>
              <w:t> </w:t>
            </w:r>
          </w:p>
        </w:tc>
        <w:tc>
          <w:tcPr>
            <w:tcW w:w="106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35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0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54"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47" w:type="dxa"/>
            <w:tcBorders/>
            <w:shd w:fill="auto" w:val="clear"/>
            <w:vAlign w:val="bottom"/>
          </w:tcPr>
          <w:p>
            <w:pPr>
              <w:pStyle w:val="TableContents"/>
              <w:spacing w:before="0" w:after="283"/>
              <w:rPr/>
            </w:pPr>
            <w:r>
              <w:rPr/>
              <w:t> </w:t>
            </w:r>
          </w:p>
        </w:tc>
      </w:tr>
      <w:tr>
        <w:trPr/>
        <w:tc>
          <w:tcPr>
            <w:tcW w:w="5355" w:type="dxa"/>
            <w:tcBorders/>
            <w:shd w:fill="CCEEFF" w:val="clear"/>
            <w:vAlign w:val="bottom"/>
          </w:tcPr>
          <w:p>
            <w:pPr>
              <w:pStyle w:val="TableContents"/>
              <w:spacing w:before="0" w:after="0"/>
              <w:ind w:left="225" w:right="0" w:hanging="225"/>
              <w:rPr/>
            </w:pPr>
            <w:r>
              <w:rPr/>
              <w:t>Gross margins:</w:t>
            </w:r>
          </w:p>
        </w:tc>
        <w:tc>
          <w:tcPr>
            <w:tcW w:w="22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r>
      <w:tr>
        <w:trPr/>
        <w:tc>
          <w:tcPr>
            <w:tcW w:w="5355" w:type="dxa"/>
            <w:tcBorders/>
            <w:shd w:fill="auto" w:val="clear"/>
            <w:vAlign w:val="bottom"/>
          </w:tcPr>
          <w:p>
            <w:pPr>
              <w:pStyle w:val="TableContents"/>
              <w:spacing w:before="0" w:after="0"/>
              <w:ind w:left="450" w:right="0" w:hanging="225"/>
              <w:rPr/>
            </w:pPr>
            <w:r>
              <w:rPr/>
              <w:t>California avocados</w:t>
            </w:r>
          </w:p>
        </w:tc>
        <w:tc>
          <w:tcPr>
            <w:tcW w:w="22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w:t>
            </w:r>
          </w:p>
        </w:tc>
        <w:tc>
          <w:tcPr>
            <w:tcW w:w="865" w:type="dxa"/>
            <w:tcBorders/>
            <w:shd w:fill="auto" w:val="clear"/>
            <w:vAlign w:val="bottom"/>
          </w:tcPr>
          <w:p>
            <w:pPr>
              <w:pStyle w:val="TableContents"/>
              <w:spacing w:before="0" w:after="283"/>
              <w:jc w:val="right"/>
              <w:rPr/>
            </w:pPr>
            <w:r>
              <w:rPr/>
              <w:t>(8</w:t>
            </w:r>
          </w:p>
        </w:tc>
        <w:tc>
          <w:tcPr>
            <w:tcW w:w="354" w:type="dxa"/>
            <w:tcBorders/>
            <w:shd w:fill="auto" w:val="clear"/>
            <w:vAlign w:val="bottom"/>
          </w:tcPr>
          <w:p>
            <w:pPr>
              <w:pStyle w:val="TableContents"/>
              <w:spacing w:before="0" w:after="283"/>
              <w:rPr/>
            </w:pPr>
            <w:r>
              <w:rPr/>
              <w:t>)</w:t>
            </w:r>
          </w:p>
        </w:tc>
        <w:tc>
          <w:tcPr>
            <w:tcW w:w="23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941" w:type="dxa"/>
            <w:tcBorders/>
            <w:shd w:fill="auto" w:val="clear"/>
            <w:vAlign w:val="bottom"/>
          </w:tcPr>
          <w:p>
            <w:pPr>
              <w:pStyle w:val="TableContents"/>
              <w:spacing w:before="0" w:after="283"/>
              <w:jc w:val="right"/>
              <w:rPr/>
            </w:pPr>
            <w:r>
              <w:rPr/>
              <w:t>(106.3</w:t>
            </w:r>
          </w:p>
        </w:tc>
        <w:tc>
          <w:tcPr>
            <w:tcW w:w="354" w:type="dxa"/>
            <w:tcBorders/>
            <w:shd w:fill="auto" w:val="clear"/>
            <w:vAlign w:val="bottom"/>
          </w:tcPr>
          <w:p>
            <w:pPr>
              <w:pStyle w:val="TableContents"/>
              <w:spacing w:before="0" w:after="283"/>
              <w:rPr/>
            </w:pPr>
            <w:r>
              <w:rPr/>
              <w:t>)%</w:t>
            </w:r>
          </w:p>
        </w:tc>
        <w:tc>
          <w:tcPr>
            <w:tcW w:w="23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128</w:t>
            </w:r>
          </w:p>
        </w:tc>
        <w:tc>
          <w:tcPr>
            <w:tcW w:w="247" w:type="dxa"/>
            <w:tcBorders/>
            <w:shd w:fill="auto" w:val="clear"/>
            <w:vAlign w:val="bottom"/>
          </w:tcPr>
          <w:p>
            <w:pPr>
              <w:pStyle w:val="TableContents"/>
              <w:spacing w:before="0" w:after="283"/>
              <w:rPr/>
            </w:pPr>
            <w:r>
              <w:rPr/>
              <w:t> </w:t>
            </w:r>
          </w:p>
        </w:tc>
      </w:tr>
      <w:tr>
        <w:trPr/>
        <w:tc>
          <w:tcPr>
            <w:tcW w:w="5355" w:type="dxa"/>
            <w:tcBorders/>
            <w:shd w:fill="CCEEFF" w:val="clear"/>
            <w:vAlign w:val="bottom"/>
          </w:tcPr>
          <w:p>
            <w:pPr>
              <w:pStyle w:val="TableContents"/>
              <w:spacing w:before="0" w:after="0"/>
              <w:ind w:left="450" w:right="0" w:hanging="225"/>
              <w:rPr/>
            </w:pPr>
            <w:r>
              <w:rPr/>
              <w:t>International avocados and perishable food products</w:t>
            </w:r>
          </w:p>
        </w:tc>
        <w:tc>
          <w:tcPr>
            <w:tcW w:w="22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1,452</w:t>
            </w:r>
          </w:p>
        </w:tc>
        <w:tc>
          <w:tcPr>
            <w:tcW w:w="35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941" w:type="dxa"/>
            <w:tcBorders/>
            <w:shd w:fill="CCEEFF" w:val="clear"/>
            <w:vAlign w:val="bottom"/>
          </w:tcPr>
          <w:p>
            <w:pPr>
              <w:pStyle w:val="TableContents"/>
              <w:spacing w:before="0" w:after="283"/>
              <w:jc w:val="right"/>
              <w:rPr/>
            </w:pPr>
            <w:r>
              <w:rPr/>
              <w:t>(33.1</w:t>
            </w:r>
          </w:p>
        </w:tc>
        <w:tc>
          <w:tcPr>
            <w:tcW w:w="354" w:type="dxa"/>
            <w:tcBorders/>
            <w:shd w:fill="CCEEFF" w:val="clear"/>
            <w:vAlign w:val="bottom"/>
          </w:tcPr>
          <w:p>
            <w:pPr>
              <w:pStyle w:val="TableContents"/>
              <w:spacing w:before="0" w:after="283"/>
              <w:rPr/>
            </w:pPr>
            <w:r>
              <w:rPr/>
              <w:t>)%</w:t>
            </w:r>
          </w:p>
        </w:tc>
        <w:tc>
          <w:tcPr>
            <w:tcW w:w="236"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2,170</w:t>
            </w:r>
          </w:p>
        </w:tc>
        <w:tc>
          <w:tcPr>
            <w:tcW w:w="247" w:type="dxa"/>
            <w:tcBorders/>
            <w:shd w:fill="CCEEFF" w:val="clear"/>
            <w:vAlign w:val="bottom"/>
          </w:tcPr>
          <w:p>
            <w:pPr>
              <w:pStyle w:val="TableContents"/>
              <w:spacing w:before="0" w:after="283"/>
              <w:rPr/>
            </w:pPr>
            <w:r>
              <w:rPr/>
              <w:t> </w:t>
            </w:r>
          </w:p>
        </w:tc>
      </w:tr>
      <w:tr>
        <w:trPr/>
        <w:tc>
          <w:tcPr>
            <w:tcW w:w="5355" w:type="dxa"/>
            <w:tcBorders/>
            <w:shd w:fill="auto" w:val="clear"/>
            <w:vAlign w:val="bottom"/>
          </w:tcPr>
          <w:p>
            <w:pPr>
              <w:pStyle w:val="TableContents"/>
              <w:spacing w:before="0" w:after="0"/>
              <w:ind w:left="450" w:right="0" w:hanging="225"/>
              <w:rPr/>
            </w:pPr>
            <w:r>
              <w:rPr/>
              <w:t>Processed products</w:t>
            </w:r>
          </w:p>
        </w:tc>
        <w:tc>
          <w:tcPr>
            <w:tcW w:w="22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508</w:t>
            </w:r>
          </w:p>
        </w:tc>
        <w:tc>
          <w:tcPr>
            <w:tcW w:w="35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941" w:type="dxa"/>
            <w:tcBorders/>
            <w:shd w:fill="auto" w:val="clear"/>
            <w:vAlign w:val="bottom"/>
          </w:tcPr>
          <w:p>
            <w:pPr>
              <w:pStyle w:val="TableContents"/>
              <w:spacing w:before="0" w:after="283"/>
              <w:jc w:val="right"/>
              <w:rPr/>
            </w:pPr>
            <w:r>
              <w:rPr/>
              <w:t>(35.4</w:t>
            </w:r>
          </w:p>
        </w:tc>
        <w:tc>
          <w:tcPr>
            <w:tcW w:w="354" w:type="dxa"/>
            <w:tcBorders/>
            <w:shd w:fill="auto" w:val="clear"/>
            <w:vAlign w:val="bottom"/>
          </w:tcPr>
          <w:p>
            <w:pPr>
              <w:pStyle w:val="TableContents"/>
              <w:spacing w:before="0" w:after="283"/>
              <w:rPr/>
            </w:pPr>
            <w:r>
              <w:rPr/>
              <w:t>)%</w:t>
            </w:r>
          </w:p>
        </w:tc>
        <w:tc>
          <w:tcPr>
            <w:tcW w:w="23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786</w:t>
            </w:r>
          </w:p>
        </w:tc>
        <w:tc>
          <w:tcPr>
            <w:tcW w:w="247" w:type="dxa"/>
            <w:tcBorders/>
            <w:shd w:fill="auto" w:val="clear"/>
            <w:vAlign w:val="bottom"/>
          </w:tcPr>
          <w:p>
            <w:pPr>
              <w:pStyle w:val="TableContents"/>
              <w:spacing w:before="0" w:after="283"/>
              <w:rPr/>
            </w:pPr>
            <w:r>
              <w:rPr/>
              <w:t> </w:t>
            </w:r>
          </w:p>
        </w:tc>
      </w:tr>
      <w:tr>
        <w:trPr/>
        <w:tc>
          <w:tcPr>
            <w:tcW w:w="5355" w:type="dxa"/>
            <w:tcBorders/>
            <w:shd w:fill="auto" w:val="clear"/>
            <w:vAlign w:val="center"/>
          </w:tcPr>
          <w:p>
            <w:pPr>
              <w:pStyle w:val="TableContents"/>
              <w:spacing w:before="0" w:after="0"/>
              <w:ind w:left="225" w:right="0" w:hanging="225"/>
              <w:rPr/>
            </w:pPr>
            <w:r>
              <w:rPr/>
              <w:t> </w:t>
            </w:r>
          </w:p>
        </w:tc>
        <w:tc>
          <w:tcPr>
            <w:tcW w:w="227" w:type="dxa"/>
            <w:tcBorders/>
            <w:shd w:fill="auto" w:val="clear"/>
            <w:vAlign w:val="center"/>
          </w:tcPr>
          <w:p>
            <w:pPr>
              <w:pStyle w:val="TableContents"/>
              <w:spacing w:before="0" w:after="283"/>
              <w:rPr/>
            </w:pPr>
            <w:r>
              <w:rPr/>
              <w:t> </w:t>
            </w:r>
          </w:p>
        </w:tc>
        <w:tc>
          <w:tcPr>
            <w:tcW w:w="10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54"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41"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0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7" w:type="dxa"/>
            <w:tcBorders/>
            <w:shd w:fill="auto" w:val="clear"/>
            <w:vAlign w:val="center"/>
          </w:tcPr>
          <w:p>
            <w:pPr>
              <w:pStyle w:val="TableContents"/>
              <w:spacing w:before="0" w:after="283"/>
              <w:rPr/>
            </w:pPr>
            <w:r>
              <w:rPr/>
              <w:t> </w:t>
            </w:r>
          </w:p>
        </w:tc>
      </w:tr>
      <w:tr>
        <w:trPr/>
        <w:tc>
          <w:tcPr>
            <w:tcW w:w="5355" w:type="dxa"/>
            <w:tcBorders/>
            <w:shd w:fill="CCEEFF" w:val="clear"/>
            <w:vAlign w:val="bottom"/>
          </w:tcPr>
          <w:p>
            <w:pPr>
              <w:pStyle w:val="TableContents"/>
              <w:spacing w:before="0" w:after="0"/>
              <w:ind w:left="675" w:right="0" w:hanging="225"/>
              <w:rPr/>
            </w:pPr>
            <w:r>
              <w:rPr/>
              <w:t>Total gross margins</w:t>
            </w:r>
          </w:p>
        </w:tc>
        <w:tc>
          <w:tcPr>
            <w:tcW w:w="22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w:t>
            </w:r>
          </w:p>
        </w:tc>
        <w:tc>
          <w:tcPr>
            <w:tcW w:w="865" w:type="dxa"/>
            <w:tcBorders/>
            <w:shd w:fill="CCEEFF" w:val="clear"/>
            <w:vAlign w:val="bottom"/>
          </w:tcPr>
          <w:p>
            <w:pPr>
              <w:pStyle w:val="TableContents"/>
              <w:spacing w:before="0" w:after="283"/>
              <w:jc w:val="right"/>
              <w:rPr/>
            </w:pPr>
            <w:r>
              <w:rPr/>
              <w:t>1,952</w:t>
            </w:r>
          </w:p>
        </w:tc>
        <w:tc>
          <w:tcPr>
            <w:tcW w:w="35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941" w:type="dxa"/>
            <w:tcBorders/>
            <w:shd w:fill="CCEEFF" w:val="clear"/>
            <w:vAlign w:val="bottom"/>
          </w:tcPr>
          <w:p>
            <w:pPr>
              <w:pStyle w:val="TableContents"/>
              <w:spacing w:before="0" w:after="283"/>
              <w:jc w:val="right"/>
              <w:rPr/>
            </w:pPr>
            <w:r>
              <w:rPr/>
              <w:t>(36.7</w:t>
            </w:r>
          </w:p>
        </w:tc>
        <w:tc>
          <w:tcPr>
            <w:tcW w:w="354" w:type="dxa"/>
            <w:tcBorders/>
            <w:shd w:fill="CCEEFF" w:val="clear"/>
            <w:vAlign w:val="bottom"/>
          </w:tcPr>
          <w:p>
            <w:pPr>
              <w:pStyle w:val="TableContents"/>
              <w:spacing w:before="0" w:after="283"/>
              <w:rPr/>
            </w:pPr>
            <w:r>
              <w:rPr/>
              <w:t>)%</w:t>
            </w:r>
          </w:p>
        </w:tc>
        <w:tc>
          <w:tcPr>
            <w:tcW w:w="236"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w:t>
            </w:r>
          </w:p>
        </w:tc>
        <w:tc>
          <w:tcPr>
            <w:tcW w:w="868" w:type="dxa"/>
            <w:tcBorders/>
            <w:shd w:fill="CCEEFF" w:val="clear"/>
            <w:vAlign w:val="bottom"/>
          </w:tcPr>
          <w:p>
            <w:pPr>
              <w:pStyle w:val="TableContents"/>
              <w:spacing w:before="0" w:after="283"/>
              <w:jc w:val="right"/>
              <w:rPr/>
            </w:pPr>
            <w:r>
              <w:rPr/>
              <w:t>3,084</w:t>
            </w:r>
          </w:p>
        </w:tc>
        <w:tc>
          <w:tcPr>
            <w:tcW w:w="247" w:type="dxa"/>
            <w:tcBorders/>
            <w:shd w:fill="CCEEFF" w:val="clear"/>
            <w:vAlign w:val="bottom"/>
          </w:tcPr>
          <w:p>
            <w:pPr>
              <w:pStyle w:val="TableContents"/>
              <w:spacing w:before="0" w:after="283"/>
              <w:rPr/>
            </w:pPr>
            <w:r>
              <w:rPr/>
              <w:t> </w:t>
            </w:r>
          </w:p>
        </w:tc>
      </w:tr>
      <w:tr>
        <w:trPr/>
        <w:tc>
          <w:tcPr>
            <w:tcW w:w="5355" w:type="dxa"/>
            <w:tcBorders/>
            <w:shd w:fill="auto" w:val="clear"/>
            <w:vAlign w:val="center"/>
          </w:tcPr>
          <w:p>
            <w:pPr>
              <w:pStyle w:val="TableContents"/>
              <w:spacing w:before="0" w:after="0"/>
              <w:ind w:left="225" w:right="0" w:hanging="225"/>
              <w:rPr/>
            </w:pPr>
            <w:r>
              <w:rPr/>
              <w:t> </w:t>
            </w:r>
          </w:p>
        </w:tc>
        <w:tc>
          <w:tcPr>
            <w:tcW w:w="227" w:type="dxa"/>
            <w:tcBorders/>
            <w:shd w:fill="auto" w:val="clear"/>
            <w:vAlign w:val="center"/>
          </w:tcPr>
          <w:p>
            <w:pPr>
              <w:pStyle w:val="TableContents"/>
              <w:spacing w:before="0" w:after="283"/>
              <w:rPr/>
            </w:pPr>
            <w:r>
              <w:rPr/>
              <w:t> </w:t>
            </w:r>
          </w:p>
        </w:tc>
        <w:tc>
          <w:tcPr>
            <w:tcW w:w="10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54"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41"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c>
          <w:tcPr>
            <w:tcW w:w="10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7" w:type="dxa"/>
            <w:tcBorders/>
            <w:shd w:fill="auto" w:val="clear"/>
            <w:vAlign w:val="center"/>
          </w:tcPr>
          <w:p>
            <w:pPr>
              <w:pStyle w:val="TableContents"/>
              <w:spacing w:before="0" w:after="283"/>
              <w:rPr/>
            </w:pPr>
            <w:r>
              <w:rPr/>
              <w:t> </w:t>
            </w:r>
          </w:p>
        </w:tc>
      </w:tr>
      <w:tr>
        <w:trPr/>
        <w:tc>
          <w:tcPr>
            <w:tcW w:w="5355" w:type="dxa"/>
            <w:tcBorders/>
            <w:shd w:fill="auto" w:val="clear"/>
            <w:vAlign w:val="bottom"/>
          </w:tcPr>
          <w:p>
            <w:pPr>
              <w:pStyle w:val="TableContents"/>
              <w:spacing w:before="0" w:after="0"/>
              <w:ind w:left="225" w:right="0" w:hanging="225"/>
              <w:rPr/>
            </w:pPr>
            <w:r>
              <w:rPr/>
              <w:t>Gross profit percentages:</w:t>
            </w:r>
          </w:p>
        </w:tc>
        <w:tc>
          <w:tcPr>
            <w:tcW w:w="22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5355" w:type="dxa"/>
            <w:tcBorders/>
            <w:shd w:fill="CCEEFF" w:val="clear"/>
            <w:vAlign w:val="bottom"/>
          </w:tcPr>
          <w:p>
            <w:pPr>
              <w:pStyle w:val="TableContents"/>
              <w:spacing w:before="0" w:after="0"/>
              <w:ind w:left="450" w:right="0" w:hanging="225"/>
              <w:rPr/>
            </w:pPr>
            <w:r>
              <w:rPr/>
              <w:t>California avocados</w:t>
            </w:r>
          </w:p>
        </w:tc>
        <w:tc>
          <w:tcPr>
            <w:tcW w:w="22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865" w:type="dxa"/>
            <w:tcBorders/>
            <w:shd w:fill="CCEEFF" w:val="clear"/>
            <w:vAlign w:val="bottom"/>
          </w:tcPr>
          <w:p>
            <w:pPr>
              <w:pStyle w:val="TableContents"/>
              <w:spacing w:before="0" w:after="283"/>
              <w:jc w:val="right"/>
              <w:rPr/>
            </w:pPr>
            <w:r>
              <w:rPr/>
              <w:t>(0.1</w:t>
            </w:r>
          </w:p>
        </w:tc>
        <w:tc>
          <w:tcPr>
            <w:tcW w:w="354" w:type="dxa"/>
            <w:tcBorders/>
            <w:shd w:fill="CCEEFF" w:val="clear"/>
            <w:vAlign w:val="bottom"/>
          </w:tcPr>
          <w:p>
            <w:pPr>
              <w:pStyle w:val="TableContents"/>
              <w:spacing w:before="0" w:after="283"/>
              <w:rPr/>
            </w:pPr>
            <w:r>
              <w:rPr/>
              <w:t>)%</w:t>
            </w:r>
          </w:p>
        </w:tc>
        <w:tc>
          <w:tcPr>
            <w:tcW w:w="237"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1.3</w:t>
            </w:r>
          </w:p>
        </w:tc>
        <w:tc>
          <w:tcPr>
            <w:tcW w:w="247" w:type="dxa"/>
            <w:tcBorders/>
            <w:shd w:fill="CCEEFF" w:val="clear"/>
            <w:vAlign w:val="bottom"/>
          </w:tcPr>
          <w:p>
            <w:pPr>
              <w:pStyle w:val="TableContents"/>
              <w:spacing w:before="0" w:after="283"/>
              <w:rPr/>
            </w:pPr>
            <w:r>
              <w:rPr/>
              <w:t>%</w:t>
            </w:r>
          </w:p>
        </w:tc>
      </w:tr>
      <w:tr>
        <w:trPr/>
        <w:tc>
          <w:tcPr>
            <w:tcW w:w="5355" w:type="dxa"/>
            <w:tcBorders/>
            <w:shd w:fill="auto" w:val="clear"/>
            <w:vAlign w:val="bottom"/>
          </w:tcPr>
          <w:p>
            <w:pPr>
              <w:pStyle w:val="TableContents"/>
              <w:spacing w:before="0" w:after="0"/>
              <w:ind w:left="450" w:right="0" w:hanging="225"/>
              <w:rPr/>
            </w:pPr>
            <w:r>
              <w:rPr/>
              <w:t>International avocados and perishable food products</w:t>
            </w:r>
          </w:p>
        </w:tc>
        <w:tc>
          <w:tcPr>
            <w:tcW w:w="22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 </w:t>
            </w:r>
          </w:p>
        </w:tc>
        <w:tc>
          <w:tcPr>
            <w:tcW w:w="865" w:type="dxa"/>
            <w:tcBorders/>
            <w:shd w:fill="auto" w:val="clear"/>
            <w:vAlign w:val="bottom"/>
          </w:tcPr>
          <w:p>
            <w:pPr>
              <w:pStyle w:val="TableContents"/>
              <w:spacing w:before="0" w:after="283"/>
              <w:jc w:val="right"/>
              <w:rPr/>
            </w:pPr>
            <w:r>
              <w:rPr/>
              <w:t>4.2</w:t>
            </w:r>
          </w:p>
        </w:tc>
        <w:tc>
          <w:tcPr>
            <w:tcW w:w="354" w:type="dxa"/>
            <w:tcBorders/>
            <w:shd w:fill="auto" w:val="clear"/>
            <w:vAlign w:val="bottom"/>
          </w:tcPr>
          <w:p>
            <w:pPr>
              <w:pStyle w:val="TableContents"/>
              <w:spacing w:before="0" w:after="283"/>
              <w:rPr/>
            </w:pPr>
            <w:r>
              <w:rPr/>
              <w:t>%</w:t>
            </w:r>
          </w:p>
        </w:tc>
        <w:tc>
          <w:tcPr>
            <w:tcW w:w="23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 </w:t>
            </w:r>
          </w:p>
        </w:tc>
        <w:tc>
          <w:tcPr>
            <w:tcW w:w="868" w:type="dxa"/>
            <w:tcBorders/>
            <w:shd w:fill="auto" w:val="clear"/>
            <w:vAlign w:val="bottom"/>
          </w:tcPr>
          <w:p>
            <w:pPr>
              <w:pStyle w:val="TableContents"/>
              <w:spacing w:before="0" w:after="283"/>
              <w:jc w:val="right"/>
              <w:rPr/>
            </w:pPr>
            <w:r>
              <w:rPr/>
              <w:t>6.6</w:t>
            </w:r>
          </w:p>
        </w:tc>
        <w:tc>
          <w:tcPr>
            <w:tcW w:w="247" w:type="dxa"/>
            <w:tcBorders/>
            <w:shd w:fill="auto" w:val="clear"/>
            <w:vAlign w:val="bottom"/>
          </w:tcPr>
          <w:p>
            <w:pPr>
              <w:pStyle w:val="TableContents"/>
              <w:spacing w:before="0" w:after="283"/>
              <w:rPr/>
            </w:pPr>
            <w:r>
              <w:rPr/>
              <w:t>%</w:t>
            </w:r>
          </w:p>
        </w:tc>
      </w:tr>
      <w:tr>
        <w:trPr/>
        <w:tc>
          <w:tcPr>
            <w:tcW w:w="5355" w:type="dxa"/>
            <w:tcBorders/>
            <w:shd w:fill="CCEEFF" w:val="clear"/>
            <w:vAlign w:val="bottom"/>
          </w:tcPr>
          <w:p>
            <w:pPr>
              <w:pStyle w:val="TableContents"/>
              <w:spacing w:before="0" w:after="0"/>
              <w:ind w:left="450" w:right="0" w:hanging="225"/>
              <w:rPr/>
            </w:pPr>
            <w:r>
              <w:rPr/>
              <w:t>Processed products</w:t>
            </w:r>
          </w:p>
        </w:tc>
        <w:tc>
          <w:tcPr>
            <w:tcW w:w="22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865" w:type="dxa"/>
            <w:tcBorders/>
            <w:shd w:fill="CCEEFF" w:val="clear"/>
            <w:vAlign w:val="bottom"/>
          </w:tcPr>
          <w:p>
            <w:pPr>
              <w:pStyle w:val="TableContents"/>
              <w:spacing w:before="0" w:after="283"/>
              <w:jc w:val="right"/>
              <w:rPr/>
            </w:pPr>
            <w:r>
              <w:rPr/>
              <w:t>10.3</w:t>
            </w:r>
          </w:p>
        </w:tc>
        <w:tc>
          <w:tcPr>
            <w:tcW w:w="354" w:type="dxa"/>
            <w:tcBorders/>
            <w:shd w:fill="CCEEFF" w:val="clear"/>
            <w:vAlign w:val="bottom"/>
          </w:tcPr>
          <w:p>
            <w:pPr>
              <w:pStyle w:val="TableContents"/>
              <w:spacing w:before="0" w:after="283"/>
              <w:rPr/>
            </w:pPr>
            <w:r>
              <w:rPr/>
              <w:t>%</w:t>
            </w:r>
          </w:p>
        </w:tc>
        <w:tc>
          <w:tcPr>
            <w:tcW w:w="237"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13.2</w:t>
            </w:r>
          </w:p>
        </w:tc>
        <w:tc>
          <w:tcPr>
            <w:tcW w:w="247" w:type="dxa"/>
            <w:tcBorders/>
            <w:shd w:fill="CCEEFF" w:val="clear"/>
            <w:vAlign w:val="bottom"/>
          </w:tcPr>
          <w:p>
            <w:pPr>
              <w:pStyle w:val="TableContents"/>
              <w:spacing w:before="0" w:after="283"/>
              <w:rPr/>
            </w:pPr>
            <w:r>
              <w:rPr/>
              <w:t>%</w:t>
            </w:r>
          </w:p>
        </w:tc>
      </w:tr>
      <w:tr>
        <w:trPr/>
        <w:tc>
          <w:tcPr>
            <w:tcW w:w="5355" w:type="dxa"/>
            <w:tcBorders/>
            <w:shd w:fill="auto" w:val="clear"/>
            <w:vAlign w:val="bottom"/>
          </w:tcPr>
          <w:p>
            <w:pPr>
              <w:pStyle w:val="TableContents"/>
              <w:spacing w:before="0" w:after="0"/>
              <w:ind w:left="450" w:right="0" w:hanging="225"/>
              <w:rPr/>
            </w:pPr>
            <w:r>
              <w:rPr/>
              <w:t>Consolidated</w:t>
            </w:r>
          </w:p>
        </w:tc>
        <w:tc>
          <w:tcPr>
            <w:tcW w:w="227"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 </w:t>
            </w:r>
          </w:p>
        </w:tc>
        <w:tc>
          <w:tcPr>
            <w:tcW w:w="865" w:type="dxa"/>
            <w:tcBorders/>
            <w:shd w:fill="auto" w:val="clear"/>
            <w:vAlign w:val="bottom"/>
          </w:tcPr>
          <w:p>
            <w:pPr>
              <w:pStyle w:val="TableContents"/>
              <w:spacing w:before="0" w:after="283"/>
              <w:jc w:val="right"/>
              <w:rPr/>
            </w:pPr>
            <w:r>
              <w:rPr/>
              <w:t>4.1</w:t>
            </w:r>
          </w:p>
        </w:tc>
        <w:tc>
          <w:tcPr>
            <w:tcW w:w="354" w:type="dxa"/>
            <w:tcBorders/>
            <w:shd w:fill="auto" w:val="clear"/>
            <w:vAlign w:val="bottom"/>
          </w:tcPr>
          <w:p>
            <w:pPr>
              <w:pStyle w:val="TableContents"/>
              <w:spacing w:before="0" w:after="283"/>
              <w:rPr/>
            </w:pPr>
            <w:r>
              <w:rPr/>
              <w:t>%</w:t>
            </w:r>
          </w:p>
        </w:tc>
        <w:tc>
          <w:tcPr>
            <w:tcW w:w="23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94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 </w:t>
            </w:r>
          </w:p>
        </w:tc>
        <w:tc>
          <w:tcPr>
            <w:tcW w:w="868" w:type="dxa"/>
            <w:tcBorders/>
            <w:shd w:fill="auto" w:val="clear"/>
            <w:vAlign w:val="bottom"/>
          </w:tcPr>
          <w:p>
            <w:pPr>
              <w:pStyle w:val="TableContents"/>
              <w:spacing w:before="0" w:after="283"/>
              <w:jc w:val="right"/>
              <w:rPr/>
            </w:pPr>
            <w:r>
              <w:rPr/>
              <w:t>6.3</w:t>
            </w:r>
          </w:p>
        </w:tc>
        <w:tc>
          <w:tcPr>
            <w:tcW w:w="247" w:type="dxa"/>
            <w:tcBorders/>
            <w:shd w:fill="auto" w:val="clear"/>
            <w:vAlign w:val="bottom"/>
          </w:tcPr>
          <w:p>
            <w:pPr>
              <w:pStyle w:val="TableContents"/>
              <w:spacing w:before="0" w:after="283"/>
              <w:rPr/>
            </w:pPr>
            <w:r>
              <w:rPr/>
              <w:t>%</w:t>
            </w:r>
          </w:p>
        </w:tc>
      </w:tr>
    </w:tbl>
    <w:p>
      <w:pPr>
        <w:pStyle w:val="TextBody"/>
        <w:jc w:val="left"/>
        <w:rPr/>
      </w:pPr>
      <w:r>
        <w:rPr/>
        <w:t>     </w:t>
      </w:r>
      <w:r>
        <w:rPr>
          <w:rFonts w:ascii="Times New Roman;Times;serif" w:hAnsi="Times New Roman;Times;serif"/>
          <w:sz w:val="17"/>
        </w:rPr>
        <w:t xml:space="preserve">Our cost of goods sold consists predominantly of fruit costs, packing materials, freight and handling, labor and overhead (including depreciation) associated with preparing food products and other direct expenses pertaining to products sold. Gross margins decreased by approximately $1.1 million, or 36.7%, for the first quarter of fiscal 2005 when compared to the same period for fiscal 2004. This decrease was attributable to decreases in the gross profit percentages delivered by all our segments. </w:t>
      </w:r>
    </w:p>
    <w:p>
      <w:pPr>
        <w:pStyle w:val="TextBody"/>
        <w:jc w:val="left"/>
        <w:rPr/>
      </w:pPr>
      <w:r>
        <w:rPr/>
        <w:t>     </w:t>
      </w:r>
      <w:r>
        <w:rPr>
          <w:rFonts w:ascii="Times New Roman;Times;serif" w:hAnsi="Times New Roman;Times;serif"/>
          <w:sz w:val="17"/>
        </w:rPr>
        <w:t xml:space="preserve">Our California avocados segment experienced a lower gross profit percentage principally as a result of lower packing efficiencies achieved at our Santa Paula and Temecula packinghouses during our seasonally lower volume first quarter. The decrease in our gross profit percentages generated by our international avocados and perishable food products segment was principally a result of an increase in fruit costs in relation to corresponding sales prices. This increase in fruit costs had the effect of increasing our per pound costs, which, as a result, adversely affected gross margins. Further, we experienced an increase in sales of non-exported fruit, which typically generate lower margins then exported fruit. These decreases, however, were partially offset by increases in fruit volume during the first fiscal quarter of 2005, which had the effect of reducing our per pound costs. The processed products gross profit percentages for the quarter ended January 31, 2005 decreased primarily as a result of higher fruit costs and final costs related to the closing our Mexicali, Mexico facility. We anticipate that the gross profit percentage for our processed product segment will continue to experience significant fluctuations during the next fiscal quarter primarily due to the aforementioned inefficiencies and the uncertainty of the cost of fruit that will be used in the production process.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serif" w:hAnsi="Times New Roman;Times;serif"/>
          <w:sz w:val="17"/>
        </w:rPr>
      </w:pPr>
      <w:r>
        <w:rPr>
          <w:rFonts w:ascii="Times New Roman;Times;serif" w:hAnsi="Times New Roman;Times;serif"/>
          <w:b/>
          <w:i/>
          <w:sz w:val="17"/>
        </w:rPr>
        <w:t>Selling, General and Administrative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353"/>
        <w:gridCol w:w="227"/>
        <w:gridCol w:w="216"/>
        <w:gridCol w:w="924"/>
        <w:gridCol w:w="299"/>
        <w:gridCol w:w="245"/>
        <w:gridCol w:w="137"/>
        <w:gridCol w:w="877"/>
        <w:gridCol w:w="299"/>
        <w:gridCol w:w="245"/>
        <w:gridCol w:w="216"/>
        <w:gridCol w:w="926"/>
        <w:gridCol w:w="241"/>
      </w:tblGrid>
      <w:tr>
        <w:trPr/>
        <w:tc>
          <w:tcPr>
            <w:tcW w:w="5353"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2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r>
      <w:tr>
        <w:trPr/>
        <w:tc>
          <w:tcPr>
            <w:tcW w:w="5353"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4384"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w:t>
            </w:r>
          </w:p>
        </w:tc>
        <w:tc>
          <w:tcPr>
            <w:tcW w:w="241" w:type="dxa"/>
            <w:tcBorders/>
            <w:shd w:fill="auto" w:val="clear"/>
            <w:vAlign w:val="bottom"/>
          </w:tcPr>
          <w:p>
            <w:pPr>
              <w:pStyle w:val="TableContents"/>
              <w:spacing w:before="0" w:after="283"/>
              <w:rPr/>
            </w:pPr>
            <w:r>
              <w:rPr/>
              <w:t> </w:t>
            </w:r>
          </w:p>
        </w:tc>
      </w:tr>
      <w:tr>
        <w:trPr/>
        <w:tc>
          <w:tcPr>
            <w:tcW w:w="5353" w:type="dxa"/>
            <w:tcBorders/>
            <w:shd w:fill="auto" w:val="clear"/>
            <w:vAlign w:val="bottom"/>
          </w:tcPr>
          <w:p>
            <w:pPr>
              <w:pStyle w:val="TableContents"/>
              <w:spacing w:before="0" w:after="283"/>
              <w:jc w:val="left"/>
              <w:rPr>
                <w:b/>
              </w:rPr>
            </w:pPr>
            <w:r>
              <w:rPr>
                <w:b/>
              </w:rPr>
              <w:t>(in thousands)</w:t>
            </w:r>
          </w:p>
        </w:tc>
        <w:tc>
          <w:tcPr>
            <w:tcW w:w="227" w:type="dxa"/>
            <w:tcBorders/>
            <w:shd w:fill="auto" w:val="clear"/>
            <w:vAlign w:val="bottom"/>
          </w:tcPr>
          <w:p>
            <w:pPr>
              <w:pStyle w:val="TableContents"/>
              <w:spacing w:before="0" w:after="283"/>
              <w:rPr/>
            </w:pPr>
            <w:r>
              <w:rPr/>
              <w:t> </w:t>
            </w:r>
          </w:p>
        </w:tc>
        <w:tc>
          <w:tcPr>
            <w:tcW w:w="11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9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01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9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14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41" w:type="dxa"/>
            <w:tcBorders/>
            <w:shd w:fill="auto" w:val="clear"/>
            <w:vAlign w:val="bottom"/>
          </w:tcPr>
          <w:p>
            <w:pPr>
              <w:pStyle w:val="TableContents"/>
              <w:spacing w:before="0" w:after="283"/>
              <w:rPr/>
            </w:pPr>
            <w:r>
              <w:rPr/>
              <w:t> </w:t>
            </w:r>
          </w:p>
        </w:tc>
      </w:tr>
      <w:tr>
        <w:trPr/>
        <w:tc>
          <w:tcPr>
            <w:tcW w:w="5353" w:type="dxa"/>
            <w:tcBorders/>
            <w:shd w:fill="auto" w:val="clear"/>
            <w:vAlign w:val="bottom"/>
          </w:tcPr>
          <w:p>
            <w:pPr>
              <w:pStyle w:val="TableContents"/>
              <w:spacing w:before="0" w:after="0"/>
              <w:ind w:left="225" w:right="0" w:hanging="225"/>
              <w:rPr/>
            </w:pPr>
            <w:r>
              <w:rPr/>
              <w:t>Selling, general and administrative</w:t>
            </w:r>
          </w:p>
        </w:tc>
        <w:tc>
          <w:tcPr>
            <w:tcW w:w="22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w:t>
            </w:r>
          </w:p>
        </w:tc>
        <w:tc>
          <w:tcPr>
            <w:tcW w:w="924" w:type="dxa"/>
            <w:tcBorders/>
            <w:shd w:fill="auto" w:val="clear"/>
            <w:vAlign w:val="bottom"/>
          </w:tcPr>
          <w:p>
            <w:pPr>
              <w:pStyle w:val="TableContents"/>
              <w:spacing w:before="0" w:after="283"/>
              <w:jc w:val="right"/>
              <w:rPr/>
            </w:pPr>
            <w:r>
              <w:rPr/>
              <w:t>4,513</w:t>
            </w:r>
          </w:p>
        </w:tc>
        <w:tc>
          <w:tcPr>
            <w:tcW w:w="29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22.4</w:t>
            </w:r>
          </w:p>
        </w:tc>
        <w:tc>
          <w:tcPr>
            <w:tcW w:w="299" w:type="dxa"/>
            <w:tcBorders/>
            <w:shd w:fill="auto" w:val="clear"/>
            <w:vAlign w:val="bottom"/>
          </w:tcPr>
          <w:p>
            <w:pPr>
              <w:pStyle w:val="TableContents"/>
              <w:spacing w:before="0" w:after="283"/>
              <w:rPr/>
            </w:pPr>
            <w:r>
              <w:rPr/>
              <w:t>%</w:t>
            </w:r>
          </w:p>
        </w:tc>
        <w:tc>
          <w:tcPr>
            <w:tcW w:w="24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w:t>
            </w:r>
          </w:p>
        </w:tc>
        <w:tc>
          <w:tcPr>
            <w:tcW w:w="926" w:type="dxa"/>
            <w:tcBorders/>
            <w:shd w:fill="auto" w:val="clear"/>
            <w:vAlign w:val="bottom"/>
          </w:tcPr>
          <w:p>
            <w:pPr>
              <w:pStyle w:val="TableContents"/>
              <w:spacing w:before="0" w:after="283"/>
              <w:jc w:val="right"/>
              <w:rPr/>
            </w:pPr>
            <w:r>
              <w:rPr/>
              <w:t>3,687</w:t>
            </w:r>
          </w:p>
        </w:tc>
        <w:tc>
          <w:tcPr>
            <w:tcW w:w="241" w:type="dxa"/>
            <w:tcBorders/>
            <w:shd w:fill="auto" w:val="clear"/>
            <w:vAlign w:val="bottom"/>
          </w:tcPr>
          <w:p>
            <w:pPr>
              <w:pStyle w:val="TableContents"/>
              <w:spacing w:before="0" w:after="283"/>
              <w:rPr/>
            </w:pPr>
            <w:r>
              <w:rPr/>
              <w:t> </w:t>
            </w:r>
          </w:p>
        </w:tc>
      </w:tr>
      <w:tr>
        <w:trPr/>
        <w:tc>
          <w:tcPr>
            <w:tcW w:w="5353" w:type="dxa"/>
            <w:tcBorders/>
            <w:shd w:fill="auto" w:val="clear"/>
            <w:vAlign w:val="bottom"/>
          </w:tcPr>
          <w:p>
            <w:pPr>
              <w:pStyle w:val="TableContents"/>
              <w:spacing w:before="0" w:after="0"/>
              <w:ind w:left="225" w:right="0" w:hanging="225"/>
              <w:rPr/>
            </w:pPr>
            <w:r>
              <w:rPr/>
              <w:t>Percentage of net sales</w:t>
            </w:r>
          </w:p>
        </w:tc>
        <w:tc>
          <w:tcPr>
            <w:tcW w:w="227"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 </w:t>
            </w:r>
          </w:p>
        </w:tc>
        <w:tc>
          <w:tcPr>
            <w:tcW w:w="924" w:type="dxa"/>
            <w:tcBorders/>
            <w:shd w:fill="auto" w:val="clear"/>
            <w:vAlign w:val="bottom"/>
          </w:tcPr>
          <w:p>
            <w:pPr>
              <w:pStyle w:val="TableContents"/>
              <w:spacing w:before="0" w:after="283"/>
              <w:jc w:val="right"/>
              <w:rPr/>
            </w:pPr>
            <w:r>
              <w:rPr/>
              <w:t>9.5</w:t>
            </w:r>
          </w:p>
        </w:tc>
        <w:tc>
          <w:tcPr>
            <w:tcW w:w="299" w:type="dxa"/>
            <w:tcBorders/>
            <w:shd w:fill="auto" w:val="clear"/>
            <w:vAlign w:val="bottom"/>
          </w:tcPr>
          <w:p>
            <w:pPr>
              <w:pStyle w:val="TableContents"/>
              <w:spacing w:before="0" w:after="283"/>
              <w:rPr/>
            </w:pPr>
            <w:r>
              <w:rPr/>
              <w:t>%</w:t>
            </w:r>
          </w:p>
        </w:tc>
        <w:tc>
          <w:tcPr>
            <w:tcW w:w="24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 </w:t>
            </w:r>
          </w:p>
        </w:tc>
        <w:tc>
          <w:tcPr>
            <w:tcW w:w="926" w:type="dxa"/>
            <w:tcBorders/>
            <w:shd w:fill="auto" w:val="clear"/>
            <w:vAlign w:val="bottom"/>
          </w:tcPr>
          <w:p>
            <w:pPr>
              <w:pStyle w:val="TableContents"/>
              <w:spacing w:before="0" w:after="283"/>
              <w:jc w:val="right"/>
              <w:rPr/>
            </w:pPr>
            <w:r>
              <w:rPr/>
              <w:t>7.5</w:t>
            </w:r>
          </w:p>
        </w:tc>
        <w:tc>
          <w:tcPr>
            <w:tcW w:w="241" w:type="dxa"/>
            <w:tcBorders/>
            <w:shd w:fill="auto" w:val="clear"/>
            <w:vAlign w:val="bottom"/>
          </w:tcPr>
          <w:p>
            <w:pPr>
              <w:pStyle w:val="TableContents"/>
              <w:spacing w:before="0" w:after="283"/>
              <w:rPr/>
            </w:pPr>
            <w:r>
              <w:rPr/>
              <w:t>%</w:t>
            </w:r>
          </w:p>
        </w:tc>
      </w:tr>
    </w:tbl>
    <w:p>
      <w:pPr>
        <w:pStyle w:val="TextBody"/>
        <w:jc w:val="left"/>
        <w:rPr/>
      </w:pPr>
      <w:r>
        <w:rPr/>
        <w:t>     </w:t>
      </w:r>
      <w:r>
        <w:rPr>
          <w:rFonts w:ascii="Times New Roman;Times;serif" w:hAnsi="Times New Roman;Times;serif"/>
          <w:sz w:val="17"/>
        </w:rPr>
        <w:t xml:space="preserve">Selling, general and administrative expenses include costs of marketing and advertising, sales expenses and other general and administrative costs. Selling, general and administrative expenses increased $0.8 million, or 22.4%, for the three months ended January 31, 2005 when compared to the same period for fiscal 2004. The increased general and administrative costs relate primarily to higher corporate costs, which include costs related to implementing provisions required under Section 404 of the Sarbanes-Oxley Act (totaling approximately $0.3 million) and final expenses related to the closing our Mexicali, Mexico facility (totaling approximately $0.1 million). Such higher corporate costs were partially offset by a decrease in employee compensation costs (totaling approximately $0.2 million). </w:t>
      </w:r>
    </w:p>
    <w:p>
      <w:pPr>
        <w:pStyle w:val="TextBody"/>
        <w:spacing w:before="0" w:after="0"/>
        <w:jc w:val="left"/>
        <w:rPr>
          <w:rFonts w:ascii="Times New Roman;Times;serif" w:hAnsi="Times New Roman;Times;serif"/>
          <w:sz w:val="17"/>
        </w:rPr>
      </w:pPr>
      <w:r>
        <w:rPr>
          <w:rFonts w:ascii="Times New Roman;Times;serif" w:hAnsi="Times New Roman;Times;serif"/>
          <w:b/>
          <w:i/>
          <w:sz w:val="17"/>
        </w:rPr>
        <w:t>Other Income, net</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272"/>
        <w:gridCol w:w="223"/>
        <w:gridCol w:w="248"/>
        <w:gridCol w:w="722"/>
        <w:gridCol w:w="350"/>
        <w:gridCol w:w="252"/>
        <w:gridCol w:w="138"/>
        <w:gridCol w:w="988"/>
        <w:gridCol w:w="452"/>
        <w:gridCol w:w="252"/>
        <w:gridCol w:w="248"/>
        <w:gridCol w:w="807"/>
        <w:gridCol w:w="253"/>
      </w:tblGrid>
      <w:tr>
        <w:trPr/>
        <w:tc>
          <w:tcPr>
            <w:tcW w:w="527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4457"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w:t>
            </w:r>
          </w:p>
        </w:tc>
        <w:tc>
          <w:tcPr>
            <w:tcW w:w="253"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jc w:val="left"/>
              <w:rPr>
                <w:b/>
              </w:rPr>
            </w:pPr>
            <w:r>
              <w:rPr>
                <w:b/>
              </w:rPr>
              <w:t>(in thousands)</w:t>
            </w:r>
          </w:p>
        </w:tc>
        <w:tc>
          <w:tcPr>
            <w:tcW w:w="223" w:type="dxa"/>
            <w:tcBorders/>
            <w:shd w:fill="auto" w:val="clear"/>
            <w:vAlign w:val="bottom"/>
          </w:tcPr>
          <w:p>
            <w:pPr>
              <w:pStyle w:val="TableContents"/>
              <w:spacing w:before="0" w:after="283"/>
              <w:rPr/>
            </w:pPr>
            <w:r>
              <w:rPr/>
              <w:t> </w:t>
            </w:r>
          </w:p>
        </w:tc>
        <w:tc>
          <w:tcPr>
            <w:tcW w:w="97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35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12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452"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53"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0"/>
              <w:ind w:left="225" w:right="0" w:hanging="225"/>
              <w:rPr/>
            </w:pPr>
            <w:r>
              <w:rPr/>
              <w:t>Other income, net.</w:t>
            </w:r>
          </w:p>
        </w:tc>
        <w:tc>
          <w:tcPr>
            <w:tcW w:w="223"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w:t>
            </w:r>
          </w:p>
        </w:tc>
        <w:tc>
          <w:tcPr>
            <w:tcW w:w="722" w:type="dxa"/>
            <w:tcBorders/>
            <w:shd w:fill="auto" w:val="clear"/>
            <w:vAlign w:val="bottom"/>
          </w:tcPr>
          <w:p>
            <w:pPr>
              <w:pStyle w:val="TableContents"/>
              <w:spacing w:before="0" w:after="283"/>
              <w:jc w:val="right"/>
              <w:rPr/>
            </w:pPr>
            <w:r>
              <w:rPr/>
              <w:t>82</w:t>
            </w:r>
          </w:p>
        </w:tc>
        <w:tc>
          <w:tcPr>
            <w:tcW w:w="35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jc w:val="left"/>
              <w:rPr/>
            </w:pPr>
            <w:r>
              <w:rPr/>
              <w:t> </w:t>
            </w:r>
          </w:p>
        </w:tc>
        <w:tc>
          <w:tcPr>
            <w:tcW w:w="988" w:type="dxa"/>
            <w:tcBorders/>
            <w:shd w:fill="auto" w:val="clear"/>
            <w:vAlign w:val="bottom"/>
          </w:tcPr>
          <w:p>
            <w:pPr>
              <w:pStyle w:val="TableContents"/>
              <w:spacing w:before="0" w:after="283"/>
              <w:jc w:val="right"/>
              <w:rPr/>
            </w:pPr>
            <w:r>
              <w:rPr/>
              <w:t>(28.1</w:t>
            </w:r>
          </w:p>
        </w:tc>
        <w:tc>
          <w:tcPr>
            <w:tcW w:w="452"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w:t>
            </w:r>
          </w:p>
        </w:tc>
        <w:tc>
          <w:tcPr>
            <w:tcW w:w="807" w:type="dxa"/>
            <w:tcBorders/>
            <w:shd w:fill="auto" w:val="clear"/>
            <w:vAlign w:val="bottom"/>
          </w:tcPr>
          <w:p>
            <w:pPr>
              <w:pStyle w:val="TableContents"/>
              <w:spacing w:before="0" w:after="283"/>
              <w:jc w:val="right"/>
              <w:rPr/>
            </w:pPr>
            <w:r>
              <w:rPr/>
              <w:t>114</w:t>
            </w:r>
          </w:p>
        </w:tc>
        <w:tc>
          <w:tcPr>
            <w:tcW w:w="253"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0"/>
              <w:ind w:left="225" w:right="0" w:hanging="225"/>
              <w:rPr/>
            </w:pPr>
            <w:r>
              <w:rPr/>
              <w:t>Percentage of net sales.</w:t>
            </w:r>
          </w:p>
        </w:tc>
        <w:tc>
          <w:tcPr>
            <w:tcW w:w="223"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 </w:t>
            </w:r>
          </w:p>
        </w:tc>
        <w:tc>
          <w:tcPr>
            <w:tcW w:w="722" w:type="dxa"/>
            <w:tcBorders/>
            <w:shd w:fill="auto" w:val="clear"/>
            <w:vAlign w:val="bottom"/>
          </w:tcPr>
          <w:p>
            <w:pPr>
              <w:pStyle w:val="TableContents"/>
              <w:spacing w:before="0" w:after="283"/>
              <w:jc w:val="right"/>
              <w:rPr/>
            </w:pPr>
            <w:r>
              <w:rPr/>
              <w:t>0.2</w:t>
            </w:r>
          </w:p>
        </w:tc>
        <w:tc>
          <w:tcPr>
            <w:tcW w:w="350" w:type="dxa"/>
            <w:tcBorders/>
            <w:shd w:fill="auto" w:val="clear"/>
            <w:vAlign w:val="bottom"/>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 </w:t>
            </w:r>
          </w:p>
        </w:tc>
        <w:tc>
          <w:tcPr>
            <w:tcW w:w="807" w:type="dxa"/>
            <w:tcBorders/>
            <w:shd w:fill="auto" w:val="clear"/>
            <w:vAlign w:val="bottom"/>
          </w:tcPr>
          <w:p>
            <w:pPr>
              <w:pStyle w:val="TableContents"/>
              <w:spacing w:before="0" w:after="283"/>
              <w:jc w:val="right"/>
              <w:rPr/>
            </w:pPr>
            <w:r>
              <w:rPr/>
              <w:t>0.2</w:t>
            </w:r>
          </w:p>
        </w:tc>
        <w:tc>
          <w:tcPr>
            <w:tcW w:w="253" w:type="dxa"/>
            <w:tcBorders/>
            <w:shd w:fill="auto" w:val="clear"/>
            <w:vAlign w:val="bottom"/>
          </w:tcPr>
          <w:p>
            <w:pPr>
              <w:pStyle w:val="TableContents"/>
              <w:spacing w:before="0" w:after="283"/>
              <w:rPr/>
            </w:pPr>
            <w:r>
              <w:rPr/>
              <w:t>%</w:t>
            </w:r>
          </w:p>
        </w:tc>
      </w:tr>
    </w:tbl>
    <w:p>
      <w:pPr>
        <w:pStyle w:val="TextBody"/>
        <w:jc w:val="left"/>
        <w:rPr/>
      </w:pPr>
      <w:r>
        <w:rPr/>
        <w:t>     </w:t>
      </w:r>
      <w:r>
        <w:rPr>
          <w:rFonts w:ascii="Times New Roman;Times;serif" w:hAnsi="Times New Roman;Times;serif"/>
          <w:sz w:val="17"/>
        </w:rPr>
        <w:t xml:space="preserve">Other income, net includes interest income and expense generated in connection with our financing and operating activities, as well as certain other transactions that are outside of the course of normal operations. During the first quarter of fiscal 2005, other income, net includes interest accrued on notes receivable from directors and employees of approximately $0.1 million. </w:t>
      </w:r>
    </w:p>
    <w:p>
      <w:pPr>
        <w:pStyle w:val="TextBody"/>
        <w:spacing w:before="0" w:after="0"/>
        <w:jc w:val="left"/>
        <w:rPr>
          <w:rFonts w:ascii="Times New Roman;Times;serif" w:hAnsi="Times New Roman;Times;serif"/>
          <w:sz w:val="17"/>
        </w:rPr>
      </w:pPr>
      <w:r>
        <w:rPr>
          <w:rFonts w:ascii="Times New Roman;Times;serif" w:hAnsi="Times New Roman;Times;serif"/>
          <w:b/>
          <w:i/>
          <w:sz w:val="17"/>
        </w:rPr>
        <w:t>Benefit for Income Taxes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301"/>
        <w:gridCol w:w="225"/>
        <w:gridCol w:w="205"/>
        <w:gridCol w:w="835"/>
        <w:gridCol w:w="364"/>
        <w:gridCol w:w="237"/>
        <w:gridCol w:w="121"/>
        <w:gridCol w:w="962"/>
        <w:gridCol w:w="364"/>
        <w:gridCol w:w="237"/>
        <w:gridCol w:w="204"/>
        <w:gridCol w:w="840"/>
        <w:gridCol w:w="310"/>
      </w:tblGrid>
      <w:tr>
        <w:trPr/>
        <w:tc>
          <w:tcPr>
            <w:tcW w:w="5301"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r>
      <w:tr>
        <w:trPr/>
        <w:tc>
          <w:tcPr>
            <w:tcW w:w="5301"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4369"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w:t>
            </w:r>
          </w:p>
        </w:tc>
        <w:tc>
          <w:tcPr>
            <w:tcW w:w="310" w:type="dxa"/>
            <w:tcBorders/>
            <w:shd w:fill="auto" w:val="clear"/>
            <w:vAlign w:val="bottom"/>
          </w:tcPr>
          <w:p>
            <w:pPr>
              <w:pStyle w:val="TableContents"/>
              <w:spacing w:before="0" w:after="283"/>
              <w:rPr/>
            </w:pPr>
            <w:r>
              <w:rPr/>
              <w:t> </w:t>
            </w:r>
          </w:p>
        </w:tc>
      </w:tr>
      <w:tr>
        <w:trPr/>
        <w:tc>
          <w:tcPr>
            <w:tcW w:w="5301" w:type="dxa"/>
            <w:tcBorders/>
            <w:shd w:fill="auto" w:val="clear"/>
            <w:vAlign w:val="bottom"/>
          </w:tcPr>
          <w:p>
            <w:pPr>
              <w:pStyle w:val="TableContents"/>
              <w:spacing w:before="0" w:after="283"/>
              <w:jc w:val="left"/>
              <w:rPr>
                <w:b/>
              </w:rPr>
            </w:pPr>
            <w:r>
              <w:rPr>
                <w:b/>
              </w:rPr>
              <w:t>(in thousands)</w:t>
            </w:r>
          </w:p>
        </w:tc>
        <w:tc>
          <w:tcPr>
            <w:tcW w:w="225" w:type="dxa"/>
            <w:tcBorders/>
            <w:shd w:fill="auto" w:val="cle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3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0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0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310" w:type="dxa"/>
            <w:tcBorders/>
            <w:shd w:fill="auto" w:val="clear"/>
            <w:vAlign w:val="bottom"/>
          </w:tcPr>
          <w:p>
            <w:pPr>
              <w:pStyle w:val="TableContents"/>
              <w:spacing w:before="0" w:after="283"/>
              <w:rPr/>
            </w:pPr>
            <w:r>
              <w:rPr/>
              <w:t> </w:t>
            </w:r>
          </w:p>
        </w:tc>
      </w:tr>
      <w:tr>
        <w:trPr/>
        <w:tc>
          <w:tcPr>
            <w:tcW w:w="5301" w:type="dxa"/>
            <w:tcBorders/>
            <w:shd w:fill="auto" w:val="clear"/>
            <w:vAlign w:val="bottom"/>
          </w:tcPr>
          <w:p>
            <w:pPr>
              <w:pStyle w:val="TableContents"/>
              <w:spacing w:before="0" w:after="0"/>
              <w:ind w:left="225" w:right="0" w:hanging="225"/>
              <w:rPr/>
            </w:pPr>
            <w:r>
              <w:rPr/>
              <w:t>Benefit for income taxes</w:t>
            </w:r>
          </w:p>
        </w:tc>
        <w:tc>
          <w:tcPr>
            <w:tcW w:w="22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835" w:type="dxa"/>
            <w:tcBorders/>
            <w:shd w:fill="auto" w:val="clear"/>
            <w:vAlign w:val="bottom"/>
          </w:tcPr>
          <w:p>
            <w:pPr>
              <w:pStyle w:val="TableContents"/>
              <w:spacing w:before="0" w:after="283"/>
              <w:jc w:val="right"/>
              <w:rPr/>
            </w:pPr>
            <w:r>
              <w:rPr/>
              <w:t>(932</w:t>
            </w:r>
          </w:p>
        </w:tc>
        <w:tc>
          <w:tcPr>
            <w:tcW w:w="364" w:type="dxa"/>
            <w:tcBorders/>
            <w:shd w:fill="auto" w:val="clear"/>
            <w:vAlign w:val="bottom"/>
          </w:tcPr>
          <w:p>
            <w:pPr>
              <w:pStyle w:val="TableContents"/>
              <w:spacing w:before="0" w:after="283"/>
              <w:rPr/>
            </w:pPr>
            <w:r>
              <w:rPr/>
              <w:t>)</w:t>
            </w:r>
          </w:p>
        </w:tc>
        <w:tc>
          <w:tcPr>
            <w:tcW w:w="23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c>
          <w:tcPr>
            <w:tcW w:w="962" w:type="dxa"/>
            <w:tcBorders/>
            <w:shd w:fill="auto" w:val="clear"/>
            <w:vAlign w:val="bottom"/>
          </w:tcPr>
          <w:p>
            <w:pPr>
              <w:pStyle w:val="TableContents"/>
              <w:spacing w:before="0" w:after="283"/>
              <w:jc w:val="right"/>
              <w:rPr/>
            </w:pPr>
            <w:r>
              <w:rPr/>
              <w:t>(377.9</w:t>
            </w:r>
          </w:p>
        </w:tc>
        <w:tc>
          <w:tcPr>
            <w:tcW w:w="364" w:type="dxa"/>
            <w:tcBorders/>
            <w:shd w:fill="auto" w:val="clear"/>
            <w:vAlign w:val="bottom"/>
          </w:tcPr>
          <w:p>
            <w:pPr>
              <w:pStyle w:val="TableContents"/>
              <w:spacing w:before="0" w:after="283"/>
              <w:rPr/>
            </w:pPr>
            <w:r>
              <w:rPr/>
              <w:t>)%</w:t>
            </w:r>
          </w:p>
        </w:tc>
        <w:tc>
          <w:tcPr>
            <w:tcW w:w="237"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840" w:type="dxa"/>
            <w:tcBorders/>
            <w:shd w:fill="auto" w:val="clear"/>
            <w:vAlign w:val="bottom"/>
          </w:tcPr>
          <w:p>
            <w:pPr>
              <w:pStyle w:val="TableContents"/>
              <w:spacing w:before="0" w:after="283"/>
              <w:jc w:val="right"/>
              <w:rPr/>
            </w:pPr>
            <w:r>
              <w:rPr/>
              <w:t>(195</w:t>
            </w:r>
          </w:p>
        </w:tc>
        <w:tc>
          <w:tcPr>
            <w:tcW w:w="310" w:type="dxa"/>
            <w:tcBorders/>
            <w:shd w:fill="auto" w:val="clear"/>
            <w:vAlign w:val="bottom"/>
          </w:tcPr>
          <w:p>
            <w:pPr>
              <w:pStyle w:val="TableContents"/>
              <w:spacing w:before="0" w:after="283"/>
              <w:rPr/>
            </w:pPr>
            <w:r>
              <w:rPr/>
              <w:t>)</w:t>
            </w:r>
          </w:p>
        </w:tc>
      </w:tr>
      <w:tr>
        <w:trPr/>
        <w:tc>
          <w:tcPr>
            <w:tcW w:w="5301" w:type="dxa"/>
            <w:tcBorders/>
            <w:shd w:fill="auto" w:val="clear"/>
            <w:vAlign w:val="bottom"/>
          </w:tcPr>
          <w:p>
            <w:pPr>
              <w:pStyle w:val="TableContents"/>
              <w:spacing w:before="0" w:after="0"/>
              <w:ind w:left="225" w:right="0" w:hanging="225"/>
              <w:rPr/>
            </w:pPr>
            <w:r>
              <w:rPr/>
              <w:t>Percentage of loss before benefit for income taxes</w:t>
            </w:r>
          </w:p>
        </w:tc>
        <w:tc>
          <w:tcPr>
            <w:tcW w:w="22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 </w:t>
            </w:r>
          </w:p>
        </w:tc>
        <w:tc>
          <w:tcPr>
            <w:tcW w:w="835" w:type="dxa"/>
            <w:tcBorders/>
            <w:shd w:fill="auto" w:val="clear"/>
            <w:vAlign w:val="bottom"/>
          </w:tcPr>
          <w:p>
            <w:pPr>
              <w:pStyle w:val="TableContents"/>
              <w:spacing w:before="0" w:after="283"/>
              <w:jc w:val="right"/>
              <w:rPr/>
            </w:pPr>
            <w:r>
              <w:rPr/>
              <w:t>(37.6</w:t>
            </w:r>
          </w:p>
        </w:tc>
        <w:tc>
          <w:tcPr>
            <w:tcW w:w="364" w:type="dxa"/>
            <w:tcBorders/>
            <w:shd w:fill="auto" w:val="clear"/>
            <w:vAlign w:val="bottom"/>
          </w:tcPr>
          <w:p>
            <w:pPr>
              <w:pStyle w:val="TableContents"/>
              <w:spacing w:before="0" w:after="283"/>
              <w:rPr/>
            </w:pPr>
            <w:r>
              <w:rPr/>
              <w:t>%)</w:t>
            </w:r>
          </w:p>
        </w:tc>
        <w:tc>
          <w:tcPr>
            <w:tcW w:w="237"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840" w:type="dxa"/>
            <w:tcBorders/>
            <w:shd w:fill="auto" w:val="clear"/>
            <w:vAlign w:val="bottom"/>
          </w:tcPr>
          <w:p>
            <w:pPr>
              <w:pStyle w:val="TableContents"/>
              <w:spacing w:before="0" w:after="283"/>
              <w:jc w:val="right"/>
              <w:rPr/>
            </w:pPr>
            <w:r>
              <w:rPr/>
              <w:t>(39.9</w:t>
            </w:r>
          </w:p>
        </w:tc>
        <w:tc>
          <w:tcPr>
            <w:tcW w:w="310" w:type="dxa"/>
            <w:tcBorders/>
            <w:shd w:fill="auto" w:val="clear"/>
            <w:vAlign w:val="bottom"/>
          </w:tcPr>
          <w:p>
            <w:pPr>
              <w:pStyle w:val="TableContents"/>
              <w:spacing w:before="0" w:after="283"/>
              <w:rPr/>
            </w:pPr>
            <w:r>
              <w:rPr/>
              <w:t>%)</w:t>
            </w:r>
          </w:p>
        </w:tc>
      </w:tr>
    </w:tbl>
    <w:p>
      <w:pPr>
        <w:pStyle w:val="TextBody"/>
        <w:jc w:val="left"/>
        <w:rPr/>
      </w:pPr>
      <w:r>
        <w:rPr/>
        <w:t>     </w:t>
      </w:r>
      <w:r>
        <w:rPr>
          <w:rFonts w:ascii="Times New Roman;Times;serif" w:hAnsi="Times New Roman;Times;serif"/>
          <w:sz w:val="17"/>
        </w:rPr>
        <w:t xml:space="preserve">For the first three months of fiscal year 2005, our benefit for income taxes was $(0.9) million as compared to $(0.2) million recorded for the comparable prior year period. We expect our effective tax rate to approximate 38.0% during fiscal year 2005.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r>
        <w:rPr>
          <w:rFonts w:ascii="Times New Roman;Times;serif" w:hAnsi="Times New Roman;Times;serif"/>
          <w:b/>
          <w:sz w:val="17"/>
        </w:rPr>
        <w:t>Liquidity and Capital Resources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Cash provided by operating activities was $3.7 million for the three months ended January 31, 2005, compared to cash used in operating activities of $2.0 million for the similar period in fiscal 2004. Operating cash flows for the three-months ended January 31, 2005 reflect our net loss of $1.5 million, net non-cash charges (depreciation and amortization, stock compensation expense and provision for losses on accounts receivable) of $0.8 million and a net increase in the noncash components of our working capital of approximately $4.4 million. </w:t>
      </w:r>
    </w:p>
    <w:p>
      <w:pPr>
        <w:pStyle w:val="TextBody"/>
        <w:jc w:val="left"/>
        <w:rPr/>
      </w:pPr>
      <w:r>
        <w:rPr/>
        <w:t>     </w:t>
      </w:r>
      <w:r>
        <w:rPr>
          <w:rFonts w:ascii="Times New Roman;Times;serif" w:hAnsi="Times New Roman;Times;serif"/>
          <w:sz w:val="17"/>
        </w:rPr>
        <w:t xml:space="preserve">These working capital increases include a decrease in accounts receivable of $2.4 million, a decrease in advances to suppliers totaling $2.2 million, an increase in trade accounts payable and accrued expenses of $3.6 million, and other miscellaneous increases totaling $0.1 million, partially offset by a decrease in payable to growers of $3.0 million, an increase in income tax receivable of $0.9 million. </w:t>
      </w:r>
    </w:p>
    <w:p>
      <w:pPr>
        <w:pStyle w:val="TextBody"/>
        <w:jc w:val="left"/>
        <w:rPr/>
      </w:pPr>
      <w:r>
        <w:rPr/>
        <w:t>     </w:t>
      </w:r>
      <w:r>
        <w:rPr>
          <w:rFonts w:ascii="Times New Roman;Times;serif" w:hAnsi="Times New Roman;Times;serif"/>
          <w:sz w:val="17"/>
        </w:rPr>
        <w:t xml:space="preserve">Decreases in our accounts receivable balance as of January 31, 2005, when compared to October 31, 2004, primarily reflect lower sales recorded in the month of January 2005, as compared to October 2004. The amounts payable to our growers reflects a decrease in the price per pound of California avocados marketed in the month of January 2005, as compared to October 2004. This price decrease is primarily related to the increase in Chilean fruit in the marketplace during our first fiscal quarter of 2005. The decrease in advances to suppliers is primarily related to collections during our first fiscal quarter of 2005 on previously advanced amounts. </w:t>
      </w:r>
    </w:p>
    <w:p>
      <w:pPr>
        <w:pStyle w:val="TextBody"/>
        <w:jc w:val="left"/>
        <w:rPr/>
      </w:pPr>
      <w:r>
        <w:rPr/>
        <w:t>     </w:t>
      </w:r>
      <w:r>
        <w:rPr>
          <w:rFonts w:ascii="Times New Roman;Times;serif" w:hAnsi="Times New Roman;Times;serif"/>
          <w:sz w:val="17"/>
        </w:rPr>
        <w:t xml:space="preserve">Cash used in investing activities was $0.7 million for the three months ended January 31, 2005 and related principally to the purchase of additional capital equipment for our new processed operations facility in Uruapan, Michoacan, Mexico. </w:t>
      </w:r>
    </w:p>
    <w:p>
      <w:pPr>
        <w:pStyle w:val="TextBody"/>
        <w:jc w:val="left"/>
        <w:rPr/>
      </w:pPr>
      <w:r>
        <w:rPr/>
        <w:t>     </w:t>
      </w:r>
      <w:r>
        <w:rPr>
          <w:rFonts w:ascii="Times New Roman;Times;serif" w:hAnsi="Times New Roman;Times;serif"/>
          <w:sz w:val="17"/>
        </w:rPr>
        <w:t xml:space="preserve">Cash used in financing activities was $3.1 million for the three months ended January 31, 2005 related principally to $4.1 million of cash outflows from the payment of a dividend, partially offset by $1.0 million in proceeds from short-term borrowings. </w:t>
      </w:r>
    </w:p>
    <w:p>
      <w:pPr>
        <w:pStyle w:val="TextBody"/>
        <w:jc w:val="left"/>
        <w:rPr/>
      </w:pPr>
      <w:r>
        <w:rPr/>
        <w:t>     </w:t>
      </w:r>
      <w:r>
        <w:rPr>
          <w:rFonts w:ascii="Times New Roman;Times;serif" w:hAnsi="Times New Roman;Times;serif"/>
          <w:sz w:val="17"/>
        </w:rPr>
        <w:t xml:space="preserve">Our principal sources of liquidity are our existing cash reserves, cash generated from operations and amounts available for borrowing under our existing credit facilities. Cash and cash equivalents as of January 31, 2005 and October 31, 2004 totaled $0.5 million and $0.6 million. Our working capital at January 31, 2005 was $19.0 million compared to $20.4 million at October 31, 2004. The overall working capital decrease primarily reflects an increase in our accrued expenses as well as additional short-term borrowings. </w:t>
      </w:r>
    </w:p>
    <w:p>
      <w:pPr>
        <w:pStyle w:val="TextBody"/>
        <w:jc w:val="left"/>
        <w:rPr/>
      </w:pPr>
      <w:r>
        <w:rPr/>
        <w:t>     </w:t>
      </w:r>
      <w:r>
        <w:rPr>
          <w:rFonts w:ascii="Times New Roman;Times;serif" w:hAnsi="Times New Roman;Times;serif"/>
          <w:sz w:val="17"/>
        </w:rPr>
        <w:t xml:space="preserve">We believe that cash flows from operations and available credit facilities will be sufficient to satisfy our future capital expenditures, grower recruitment efforts, working capital and other financing requirements. We will continue to evaluate grower recruitment opportunities and exclusivity arrangements with food service companies to fuel growth in each of our business segments. We have two short-term, non-collateralized, revolving credit facilities. These credit facilities expire in January 2006 and April 2006 and are with separate banks. Under the terms of these agreements, we are advanced funds for working capital purposes. Total credit available under the combined short-term borrowing agreements was $24 million, with a weighted-average interest rate of 3.3% and 2.9% at January 31, 2005 and October 31, 2004. Under these credit facilities, we had $3 million and $3.5 million outstanding as of January 31, 2005 and October 31, 2004. The credit facilities contain various financial covenants with which we were in compliance at January 31, 2005. </w:t>
      </w:r>
    </w:p>
    <w:p>
      <w:pPr>
        <w:pStyle w:val="TextBody"/>
        <w:jc w:val="left"/>
        <w:rPr>
          <w:rFonts w:ascii="Times New Roman;Times;serif" w:hAnsi="Times New Roman;Times;serif"/>
          <w:sz w:val="17"/>
        </w:rPr>
      </w:pPr>
      <w:r>
        <w:rPr>
          <w:rFonts w:ascii="Times New Roman;Times;serif" w:hAnsi="Times New Roman;Times;serif"/>
          <w:b/>
          <w:sz w:val="17"/>
        </w:rPr>
        <w:t>Impact of Recently Issued Accounting Pronouncements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See footnote 1 to the consolidated condensed financial statements that are included in this Quarterly Report on Form 10-Q.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bookmarkStart w:id="10" w:name="108"/>
      <w:bookmarkEnd w:id="10"/>
      <w:r>
        <w:rPr>
          <w:rFonts w:ascii="Times New Roman;Times;serif" w:hAnsi="Times New Roman;Times;serif"/>
          <w:b/>
          <w:sz w:val="17"/>
        </w:rPr>
        <w:t>ITEM 3. QUANTITATIVE AND QUALITATIVE DISCLOSURES ABOUT MARKET RISK</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Our financial instruments include cash and cash equivalents, accounts receivable, short term loans to growers, notes receivable from shareholders, payable to growers, accounts payable, current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January 31, 2005. </w:t>
      </w:r>
    </w:p>
    <w:tbl>
      <w:tblPr>
        <w:tblW w:w="5000" w:type="pct"/>
        <w:jc w:val="center"/>
        <w:tblInd w:w="0" w:type="dxa"/>
        <w:tblCellMar>
          <w:top w:w="0" w:type="dxa"/>
          <w:left w:w="0" w:type="dxa"/>
          <w:bottom w:w="0" w:type="dxa"/>
          <w:right w:w="0" w:type="dxa"/>
        </w:tblCellMar>
      </w:tblPr>
      <w:tblGrid>
        <w:gridCol w:w="2875"/>
        <w:gridCol w:w="89"/>
        <w:gridCol w:w="146"/>
        <w:gridCol w:w="693"/>
        <w:gridCol w:w="68"/>
        <w:gridCol w:w="89"/>
        <w:gridCol w:w="146"/>
        <w:gridCol w:w="401"/>
        <w:gridCol w:w="68"/>
        <w:gridCol w:w="89"/>
        <w:gridCol w:w="146"/>
        <w:gridCol w:w="575"/>
        <w:gridCol w:w="68"/>
        <w:gridCol w:w="89"/>
        <w:gridCol w:w="210"/>
        <w:gridCol w:w="318"/>
        <w:gridCol w:w="68"/>
        <w:gridCol w:w="89"/>
        <w:gridCol w:w="210"/>
        <w:gridCol w:w="318"/>
        <w:gridCol w:w="68"/>
        <w:gridCol w:w="89"/>
        <w:gridCol w:w="409"/>
        <w:gridCol w:w="601"/>
        <w:gridCol w:w="68"/>
        <w:gridCol w:w="89"/>
        <w:gridCol w:w="146"/>
        <w:gridCol w:w="693"/>
        <w:gridCol w:w="68"/>
        <w:gridCol w:w="89"/>
        <w:gridCol w:w="180"/>
        <w:gridCol w:w="859"/>
        <w:gridCol w:w="91"/>
      </w:tblGrid>
      <w:tr>
        <w:trPr/>
        <w:tc>
          <w:tcPr>
            <w:tcW w:w="287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r>
      <w:tr>
        <w:trPr/>
        <w:tc>
          <w:tcPr>
            <w:tcW w:w="2875" w:type="dxa"/>
            <w:tcBorders/>
            <w:shd w:fill="auto" w:val="clear"/>
            <w:vAlign w:val="bottom"/>
          </w:tcPr>
          <w:p>
            <w:pPr>
              <w:pStyle w:val="TableContents"/>
              <w:spacing w:before="0" w:after="283"/>
              <w:jc w:val="left"/>
              <w:rPr/>
            </w:pPr>
            <w:r>
              <w:rPr/>
              <w:t>(All amounts in thousands)</w:t>
            </w:r>
          </w:p>
        </w:tc>
        <w:tc>
          <w:tcPr>
            <w:tcW w:w="89" w:type="dxa"/>
            <w:tcBorders/>
            <w:shd w:fill="auto" w:val="clear"/>
            <w:vAlign w:val="bottom"/>
          </w:tcPr>
          <w:p>
            <w:pPr>
              <w:pStyle w:val="TableContents"/>
              <w:spacing w:before="0" w:after="283"/>
              <w:rPr/>
            </w:pPr>
            <w:r>
              <w:rPr/>
              <w:t> </w:t>
            </w:r>
          </w:p>
        </w:tc>
        <w:tc>
          <w:tcPr>
            <w:tcW w:w="7150" w:type="dxa"/>
            <w:gridSpan w:val="30"/>
            <w:tcBorders>
              <w:bottom w:val="single" w:sz="2" w:space="0" w:color="000000"/>
            </w:tcBorders>
            <w:shd w:fill="auto" w:val="clear"/>
            <w:tcMar>
              <w:bottom w:w="28" w:type="dxa"/>
            </w:tcMar>
            <w:vAlign w:val="bottom"/>
          </w:tcPr>
          <w:p>
            <w:pPr>
              <w:pStyle w:val="TableContents"/>
              <w:spacing w:before="0" w:after="283"/>
              <w:jc w:val="center"/>
              <w:rPr/>
            </w:pPr>
            <w:r>
              <w:rPr/>
              <w:t>Expected maturity date January 31,</w:t>
            </w:r>
          </w:p>
        </w:tc>
        <w:tc>
          <w:tcPr>
            <w:tcW w:w="91" w:type="dxa"/>
            <w:tcBorders/>
            <w:shd w:fill="auto" w:val="clear"/>
            <w:vAlign w:val="bottom"/>
          </w:tcPr>
          <w:p>
            <w:pPr>
              <w:pStyle w:val="TableContents"/>
              <w:spacing w:before="0" w:after="283"/>
              <w:rPr/>
            </w:pPr>
            <w:r>
              <w:rPr/>
              <w:t> </w:t>
            </w:r>
          </w:p>
        </w:tc>
      </w:tr>
      <w:tr>
        <w:trPr/>
        <w:tc>
          <w:tcPr>
            <w:tcW w:w="287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3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2004</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52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52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10" w:type="dxa"/>
            <w:gridSpan w:val="2"/>
            <w:tcBorders>
              <w:bottom w:val="single" w:sz="2" w:space="0" w:color="000000"/>
            </w:tcBorders>
            <w:shd w:fill="auto" w:val="clear"/>
            <w:tcMar>
              <w:bottom w:w="28" w:type="dxa"/>
            </w:tcMar>
            <w:vAlign w:val="bottom"/>
          </w:tcPr>
          <w:p>
            <w:pPr>
              <w:pStyle w:val="TableContents"/>
              <w:spacing w:before="0" w:after="283"/>
              <w:jc w:val="center"/>
              <w:rPr/>
            </w:pPr>
            <w:r>
              <w:rPr/>
              <w:t>Thereafter</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39" w:type="dxa"/>
            <w:gridSpan w:val="2"/>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39" w:type="dxa"/>
            <w:gridSpan w:val="2"/>
            <w:tcBorders>
              <w:bottom w:val="single" w:sz="2" w:space="0" w:color="000000"/>
            </w:tcBorders>
            <w:shd w:fill="auto" w:val="clear"/>
            <w:tcMar>
              <w:bottom w:w="28" w:type="dxa"/>
            </w:tcMar>
            <w:vAlign w:val="bottom"/>
          </w:tcPr>
          <w:p>
            <w:pPr>
              <w:pStyle w:val="TableContents"/>
              <w:spacing w:before="0" w:after="283"/>
              <w:jc w:val="center"/>
              <w:rPr/>
            </w:pPr>
            <w:r>
              <w:rPr/>
              <w:t>Fair Value</w:t>
            </w:r>
          </w:p>
        </w:tc>
        <w:tc>
          <w:tcPr>
            <w:tcW w:w="91" w:type="dxa"/>
            <w:tcBorders/>
            <w:shd w:fill="auto" w:val="clear"/>
            <w:vAlign w:val="bottom"/>
          </w:tcPr>
          <w:p>
            <w:pPr>
              <w:pStyle w:val="TableContents"/>
              <w:spacing w:before="0" w:after="283"/>
              <w:rPr/>
            </w:pPr>
            <w:r>
              <w:rPr/>
              <w:t> </w:t>
            </w:r>
          </w:p>
        </w:tc>
      </w:tr>
      <w:tr>
        <w:trPr/>
        <w:tc>
          <w:tcPr>
            <w:tcW w:w="2875" w:type="dxa"/>
            <w:tcBorders/>
            <w:shd w:fill="CCEEFF" w:val="clear"/>
            <w:vAlign w:val="bottom"/>
          </w:tcPr>
          <w:p>
            <w:pPr>
              <w:pStyle w:val="TableContents"/>
              <w:spacing w:before="0" w:after="0"/>
              <w:ind w:left="225" w:right="0" w:hanging="225"/>
              <w:rPr/>
            </w:pPr>
            <w:r>
              <w:rPr/>
              <w:t>Assets:</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59"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r>
      <w:tr>
        <w:trPr/>
        <w:tc>
          <w:tcPr>
            <w:tcW w:w="2875" w:type="dxa"/>
            <w:tcBorders/>
            <w:shd w:fill="auto" w:val="clear"/>
            <w:vAlign w:val="bottom"/>
          </w:tcPr>
          <w:p>
            <w:pPr>
              <w:pStyle w:val="TableContents"/>
              <w:spacing w:before="0" w:after="0"/>
              <w:ind w:left="225" w:right="0" w:hanging="225"/>
              <w:rPr/>
            </w:pPr>
            <w:r>
              <w:rPr/>
              <w:t>Cash and cash equivalents (1)</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693" w:type="dxa"/>
            <w:tcBorders/>
            <w:shd w:fill="auto" w:val="clear"/>
            <w:vAlign w:val="bottom"/>
          </w:tcPr>
          <w:p>
            <w:pPr>
              <w:pStyle w:val="TableContents"/>
              <w:spacing w:before="0" w:after="283"/>
              <w:jc w:val="right"/>
              <w:rPr/>
            </w:pPr>
            <w:r>
              <w:rPr/>
              <w:t>511</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401"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575"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318"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318"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left"/>
              <w:rPr/>
            </w:pPr>
            <w:r>
              <w:rPr/>
              <w:t>$</w:t>
            </w:r>
          </w:p>
        </w:tc>
        <w:tc>
          <w:tcPr>
            <w:tcW w:w="601"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693" w:type="dxa"/>
            <w:tcBorders/>
            <w:shd w:fill="auto" w:val="clear"/>
            <w:vAlign w:val="bottom"/>
          </w:tcPr>
          <w:p>
            <w:pPr>
              <w:pStyle w:val="TableContents"/>
              <w:spacing w:before="0" w:after="283"/>
              <w:jc w:val="right"/>
              <w:rPr/>
            </w:pPr>
            <w:r>
              <w:rPr/>
              <w:t>511</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859" w:type="dxa"/>
            <w:tcBorders/>
            <w:shd w:fill="auto" w:val="clear"/>
            <w:vAlign w:val="bottom"/>
          </w:tcPr>
          <w:p>
            <w:pPr>
              <w:pStyle w:val="TableContents"/>
              <w:spacing w:before="0" w:after="283"/>
              <w:jc w:val="right"/>
              <w:rPr/>
            </w:pPr>
            <w:r>
              <w:rPr/>
              <w:t>511</w:t>
            </w:r>
          </w:p>
        </w:tc>
        <w:tc>
          <w:tcPr>
            <w:tcW w:w="91" w:type="dxa"/>
            <w:tcBorders/>
            <w:shd w:fill="auto" w:val="clear"/>
            <w:vAlign w:val="bottom"/>
          </w:tcPr>
          <w:p>
            <w:pPr>
              <w:pStyle w:val="TableContents"/>
              <w:spacing w:before="0" w:after="283"/>
              <w:rPr/>
            </w:pPr>
            <w:r>
              <w:rPr/>
              <w:t> </w:t>
            </w:r>
          </w:p>
        </w:tc>
      </w:tr>
      <w:tr>
        <w:trPr/>
        <w:tc>
          <w:tcPr>
            <w:tcW w:w="2875" w:type="dxa"/>
            <w:tcBorders/>
            <w:shd w:fill="CCEEFF" w:val="clear"/>
            <w:vAlign w:val="bottom"/>
          </w:tcPr>
          <w:p>
            <w:pPr>
              <w:pStyle w:val="TableContents"/>
              <w:spacing w:before="0" w:after="0"/>
              <w:ind w:left="225" w:right="0" w:hanging="225"/>
              <w:rPr/>
            </w:pPr>
            <w:r>
              <w:rPr/>
              <w:t>Accounts receivable, net (1)</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18,728</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18,728</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59" w:type="dxa"/>
            <w:tcBorders/>
            <w:shd w:fill="CCEEFF" w:val="clear"/>
            <w:vAlign w:val="bottom"/>
          </w:tcPr>
          <w:p>
            <w:pPr>
              <w:pStyle w:val="TableContents"/>
              <w:spacing w:before="0" w:after="283"/>
              <w:jc w:val="right"/>
              <w:rPr/>
            </w:pPr>
            <w:r>
              <w:rPr/>
              <w:t>18,728</w:t>
            </w:r>
          </w:p>
        </w:tc>
        <w:tc>
          <w:tcPr>
            <w:tcW w:w="91" w:type="dxa"/>
            <w:tcBorders/>
            <w:shd w:fill="CCEEFF" w:val="clear"/>
            <w:vAlign w:val="bottom"/>
          </w:tcPr>
          <w:p>
            <w:pPr>
              <w:pStyle w:val="TableContents"/>
              <w:spacing w:before="0" w:after="283"/>
              <w:rPr/>
            </w:pPr>
            <w:r>
              <w:rPr/>
              <w:t> </w:t>
            </w:r>
          </w:p>
        </w:tc>
      </w:tr>
      <w:tr>
        <w:trPr/>
        <w:tc>
          <w:tcPr>
            <w:tcW w:w="2875" w:type="dxa"/>
            <w:tcBorders/>
            <w:shd w:fill="auto" w:val="clear"/>
            <w:vAlign w:val="bottom"/>
          </w:tcPr>
          <w:p>
            <w:pPr>
              <w:pStyle w:val="TableContents"/>
              <w:spacing w:before="0" w:after="0"/>
              <w:ind w:left="225" w:right="0" w:hanging="225"/>
              <w:rPr/>
            </w:pPr>
            <w:r>
              <w:rPr/>
              <w:t>Loans to growers (1)</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246</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246</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pPr>
            <w:r>
              <w:rPr/>
              <w:t>246</w:t>
            </w:r>
          </w:p>
        </w:tc>
        <w:tc>
          <w:tcPr>
            <w:tcW w:w="91" w:type="dxa"/>
            <w:tcBorders/>
            <w:shd w:fill="auto" w:val="clear"/>
            <w:vAlign w:val="bottom"/>
          </w:tcPr>
          <w:p>
            <w:pPr>
              <w:pStyle w:val="TableContents"/>
              <w:spacing w:before="0" w:after="283"/>
              <w:rPr/>
            </w:pPr>
            <w:r>
              <w:rPr/>
              <w:t> </w:t>
            </w:r>
          </w:p>
        </w:tc>
      </w:tr>
      <w:tr>
        <w:trPr/>
        <w:tc>
          <w:tcPr>
            <w:tcW w:w="2875" w:type="dxa"/>
            <w:tcBorders/>
            <w:shd w:fill="CCEEFF" w:val="clear"/>
            <w:vAlign w:val="bottom"/>
          </w:tcPr>
          <w:p>
            <w:pPr>
              <w:pStyle w:val="TableContents"/>
              <w:spacing w:before="0" w:after="0"/>
              <w:ind w:left="225" w:right="0" w:hanging="225"/>
              <w:rPr/>
            </w:pPr>
            <w:r>
              <w:rPr/>
              <w:t>Notes receivable from shareholders (2)</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210</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right"/>
              <w:rPr/>
            </w:pPr>
            <w:r>
              <w:rPr/>
              <w:t>211</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2,462</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2,883</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59" w:type="dxa"/>
            <w:tcBorders/>
            <w:shd w:fill="CCEEFF" w:val="clear"/>
            <w:vAlign w:val="bottom"/>
          </w:tcPr>
          <w:p>
            <w:pPr>
              <w:pStyle w:val="TableContents"/>
              <w:spacing w:before="0" w:after="283"/>
              <w:jc w:val="right"/>
              <w:rPr/>
            </w:pPr>
            <w:r>
              <w:rPr/>
              <w:t>2,843</w:t>
            </w:r>
          </w:p>
        </w:tc>
        <w:tc>
          <w:tcPr>
            <w:tcW w:w="91" w:type="dxa"/>
            <w:tcBorders/>
            <w:shd w:fill="CCEEFF" w:val="clear"/>
            <w:vAlign w:val="bottom"/>
          </w:tcPr>
          <w:p>
            <w:pPr>
              <w:pStyle w:val="TableContents"/>
              <w:spacing w:before="0" w:after="283"/>
              <w:rPr/>
            </w:pPr>
            <w:r>
              <w:rPr/>
              <w:t> </w:t>
            </w:r>
          </w:p>
        </w:tc>
      </w:tr>
      <w:tr>
        <w:trPr/>
        <w:tc>
          <w:tcPr>
            <w:tcW w:w="2875" w:type="dxa"/>
            <w:tcBorders/>
            <w:shd w:fill="auto" w:val="clear"/>
            <w:vAlign w:val="bottom"/>
          </w:tcPr>
          <w:p>
            <w:pPr>
              <w:pStyle w:val="TableContents"/>
              <w:spacing w:before="0" w:after="0"/>
              <w:ind w:left="225" w:right="0" w:hanging="225"/>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r>
      <w:tr>
        <w:trPr/>
        <w:tc>
          <w:tcPr>
            <w:tcW w:w="2875" w:type="dxa"/>
            <w:tcBorders/>
            <w:shd w:fill="auto" w:val="clear"/>
            <w:vAlign w:val="bottom"/>
          </w:tcPr>
          <w:p>
            <w:pPr>
              <w:pStyle w:val="TableContents"/>
              <w:spacing w:before="0" w:after="0"/>
              <w:ind w:left="225" w:right="0" w:hanging="225"/>
              <w:rPr/>
            </w:pPr>
            <w:r>
              <w:rPr/>
              <w:t>Liabilities:</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r>
      <w:tr>
        <w:trPr/>
        <w:tc>
          <w:tcPr>
            <w:tcW w:w="2875" w:type="dxa"/>
            <w:tcBorders/>
            <w:shd w:fill="CCEEFF" w:val="clear"/>
            <w:vAlign w:val="bottom"/>
          </w:tcPr>
          <w:p>
            <w:pPr>
              <w:pStyle w:val="TableContents"/>
              <w:spacing w:before="0" w:after="0"/>
              <w:ind w:left="225" w:right="0" w:hanging="225"/>
              <w:rPr/>
            </w:pPr>
            <w:r>
              <w:rPr/>
              <w:t>Payable to growers (1)</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w:t>
            </w:r>
          </w:p>
        </w:tc>
        <w:tc>
          <w:tcPr>
            <w:tcW w:w="693" w:type="dxa"/>
            <w:tcBorders/>
            <w:shd w:fill="CCEEFF" w:val="clear"/>
            <w:vAlign w:val="bottom"/>
          </w:tcPr>
          <w:p>
            <w:pPr>
              <w:pStyle w:val="TableContents"/>
              <w:spacing w:before="0" w:after="283"/>
              <w:jc w:val="right"/>
              <w:rPr/>
            </w:pPr>
            <w:r>
              <w:rPr/>
              <w:t>2,784</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w:t>
            </w:r>
          </w:p>
        </w:tc>
        <w:tc>
          <w:tcPr>
            <w:tcW w:w="401"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w:t>
            </w:r>
          </w:p>
        </w:tc>
        <w:tc>
          <w:tcPr>
            <w:tcW w:w="575"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318"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318"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jc w:val="left"/>
              <w:rPr/>
            </w:pPr>
            <w:r>
              <w:rPr/>
              <w:t>$</w:t>
            </w:r>
          </w:p>
        </w:tc>
        <w:tc>
          <w:tcPr>
            <w:tcW w:w="601"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w:t>
            </w:r>
          </w:p>
        </w:tc>
        <w:tc>
          <w:tcPr>
            <w:tcW w:w="693" w:type="dxa"/>
            <w:tcBorders/>
            <w:shd w:fill="CCEEFF" w:val="clear"/>
            <w:vAlign w:val="bottom"/>
          </w:tcPr>
          <w:p>
            <w:pPr>
              <w:pStyle w:val="TableContents"/>
              <w:spacing w:before="0" w:after="283"/>
              <w:jc w:val="right"/>
              <w:rPr/>
            </w:pPr>
            <w:r>
              <w:rPr/>
              <w:t>2,784</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w:t>
            </w:r>
          </w:p>
        </w:tc>
        <w:tc>
          <w:tcPr>
            <w:tcW w:w="859" w:type="dxa"/>
            <w:tcBorders/>
            <w:shd w:fill="CCEEFF" w:val="clear"/>
            <w:vAlign w:val="bottom"/>
          </w:tcPr>
          <w:p>
            <w:pPr>
              <w:pStyle w:val="TableContents"/>
              <w:spacing w:before="0" w:after="283"/>
              <w:jc w:val="right"/>
              <w:rPr/>
            </w:pPr>
            <w:r>
              <w:rPr/>
              <w:t>2,784</w:t>
            </w:r>
          </w:p>
        </w:tc>
        <w:tc>
          <w:tcPr>
            <w:tcW w:w="91" w:type="dxa"/>
            <w:tcBorders/>
            <w:shd w:fill="CCEEFF" w:val="clear"/>
            <w:vAlign w:val="bottom"/>
          </w:tcPr>
          <w:p>
            <w:pPr>
              <w:pStyle w:val="TableContents"/>
              <w:spacing w:before="0" w:after="283"/>
              <w:rPr/>
            </w:pPr>
            <w:r>
              <w:rPr/>
              <w:t> </w:t>
            </w:r>
          </w:p>
        </w:tc>
      </w:tr>
      <w:tr>
        <w:trPr/>
        <w:tc>
          <w:tcPr>
            <w:tcW w:w="2875" w:type="dxa"/>
            <w:tcBorders/>
            <w:shd w:fill="auto" w:val="clear"/>
            <w:vAlign w:val="bottom"/>
          </w:tcPr>
          <w:p>
            <w:pPr>
              <w:pStyle w:val="TableContents"/>
              <w:spacing w:before="0" w:after="0"/>
              <w:ind w:left="225" w:right="0" w:hanging="225"/>
              <w:rPr/>
            </w:pPr>
            <w:r>
              <w:rPr/>
              <w:t>Accounts payable (1)</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2,245</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2,245</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pPr>
            <w:r>
              <w:rPr/>
              <w:t>2,245</w:t>
            </w:r>
          </w:p>
        </w:tc>
        <w:tc>
          <w:tcPr>
            <w:tcW w:w="91" w:type="dxa"/>
            <w:tcBorders/>
            <w:shd w:fill="auto" w:val="clear"/>
            <w:vAlign w:val="bottom"/>
          </w:tcPr>
          <w:p>
            <w:pPr>
              <w:pStyle w:val="TableContents"/>
              <w:spacing w:before="0" w:after="283"/>
              <w:rPr/>
            </w:pPr>
            <w:r>
              <w:rPr/>
              <w:t> </w:t>
            </w:r>
          </w:p>
        </w:tc>
      </w:tr>
      <w:tr>
        <w:trPr/>
        <w:tc>
          <w:tcPr>
            <w:tcW w:w="2875" w:type="dxa"/>
            <w:tcBorders/>
            <w:shd w:fill="CCEEFF" w:val="clear"/>
            <w:vAlign w:val="bottom"/>
          </w:tcPr>
          <w:p>
            <w:pPr>
              <w:pStyle w:val="TableContents"/>
              <w:spacing w:before="0" w:after="0"/>
              <w:ind w:left="225" w:right="0" w:hanging="225"/>
              <w:rPr/>
            </w:pPr>
            <w:r>
              <w:rPr/>
              <w:t>Current borrowings pursuant to credit facilities (1)</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3,000</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3,000</w:t>
            </w:r>
          </w:p>
        </w:tc>
        <w:tc>
          <w:tcPr>
            <w:tcW w:w="6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59" w:type="dxa"/>
            <w:tcBorders/>
            <w:shd w:fill="CCEEFF" w:val="clear"/>
            <w:vAlign w:val="bottom"/>
          </w:tcPr>
          <w:p>
            <w:pPr>
              <w:pStyle w:val="TableContents"/>
              <w:spacing w:before="0" w:after="283"/>
              <w:jc w:val="right"/>
              <w:rPr/>
            </w:pPr>
            <w:r>
              <w:rPr/>
              <w:t>3,000</w:t>
            </w:r>
          </w:p>
        </w:tc>
        <w:tc>
          <w:tcPr>
            <w:tcW w:w="91" w:type="dxa"/>
            <w:tcBorders/>
            <w:shd w:fill="CCEEFF" w:val="clear"/>
            <w:vAlign w:val="bottom"/>
          </w:tcPr>
          <w:p>
            <w:pPr>
              <w:pStyle w:val="TableContents"/>
              <w:spacing w:before="0" w:after="283"/>
              <w:rPr/>
            </w:pPr>
            <w:r>
              <w:rPr/>
              <w:t> </w:t>
            </w:r>
          </w:p>
        </w:tc>
      </w:tr>
      <w:tr>
        <w:trPr/>
        <w:tc>
          <w:tcPr>
            <w:tcW w:w="2875" w:type="dxa"/>
            <w:tcBorders/>
            <w:shd w:fill="auto" w:val="clear"/>
            <w:vAlign w:val="bottom"/>
          </w:tcPr>
          <w:p>
            <w:pPr>
              <w:pStyle w:val="TableContents"/>
              <w:spacing w:before="0" w:after="0"/>
              <w:ind w:left="225" w:right="0" w:hanging="225"/>
              <w:rPr/>
            </w:pPr>
            <w:r>
              <w:rPr/>
              <w:t>Fixed-rate long-term obligations (3)</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21</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pPr>
            <w:r>
              <w:rPr/>
              <w:t>10</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8</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right"/>
              <w:rPr/>
            </w:pPr>
            <w:r>
              <w:rPr/>
              <w:t>2</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41</w:t>
            </w:r>
          </w:p>
        </w:tc>
        <w:tc>
          <w:tcPr>
            <w:tcW w:w="6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pPr>
            <w:r>
              <w:rPr/>
              <w:t>41</w:t>
            </w:r>
          </w:p>
        </w:tc>
        <w:tc>
          <w:tcPr>
            <w:tcW w:w="91"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8369" w:hanging="0"/>
        <w:rPr/>
      </w:pPr>
      <w:r>
        <w:rPr/>
      </w:r>
    </w:p>
    <w:tbl>
      <w:tblPr>
        <w:tblW w:w="5000" w:type="pct"/>
        <w:jc w:val="left"/>
        <w:tblInd w:w="0" w:type="dxa"/>
        <w:tblCellMar>
          <w:top w:w="0" w:type="dxa"/>
          <w:left w:w="0" w:type="dxa"/>
          <w:bottom w:w="0" w:type="dxa"/>
          <w:right w:w="0" w:type="dxa"/>
        </w:tblCellMar>
      </w:tblPr>
      <w:tblGrid>
        <w:gridCol w:w="289"/>
        <w:gridCol w:w="304"/>
        <w:gridCol w:w="9612"/>
      </w:tblGrid>
      <w:tr>
        <w:trPr/>
        <w:tc>
          <w:tcPr>
            <w:tcW w:w="289" w:type="dxa"/>
            <w:tcBorders/>
            <w:shd w:fill="auto" w:val="clear"/>
          </w:tcPr>
          <w:p>
            <w:pPr>
              <w:pStyle w:val="TableContents"/>
              <w:spacing w:before="0" w:after="283"/>
              <w:jc w:val="left"/>
              <w:rPr/>
            </w:pPr>
            <w:r>
              <w:rPr/>
              <w:t>(1)</w:t>
            </w:r>
          </w:p>
        </w:tc>
        <w:tc>
          <w:tcPr>
            <w:tcW w:w="304" w:type="dxa"/>
            <w:tcBorders/>
            <w:shd w:fill="auto" w:val="clear"/>
          </w:tcPr>
          <w:p>
            <w:pPr>
              <w:pStyle w:val="TableContents"/>
              <w:spacing w:before="0" w:after="283"/>
              <w:rPr/>
            </w:pPr>
            <w:r>
              <w:rPr/>
              <w:t> </w:t>
            </w:r>
          </w:p>
        </w:tc>
        <w:tc>
          <w:tcPr>
            <w:tcW w:w="9612" w:type="dxa"/>
            <w:tcBorders/>
            <w:shd w:fill="auto" w:val="clear"/>
          </w:tcPr>
          <w:p>
            <w:pPr>
              <w:pStyle w:val="TableContents"/>
              <w:spacing w:before="0" w:after="283"/>
              <w:rPr/>
            </w:pPr>
            <w:r>
              <w:rPr/>
              <w:t>We believe the carrying amounts of cash and cash equivalents, accounts receivable, short-term loans to growers, payable to growers, accounts payable, and current borrowings pursuant to credit facilities approximate their fair value due to the short maturity of these financial instruments.</w:t>
            </w:r>
          </w:p>
        </w:tc>
      </w:tr>
      <w:tr>
        <w:trPr/>
        <w:tc>
          <w:tcPr>
            <w:tcW w:w="289" w:type="dxa"/>
            <w:tcBorders/>
            <w:shd w:fill="auto" w:val="clear"/>
            <w:vAlign w:val="center"/>
          </w:tcPr>
          <w:p>
            <w:pPr>
              <w:pStyle w:val="TableContents"/>
              <w:spacing w:before="0" w:after="283"/>
              <w:rPr/>
            </w:pPr>
            <w:r>
              <w:rPr/>
              <w:t> </w:t>
            </w:r>
          </w:p>
        </w:tc>
        <w:tc>
          <w:tcPr>
            <w:tcW w:w="9916" w:type="dxa"/>
            <w:gridSpan w:val="2"/>
            <w:tcBorders/>
            <w:shd w:fill="auto" w:val="clear"/>
          </w:tcPr>
          <w:p>
            <w:pPr>
              <w:pStyle w:val="TableContents"/>
              <w:spacing w:before="0" w:after="283"/>
              <w:rPr>
                <w:sz w:val="4"/>
                <w:szCs w:val="4"/>
              </w:rPr>
            </w:pPr>
            <w:r>
              <w:rPr>
                <w:sz w:val="4"/>
                <w:szCs w:val="4"/>
              </w:rPr>
            </w:r>
          </w:p>
        </w:tc>
      </w:tr>
      <w:tr>
        <w:trPr/>
        <w:tc>
          <w:tcPr>
            <w:tcW w:w="289" w:type="dxa"/>
            <w:tcBorders/>
            <w:shd w:fill="auto" w:val="clear"/>
          </w:tcPr>
          <w:p>
            <w:pPr>
              <w:pStyle w:val="TableContents"/>
              <w:spacing w:before="0" w:after="283"/>
              <w:jc w:val="left"/>
              <w:rPr/>
            </w:pPr>
            <w:r>
              <w:rPr/>
              <w:t>(2)</w:t>
            </w:r>
          </w:p>
        </w:tc>
        <w:tc>
          <w:tcPr>
            <w:tcW w:w="304" w:type="dxa"/>
            <w:tcBorders/>
            <w:shd w:fill="auto" w:val="clear"/>
          </w:tcPr>
          <w:p>
            <w:pPr>
              <w:pStyle w:val="TableContents"/>
              <w:spacing w:before="0" w:after="283"/>
              <w:rPr/>
            </w:pPr>
            <w:r>
              <w:rPr/>
              <w:t> </w:t>
            </w:r>
          </w:p>
        </w:tc>
        <w:tc>
          <w:tcPr>
            <w:tcW w:w="9612" w:type="dxa"/>
            <w:tcBorders/>
            <w:shd w:fill="auto" w:val="clear"/>
          </w:tcPr>
          <w:p>
            <w:pPr>
              <w:pStyle w:val="TableContents"/>
              <w:spacing w:before="0" w:after="283"/>
              <w:rPr/>
            </w:pPr>
            <w:r>
              <w:rPr/>
              <w:t>Notes receivable from shareholders bear interest at 7.0%. We believe that a portfolio of loans with a similar risk profile would currently yield a return of 7.50%. We project the impact of an increase or decrease in interest rates of 100 basis points would result in a change of fair value of approximately $78,000.</w:t>
            </w:r>
          </w:p>
        </w:tc>
      </w:tr>
      <w:tr>
        <w:trPr/>
        <w:tc>
          <w:tcPr>
            <w:tcW w:w="289" w:type="dxa"/>
            <w:tcBorders/>
            <w:shd w:fill="auto" w:val="clear"/>
            <w:vAlign w:val="center"/>
          </w:tcPr>
          <w:p>
            <w:pPr>
              <w:pStyle w:val="TableContents"/>
              <w:spacing w:before="0" w:after="283"/>
              <w:rPr/>
            </w:pPr>
            <w:r>
              <w:rPr/>
              <w:t> </w:t>
            </w:r>
          </w:p>
        </w:tc>
        <w:tc>
          <w:tcPr>
            <w:tcW w:w="9916" w:type="dxa"/>
            <w:gridSpan w:val="2"/>
            <w:tcBorders/>
            <w:shd w:fill="auto" w:val="clear"/>
          </w:tcPr>
          <w:p>
            <w:pPr>
              <w:pStyle w:val="TableContents"/>
              <w:spacing w:before="0" w:after="283"/>
              <w:rPr>
                <w:sz w:val="4"/>
                <w:szCs w:val="4"/>
              </w:rPr>
            </w:pPr>
            <w:r>
              <w:rPr>
                <w:sz w:val="4"/>
                <w:szCs w:val="4"/>
              </w:rPr>
            </w:r>
          </w:p>
        </w:tc>
      </w:tr>
      <w:tr>
        <w:trPr/>
        <w:tc>
          <w:tcPr>
            <w:tcW w:w="289" w:type="dxa"/>
            <w:tcBorders/>
            <w:shd w:fill="auto" w:val="clear"/>
          </w:tcPr>
          <w:p>
            <w:pPr>
              <w:pStyle w:val="TableContents"/>
              <w:spacing w:before="0" w:after="283"/>
              <w:jc w:val="left"/>
              <w:rPr/>
            </w:pPr>
            <w:r>
              <w:rPr/>
              <w:t>(3)</w:t>
            </w:r>
          </w:p>
        </w:tc>
        <w:tc>
          <w:tcPr>
            <w:tcW w:w="304" w:type="dxa"/>
            <w:tcBorders/>
            <w:shd w:fill="auto" w:val="clear"/>
          </w:tcPr>
          <w:p>
            <w:pPr>
              <w:pStyle w:val="TableContents"/>
              <w:spacing w:before="0" w:after="283"/>
              <w:rPr/>
            </w:pPr>
            <w:r>
              <w:rPr/>
              <w:t> </w:t>
            </w:r>
          </w:p>
        </w:tc>
        <w:tc>
          <w:tcPr>
            <w:tcW w:w="9612" w:type="dxa"/>
            <w:tcBorders/>
            <w:shd w:fill="auto" w:val="clear"/>
          </w:tcPr>
          <w:p>
            <w:pPr>
              <w:pStyle w:val="TableContents"/>
              <w:spacing w:before="0" w:after="283"/>
              <w:rPr/>
            </w:pPr>
            <w:r>
              <w:rPr/>
              <w:t>Fixed-rate long-term obligations bear interest rates ranging from 3.3% to 8.2% with a weighted-average interest rate of 5.2%. We believe that loans with a similar risk profile would currently yield a return of 3.5%. We project the impact of an increase or decrease in interest rates of 100 basis points would result in a change of fair value of approximately $1,000.</w:t>
            </w:r>
          </w:p>
        </w:tc>
      </w:tr>
    </w:tbl>
    <w:p>
      <w:pPr>
        <w:pStyle w:val="TextBody"/>
        <w:jc w:val="left"/>
        <w:rPr/>
      </w:pPr>
      <w:r>
        <w:rPr/>
        <w:t>     </w:t>
      </w:r>
      <w:r>
        <w:rPr>
          <w:rFonts w:ascii="Times New Roman;Times;serif" w:hAnsi="Times New Roman;Times;serif"/>
          <w:sz w:val="17"/>
        </w:rPr>
        <w:t xml:space="preserve">We were not a party to any derivative instruments during the fiscal year. It is currently our intent not to use derivative instruments for speculative or trading purposes. Additionally, we do not use any hedging or forward contracts to offset market volatility. </w:t>
      </w:r>
    </w:p>
    <w:p>
      <w:pPr>
        <w:pStyle w:val="TextBody"/>
        <w:jc w:val="left"/>
        <w:rPr/>
      </w:pPr>
      <w:r>
        <w:rPr/>
        <w:t>     </w:t>
      </w:r>
      <w:r>
        <w:rPr>
          <w:rFonts w:ascii="Times New Roman;Times;serif" w:hAnsi="Times New Roman;Times;serif"/>
          <w:sz w:val="17"/>
        </w:rPr>
        <w:t xml:space="preserve">Our Mexican-based operations transact business in Mexican pesos. Funds are transferred by our corporate office to Mexico on a weekly basis to satisfy domestic cash needs. Consequently, the spot rate for the Mexican peso has a moderate impact on our operating results. However, we do not believe that this impact is sufficient to warrant the use of derivative instruments to hedge the fluctuation in the Mexican peso. Total foreign currency gains and losses for each of the three years in the period ended October 31, 2004 do not exceed $0.1 million.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bookmarkStart w:id="11" w:name="109"/>
      <w:bookmarkEnd w:id="11"/>
      <w:r>
        <w:rPr>
          <w:rFonts w:ascii="Times New Roman;Times;serif" w:hAnsi="Times New Roman;Times;serif"/>
          <w:b/>
          <w:sz w:val="17"/>
        </w:rPr>
        <w:t>ITEM 4. CONTROLS AND PROCEDURES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Pursuant to Rule 13a-15(b) under the Securities Exchange Act of 1934 (the Exchange Act), the Companys management, with the participation of the Chief Executive Officer and the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are effective in ensuring that information required to be disclosed in reports that the Company files or submits under the Exchange Act is recorded, processed, summarized, and reported within the time periods specified in the Securities and Exchange Commissions rules and forms. No change in the Companys internal control over financial reporting occurred during the Companys most recent fiscal quarter that materially affected, or is reasonably likely to materially affect, the Companys internal control over financial reporting.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left"/>
        <w:rPr>
          <w:rFonts w:ascii="Times New Roman;Times;serif" w:hAnsi="Times New Roman;Times;serif"/>
          <w:sz w:val="17"/>
        </w:rPr>
      </w:pPr>
      <w:bookmarkStart w:id="12" w:name="110"/>
      <w:bookmarkEnd w:id="12"/>
      <w:r>
        <w:rPr>
          <w:rFonts w:ascii="Times New Roman;Times;serif" w:hAnsi="Times New Roman;Times;serif"/>
          <w:b/>
          <w:sz w:val="17"/>
        </w:rPr>
        <w:t>PART II. OTHER INFORMATION</w:t>
      </w:r>
      <w:r>
        <w:rPr>
          <w:rFonts w:ascii="Times New Roman;Times;serif" w:hAnsi="Times New Roman;Times;serif"/>
          <w:sz w:val="17"/>
        </w:rPr>
        <w:t xml:space="preserve"> </w:t>
      </w:r>
    </w:p>
    <w:p>
      <w:pPr>
        <w:pStyle w:val="TextBody"/>
        <w:jc w:val="left"/>
        <w:rPr>
          <w:rFonts w:ascii="Times New Roman;Times;serif" w:hAnsi="Times New Roman;Times;serif"/>
          <w:sz w:val="17"/>
        </w:rPr>
      </w:pPr>
      <w:bookmarkStart w:id="13" w:name="111"/>
      <w:bookmarkEnd w:id="13"/>
      <w:r>
        <w:rPr>
          <w:rFonts w:ascii="Times New Roman;Times;serif" w:hAnsi="Times New Roman;Times;serif"/>
          <w:b/>
          <w:sz w:val="17"/>
        </w:rPr>
        <w:t>ITEM 1. LEGAL PROCEEDINGS</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We are involved in litigation in the ordinary course of business, none of which we believe will have a material adverse impact on our financial position or results from operations.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serif" w:hAnsi="Times New Roman;Times;serif"/>
          <w:sz w:val="17"/>
        </w:rPr>
      </w:pPr>
      <w:bookmarkStart w:id="14" w:name="112"/>
      <w:bookmarkEnd w:id="14"/>
      <w:r>
        <w:rPr>
          <w:rFonts w:ascii="Times New Roman;Times;serif" w:hAnsi="Times New Roman;Times;serif"/>
          <w:b/>
          <w:sz w:val="17"/>
        </w:rPr>
        <w:t>ITEM 6.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82"/>
        <w:gridCol w:w="215"/>
        <w:gridCol w:w="132"/>
        <w:gridCol w:w="442"/>
        <w:gridCol w:w="215"/>
        <w:gridCol w:w="215"/>
        <w:gridCol w:w="8104"/>
      </w:tblGrid>
      <w:tr>
        <w:trPr/>
        <w:tc>
          <w:tcPr>
            <w:tcW w:w="88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104" w:type="dxa"/>
            <w:tcBorders/>
            <w:shd w:fill="auto" w:val="clear"/>
            <w:vAlign w:val="bottom"/>
          </w:tcPr>
          <w:p>
            <w:pPr>
              <w:pStyle w:val="TableContents"/>
              <w:spacing w:before="0" w:after="283"/>
              <w:rPr/>
            </w:pPr>
            <w:r>
              <w:rPr/>
              <w:t> </w:t>
            </w:r>
          </w:p>
        </w:tc>
      </w:tr>
      <w:tr>
        <w:trPr/>
        <w:tc>
          <w:tcPr>
            <w:tcW w:w="882" w:type="dxa"/>
            <w:tcBorders/>
            <w:shd w:fill="auto" w:val="clear"/>
          </w:tcPr>
          <w:p>
            <w:pPr>
              <w:pStyle w:val="TableContents"/>
              <w:spacing w:before="0" w:after="283"/>
              <w:ind w:left="0" w:right="0" w:hanging="0"/>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132" w:type="dxa"/>
            <w:tcBorders/>
            <w:shd w:fill="auto" w:val="clear"/>
          </w:tcPr>
          <w:p>
            <w:pPr>
              <w:pStyle w:val="TableContents"/>
              <w:spacing w:before="0" w:after="283"/>
              <w:jc w:val="right"/>
              <w:rPr/>
            </w:pPr>
            <w:r>
              <w:rPr/>
              <w:t> </w:t>
            </w:r>
          </w:p>
        </w:tc>
        <w:tc>
          <w:tcPr>
            <w:tcW w:w="442" w:type="dxa"/>
            <w:tcBorders/>
            <w:shd w:fill="auto" w:val="clear"/>
          </w:tcPr>
          <w:p>
            <w:pPr>
              <w:pStyle w:val="TableContents"/>
              <w:spacing w:before="0" w:after="283"/>
              <w:jc w:val="right"/>
              <w:rPr/>
            </w:pPr>
            <w:r>
              <w:rPr/>
              <w:t>31.1</w:t>
            </w:r>
          </w:p>
        </w:tc>
        <w:tc>
          <w:tcPr>
            <w:tcW w:w="215"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104" w:type="dxa"/>
            <w:tcBorders/>
            <w:shd w:fill="auto" w:val="clear"/>
          </w:tcPr>
          <w:p>
            <w:pPr>
              <w:pStyle w:val="TableContents"/>
              <w:spacing w:before="0" w:after="283"/>
              <w:jc w:val="left"/>
              <w:rPr/>
            </w:pPr>
            <w:r>
              <w:rPr/>
              <w:t>Certification of Chief Executive Officer Pursuant to 15 U.S.C. § 7241, as Adopted Pursuant to Section 302 of the Sarbanes-Oxley Act of 2002.</w:t>
            </w:r>
          </w:p>
        </w:tc>
      </w:tr>
      <w:tr>
        <w:trPr/>
        <w:tc>
          <w:tcPr>
            <w:tcW w:w="882"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132" w:type="dxa"/>
            <w:tcBorders/>
            <w:shd w:fill="auto" w:val="clear"/>
          </w:tcPr>
          <w:p>
            <w:pPr>
              <w:pStyle w:val="TableContents"/>
              <w:spacing w:before="0" w:after="283"/>
              <w:jc w:val="right"/>
              <w:rPr/>
            </w:pPr>
            <w:r>
              <w:rPr/>
              <w:t> </w:t>
            </w:r>
          </w:p>
        </w:tc>
        <w:tc>
          <w:tcPr>
            <w:tcW w:w="442" w:type="dxa"/>
            <w:tcBorders/>
            <w:shd w:fill="auto" w:val="clear"/>
          </w:tcPr>
          <w:p>
            <w:pPr>
              <w:pStyle w:val="TableContents"/>
              <w:spacing w:before="0" w:after="283"/>
              <w:jc w:val="right"/>
              <w:rPr/>
            </w:pPr>
            <w:r>
              <w:rPr/>
              <w:t> </w:t>
            </w:r>
          </w:p>
        </w:tc>
        <w:tc>
          <w:tcPr>
            <w:tcW w:w="215"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104" w:type="dxa"/>
            <w:tcBorders/>
            <w:shd w:fill="auto" w:val="clear"/>
          </w:tcPr>
          <w:p>
            <w:pPr>
              <w:pStyle w:val="TableContents"/>
              <w:spacing w:before="0" w:after="283"/>
              <w:jc w:val="left"/>
              <w:rPr/>
            </w:pPr>
            <w:r>
              <w:rPr/>
              <w:t> </w:t>
            </w:r>
          </w:p>
        </w:tc>
      </w:tr>
      <w:tr>
        <w:trPr/>
        <w:tc>
          <w:tcPr>
            <w:tcW w:w="882" w:type="dxa"/>
            <w:tcBorders/>
            <w:shd w:fill="auto" w:val="clear"/>
          </w:tcPr>
          <w:p>
            <w:pPr>
              <w:pStyle w:val="TableContents"/>
              <w:spacing w:before="0" w:after="283"/>
              <w:ind w:left="0" w:right="0" w:hanging="0"/>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132" w:type="dxa"/>
            <w:tcBorders/>
            <w:shd w:fill="auto" w:val="clear"/>
          </w:tcPr>
          <w:p>
            <w:pPr>
              <w:pStyle w:val="TableContents"/>
              <w:spacing w:before="0" w:after="283"/>
              <w:jc w:val="right"/>
              <w:rPr/>
            </w:pPr>
            <w:r>
              <w:rPr/>
              <w:t> </w:t>
            </w:r>
          </w:p>
        </w:tc>
        <w:tc>
          <w:tcPr>
            <w:tcW w:w="442" w:type="dxa"/>
            <w:tcBorders/>
            <w:shd w:fill="auto" w:val="clear"/>
          </w:tcPr>
          <w:p>
            <w:pPr>
              <w:pStyle w:val="TableContents"/>
              <w:spacing w:before="0" w:after="283"/>
              <w:jc w:val="right"/>
              <w:rPr/>
            </w:pPr>
            <w:r>
              <w:rPr/>
              <w:t>31.2</w:t>
            </w:r>
          </w:p>
        </w:tc>
        <w:tc>
          <w:tcPr>
            <w:tcW w:w="215"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104" w:type="dxa"/>
            <w:tcBorders/>
            <w:shd w:fill="auto" w:val="clear"/>
          </w:tcPr>
          <w:p>
            <w:pPr>
              <w:pStyle w:val="TableContents"/>
              <w:spacing w:before="0" w:after="283"/>
              <w:jc w:val="left"/>
              <w:rPr/>
            </w:pPr>
            <w:r>
              <w:rPr/>
              <w:t>Certification of Principal Financial Officer Pursuant to 15 U.S.C. § 7241, as Adopted Pursuant to Section 302 of the Sarbanes-Oxley Act of 2002.</w:t>
            </w:r>
          </w:p>
        </w:tc>
      </w:tr>
      <w:tr>
        <w:trPr/>
        <w:tc>
          <w:tcPr>
            <w:tcW w:w="882"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132" w:type="dxa"/>
            <w:tcBorders/>
            <w:shd w:fill="auto" w:val="clear"/>
          </w:tcPr>
          <w:p>
            <w:pPr>
              <w:pStyle w:val="TableContents"/>
              <w:spacing w:before="0" w:after="283"/>
              <w:jc w:val="right"/>
              <w:rPr/>
            </w:pPr>
            <w:r>
              <w:rPr/>
              <w:t> </w:t>
            </w:r>
          </w:p>
        </w:tc>
        <w:tc>
          <w:tcPr>
            <w:tcW w:w="442" w:type="dxa"/>
            <w:tcBorders/>
            <w:shd w:fill="auto" w:val="clear"/>
          </w:tcPr>
          <w:p>
            <w:pPr>
              <w:pStyle w:val="TableContents"/>
              <w:spacing w:before="0" w:after="283"/>
              <w:jc w:val="right"/>
              <w:rPr/>
            </w:pPr>
            <w:r>
              <w:rPr/>
              <w:t> </w:t>
            </w:r>
          </w:p>
        </w:tc>
        <w:tc>
          <w:tcPr>
            <w:tcW w:w="215"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104" w:type="dxa"/>
            <w:tcBorders/>
            <w:shd w:fill="auto" w:val="clear"/>
          </w:tcPr>
          <w:p>
            <w:pPr>
              <w:pStyle w:val="TableContents"/>
              <w:spacing w:before="0" w:after="283"/>
              <w:jc w:val="left"/>
              <w:rPr/>
            </w:pPr>
            <w:r>
              <w:rPr/>
              <w:t> </w:t>
            </w:r>
          </w:p>
        </w:tc>
      </w:tr>
      <w:tr>
        <w:trPr/>
        <w:tc>
          <w:tcPr>
            <w:tcW w:w="882" w:type="dxa"/>
            <w:tcBorders/>
            <w:shd w:fill="auto" w:val="clear"/>
          </w:tcPr>
          <w:p>
            <w:pPr>
              <w:pStyle w:val="TableContents"/>
              <w:spacing w:before="0" w:after="283"/>
              <w:ind w:left="0" w:right="0" w:hanging="0"/>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132" w:type="dxa"/>
            <w:tcBorders/>
            <w:shd w:fill="auto" w:val="clear"/>
          </w:tcPr>
          <w:p>
            <w:pPr>
              <w:pStyle w:val="TableContents"/>
              <w:spacing w:before="0" w:after="283"/>
              <w:jc w:val="right"/>
              <w:rPr/>
            </w:pPr>
            <w:r>
              <w:rPr/>
              <w:t> </w:t>
            </w:r>
          </w:p>
        </w:tc>
        <w:tc>
          <w:tcPr>
            <w:tcW w:w="442" w:type="dxa"/>
            <w:tcBorders/>
            <w:shd w:fill="auto" w:val="clear"/>
          </w:tcPr>
          <w:p>
            <w:pPr>
              <w:pStyle w:val="TableContents"/>
              <w:spacing w:before="0" w:after="283"/>
              <w:jc w:val="right"/>
              <w:rPr/>
            </w:pPr>
            <w:r>
              <w:rPr/>
              <w:t>32.1</w:t>
            </w:r>
          </w:p>
        </w:tc>
        <w:tc>
          <w:tcPr>
            <w:tcW w:w="215"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104" w:type="dxa"/>
            <w:tcBorders/>
            <w:shd w:fill="auto" w:val="clear"/>
          </w:tcPr>
          <w:p>
            <w:pPr>
              <w:pStyle w:val="TableContents"/>
              <w:spacing w:before="0" w:after="283"/>
              <w:jc w:val="left"/>
              <w:rPr/>
            </w:pPr>
            <w:r>
              <w:rPr/>
              <w:t>Certification of Chief Executive Officer Pursuant to 18 U.S.C. § 1350, as Adopted Pursuant to Section 906 of the Sarbanes-Oxley Act of 2002.</w:t>
            </w:r>
          </w:p>
        </w:tc>
      </w:tr>
      <w:tr>
        <w:trPr/>
        <w:tc>
          <w:tcPr>
            <w:tcW w:w="882"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132" w:type="dxa"/>
            <w:tcBorders/>
            <w:shd w:fill="auto" w:val="clear"/>
          </w:tcPr>
          <w:p>
            <w:pPr>
              <w:pStyle w:val="TableContents"/>
              <w:spacing w:before="0" w:after="283"/>
              <w:jc w:val="right"/>
              <w:rPr/>
            </w:pPr>
            <w:r>
              <w:rPr/>
              <w:t> </w:t>
            </w:r>
          </w:p>
        </w:tc>
        <w:tc>
          <w:tcPr>
            <w:tcW w:w="442" w:type="dxa"/>
            <w:tcBorders/>
            <w:shd w:fill="auto" w:val="clear"/>
          </w:tcPr>
          <w:p>
            <w:pPr>
              <w:pStyle w:val="TableContents"/>
              <w:spacing w:before="0" w:after="283"/>
              <w:jc w:val="right"/>
              <w:rPr/>
            </w:pPr>
            <w:r>
              <w:rPr/>
              <w:t> </w:t>
            </w:r>
          </w:p>
        </w:tc>
        <w:tc>
          <w:tcPr>
            <w:tcW w:w="215"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104" w:type="dxa"/>
            <w:tcBorders/>
            <w:shd w:fill="auto" w:val="clear"/>
          </w:tcPr>
          <w:p>
            <w:pPr>
              <w:pStyle w:val="TableContents"/>
              <w:spacing w:before="0" w:after="283"/>
              <w:jc w:val="left"/>
              <w:rPr/>
            </w:pPr>
            <w:r>
              <w:rPr/>
              <w:t> </w:t>
            </w:r>
          </w:p>
        </w:tc>
      </w:tr>
      <w:tr>
        <w:trPr/>
        <w:tc>
          <w:tcPr>
            <w:tcW w:w="882" w:type="dxa"/>
            <w:tcBorders/>
            <w:shd w:fill="auto" w:val="clear"/>
          </w:tcPr>
          <w:p>
            <w:pPr>
              <w:pStyle w:val="TableContents"/>
              <w:spacing w:before="0" w:after="283"/>
              <w:ind w:left="0" w:right="0" w:hanging="0"/>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132" w:type="dxa"/>
            <w:tcBorders/>
            <w:shd w:fill="auto" w:val="clear"/>
          </w:tcPr>
          <w:p>
            <w:pPr>
              <w:pStyle w:val="TableContents"/>
              <w:spacing w:before="0" w:after="283"/>
              <w:jc w:val="right"/>
              <w:rPr/>
            </w:pPr>
            <w:r>
              <w:rPr/>
              <w:t> </w:t>
            </w:r>
          </w:p>
        </w:tc>
        <w:tc>
          <w:tcPr>
            <w:tcW w:w="442" w:type="dxa"/>
            <w:tcBorders/>
            <w:shd w:fill="auto" w:val="clear"/>
          </w:tcPr>
          <w:p>
            <w:pPr>
              <w:pStyle w:val="TableContents"/>
              <w:spacing w:before="0" w:after="283"/>
              <w:jc w:val="right"/>
              <w:rPr/>
            </w:pPr>
            <w:r>
              <w:rPr/>
              <w:t>32.2</w:t>
            </w:r>
          </w:p>
        </w:tc>
        <w:tc>
          <w:tcPr>
            <w:tcW w:w="215"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104" w:type="dxa"/>
            <w:tcBorders/>
            <w:shd w:fill="auto" w:val="clear"/>
          </w:tcPr>
          <w:p>
            <w:pPr>
              <w:pStyle w:val="TableContents"/>
              <w:spacing w:before="0" w:after="283"/>
              <w:jc w:val="left"/>
              <w:rPr/>
            </w:pPr>
            <w:r>
              <w:rPr/>
              <w:t>Certification of Principal Financial Officer Pursuant to 18 U.S.C. § 1350, as Adopted Pursuant to Section 906 of the Sarbanes-Oxley Act of 2002.</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jc w:val="center"/>
        <w:rPr>
          <w:rFonts w:ascii="Times New Roman;Times;serif" w:hAnsi="Times New Roman;Times;serif"/>
          <w:sz w:val="17"/>
        </w:rPr>
      </w:pPr>
      <w:bookmarkStart w:id="15" w:name="113"/>
      <w:bookmarkEnd w:id="15"/>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0" w:after="0"/>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center"/>
        <w:tblInd w:w="0" w:type="dxa"/>
        <w:tblCellMar>
          <w:top w:w="0" w:type="dxa"/>
          <w:left w:w="0" w:type="dxa"/>
          <w:bottom w:w="0" w:type="dxa"/>
          <w:right w:w="0" w:type="dxa"/>
        </w:tblCellMar>
      </w:tblPr>
      <w:tblGrid>
        <w:gridCol w:w="4082"/>
        <w:gridCol w:w="203"/>
        <w:gridCol w:w="5920"/>
      </w:tblGrid>
      <w:tr>
        <w:trPr/>
        <w:tc>
          <w:tcPr>
            <w:tcW w:w="408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5920" w:type="dxa"/>
            <w:tcBorders/>
            <w:shd w:fill="auto" w:val="clear"/>
            <w:vAlign w:val="bottom"/>
          </w:tcPr>
          <w:p>
            <w:pPr>
              <w:pStyle w:val="TableContents"/>
              <w:spacing w:before="0" w:after="283"/>
              <w:rPr/>
            </w:pPr>
            <w:r>
              <w:rPr/>
              <w:t> </w:t>
            </w:r>
          </w:p>
        </w:tc>
      </w:tr>
      <w:tr>
        <w:trPr/>
        <w:tc>
          <w:tcPr>
            <w:tcW w:w="4082" w:type="dxa"/>
            <w:tcBorders/>
            <w:shd w:fill="auto" w:val="clear"/>
          </w:tcPr>
          <w:p>
            <w:pPr>
              <w:pStyle w:val="TableContents"/>
              <w:spacing w:before="0" w:after="283"/>
              <w:ind w:left="0" w:right="0" w:hanging="0"/>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jc w:val="left"/>
              <w:rPr/>
            </w:pPr>
            <w:r>
              <w:rPr/>
              <w:t>Calavo Growers, Inc.</w:t>
            </w:r>
          </w:p>
        </w:tc>
      </w:tr>
      <w:tr>
        <w:trPr/>
        <w:tc>
          <w:tcPr>
            <w:tcW w:w="4082" w:type="dxa"/>
            <w:tcBorders/>
            <w:shd w:fill="auto" w:val="clear"/>
          </w:tcPr>
          <w:p>
            <w:pPr>
              <w:pStyle w:val="TableContents"/>
              <w:spacing w:before="0" w:after="283"/>
              <w:ind w:left="0" w:right="0" w:hanging="0"/>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jc w:val="left"/>
              <w:rPr/>
            </w:pPr>
            <w:r>
              <w:rPr/>
              <w:t>(Registrant)</w:t>
            </w:r>
          </w:p>
        </w:tc>
      </w:tr>
    </w:tbl>
    <w:tbl>
      <w:tblPr>
        <w:tblW w:w="5000" w:type="pct"/>
        <w:jc w:val="center"/>
        <w:tblInd w:w="0" w:type="dxa"/>
        <w:tblCellMar>
          <w:top w:w="0" w:type="dxa"/>
          <w:left w:w="0" w:type="dxa"/>
          <w:bottom w:w="0" w:type="dxa"/>
          <w:right w:w="0" w:type="dxa"/>
        </w:tblCellMar>
      </w:tblPr>
      <w:tblGrid>
        <w:gridCol w:w="3966"/>
        <w:gridCol w:w="211"/>
        <w:gridCol w:w="309"/>
        <w:gridCol w:w="211"/>
        <w:gridCol w:w="3767"/>
        <w:gridCol w:w="211"/>
        <w:gridCol w:w="1530"/>
      </w:tblGrid>
      <w:tr>
        <w:trPr/>
        <w:tc>
          <w:tcPr>
            <w:tcW w:w="396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76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30" w:type="dxa"/>
            <w:tcBorders/>
            <w:shd w:fill="auto" w:val="clear"/>
            <w:vAlign w:val="bottom"/>
          </w:tcPr>
          <w:p>
            <w:pPr>
              <w:pStyle w:val="TableContents"/>
              <w:spacing w:before="0" w:after="283"/>
              <w:rPr/>
            </w:pPr>
            <w:r>
              <w:rPr/>
              <w:t> </w:t>
            </w:r>
          </w:p>
        </w:tc>
      </w:tr>
      <w:tr>
        <w:trPr/>
        <w:tc>
          <w:tcPr>
            <w:tcW w:w="3966" w:type="dxa"/>
            <w:tcBorders/>
            <w:shd w:fill="auto" w:val="clear"/>
          </w:tcPr>
          <w:p>
            <w:pPr>
              <w:pStyle w:val="TableContents"/>
              <w:spacing w:before="0" w:after="0"/>
              <w:ind w:left="0" w:right="0" w:hanging="0"/>
              <w:rPr/>
            </w:pPr>
            <w:r>
              <w:rPr/>
              <w:t xml:space="preserve">Date: March 10, 2005 </w:t>
            </w:r>
          </w:p>
        </w:tc>
        <w:tc>
          <w:tcPr>
            <w:tcW w:w="211"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211" w:type="dxa"/>
            <w:tcBorders/>
            <w:shd w:fill="auto" w:val="clear"/>
            <w:vAlign w:val="bottom"/>
          </w:tcPr>
          <w:p>
            <w:pPr>
              <w:pStyle w:val="TableContents"/>
              <w:spacing w:before="0" w:after="283"/>
              <w:rPr/>
            </w:pPr>
            <w:r>
              <w:rPr/>
              <w:t> </w:t>
            </w:r>
          </w:p>
        </w:tc>
        <w:tc>
          <w:tcPr>
            <w:tcW w:w="3767" w:type="dxa"/>
            <w:tcBorders/>
            <w:shd w:fill="auto" w:val="clear"/>
          </w:tcPr>
          <w:p>
            <w:pPr>
              <w:pStyle w:val="TableContents"/>
              <w:spacing w:before="0" w:after="283"/>
              <w:jc w:val="left"/>
              <w:rPr/>
            </w:pPr>
            <w:r>
              <w:rPr/>
              <w:t xml:space="preserve">/s/ Lecil E. Cole </w:t>
            </w:r>
          </w:p>
        </w:tc>
        <w:tc>
          <w:tcPr>
            <w:tcW w:w="211" w:type="dxa"/>
            <w:tcBorders/>
            <w:shd w:fill="auto" w:val="clear"/>
            <w:vAlign w:val="bottom"/>
          </w:tcPr>
          <w:p>
            <w:pPr>
              <w:pStyle w:val="TableContents"/>
              <w:spacing w:before="0" w:after="283"/>
              <w:rPr/>
            </w:pPr>
            <w:r>
              <w:rPr/>
              <w:t> </w:t>
            </w:r>
          </w:p>
        </w:tc>
        <w:tc>
          <w:tcPr>
            <w:tcW w:w="1530" w:type="dxa"/>
            <w:tcBorders/>
            <w:shd w:fill="auto" w:val="clear"/>
          </w:tcPr>
          <w:p>
            <w:pPr>
              <w:pStyle w:val="TableContents"/>
              <w:spacing w:before="0" w:after="283"/>
              <w:jc w:val="left"/>
              <w:rPr/>
            </w:pPr>
            <w:r>
              <w:rPr/>
              <w:t> </w:t>
            </w:r>
          </w:p>
        </w:tc>
      </w:tr>
      <w:tr>
        <w:trPr/>
        <w:tc>
          <w:tcPr>
            <w:tcW w:w="3966" w:type="dxa"/>
            <w:tcBorders/>
            <w:shd w:fill="auto" w:val="clea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211" w:type="dxa"/>
            <w:tcBorders/>
            <w:shd w:fill="auto" w:val="clear"/>
            <w:vAlign w:val="center"/>
          </w:tcPr>
          <w:p>
            <w:pPr>
              <w:pStyle w:val="TableContents"/>
              <w:spacing w:before="0" w:after="283"/>
              <w:rPr/>
            </w:pPr>
            <w:r>
              <w:rPr/>
              <w:t> </w:t>
            </w:r>
          </w:p>
        </w:tc>
        <w:tc>
          <w:tcPr>
            <w:tcW w:w="3767" w:type="dxa"/>
            <w:tcBorders>
              <w:top w:val="single" w:sz="2" w:space="0" w:color="000000"/>
            </w:tcBorders>
            <w:shd w:fill="auto" w:val="clear"/>
            <w:tcMar>
              <w:top w:w="28" w:type="dxa"/>
            </w:tcMar>
          </w:tcPr>
          <w:p>
            <w:pPr>
              <w:pStyle w:val="TableContents"/>
              <w:spacing w:before="0" w:after="283"/>
              <w:jc w:val="left"/>
              <w:rPr/>
            </w:pPr>
            <w:r>
              <w:rPr/>
              <w:t> </w:t>
            </w:r>
          </w:p>
        </w:tc>
        <w:tc>
          <w:tcPr>
            <w:tcW w:w="211" w:type="dxa"/>
            <w:tcBorders/>
            <w:shd w:fill="auto" w:val="clear"/>
            <w:vAlign w:val="center"/>
          </w:tcPr>
          <w:p>
            <w:pPr>
              <w:pStyle w:val="TableContents"/>
              <w:spacing w:before="0" w:after="283"/>
              <w:rPr/>
            </w:pPr>
            <w:r>
              <w:rPr/>
              <w:t> </w:t>
            </w:r>
          </w:p>
        </w:tc>
        <w:tc>
          <w:tcPr>
            <w:tcW w:w="1530" w:type="dxa"/>
            <w:tcBorders/>
            <w:shd w:fill="auto" w:val="clear"/>
          </w:tcPr>
          <w:p>
            <w:pPr>
              <w:pStyle w:val="TableContents"/>
              <w:spacing w:before="0" w:after="283"/>
              <w:jc w:val="left"/>
              <w:rPr/>
            </w:pPr>
            <w:r>
              <w:rPr/>
              <w:t> </w:t>
            </w:r>
          </w:p>
        </w:tc>
      </w:tr>
      <w:tr>
        <w:trPr/>
        <w:tc>
          <w:tcPr>
            <w:tcW w:w="3966" w:type="dxa"/>
            <w:tcBorders/>
            <w:shd w:fill="auto" w:val="clear"/>
          </w:tcPr>
          <w:p>
            <w:pPr>
              <w:pStyle w:val="TableContents"/>
              <w:spacing w:before="0" w:after="283"/>
              <w:ind w:left="0" w:right="0" w:hanging="0"/>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211" w:type="dxa"/>
            <w:tcBorders/>
            <w:shd w:fill="auto" w:val="clear"/>
            <w:vAlign w:val="bottom"/>
          </w:tcPr>
          <w:p>
            <w:pPr>
              <w:pStyle w:val="TableContents"/>
              <w:spacing w:before="0" w:after="283"/>
              <w:rPr/>
            </w:pPr>
            <w:r>
              <w:rPr/>
              <w:t> </w:t>
            </w:r>
          </w:p>
        </w:tc>
        <w:tc>
          <w:tcPr>
            <w:tcW w:w="3767" w:type="dxa"/>
            <w:tcBorders/>
            <w:shd w:fill="auto" w:val="clear"/>
          </w:tcPr>
          <w:p>
            <w:pPr>
              <w:pStyle w:val="TableContents"/>
              <w:spacing w:before="0" w:after="283"/>
              <w:jc w:val="left"/>
              <w:rPr/>
            </w:pPr>
            <w:r>
              <w:rPr/>
              <w:t>Lecil E. Cole</w:t>
            </w:r>
          </w:p>
        </w:tc>
        <w:tc>
          <w:tcPr>
            <w:tcW w:w="211" w:type="dxa"/>
            <w:tcBorders/>
            <w:shd w:fill="auto" w:val="clear"/>
            <w:vAlign w:val="bottom"/>
          </w:tcPr>
          <w:p>
            <w:pPr>
              <w:pStyle w:val="TableContents"/>
              <w:spacing w:before="0" w:after="283"/>
              <w:rPr/>
            </w:pPr>
            <w:r>
              <w:rPr/>
              <w:t> </w:t>
            </w:r>
          </w:p>
        </w:tc>
        <w:tc>
          <w:tcPr>
            <w:tcW w:w="1530" w:type="dxa"/>
            <w:tcBorders/>
            <w:shd w:fill="auto" w:val="clear"/>
          </w:tcPr>
          <w:p>
            <w:pPr>
              <w:pStyle w:val="TableContents"/>
              <w:spacing w:before="0" w:after="283"/>
              <w:jc w:val="left"/>
              <w:rPr/>
            </w:pPr>
            <w:r>
              <w:rPr/>
              <w:t> </w:t>
            </w:r>
          </w:p>
        </w:tc>
      </w:tr>
      <w:tr>
        <w:trPr/>
        <w:tc>
          <w:tcPr>
            <w:tcW w:w="3966" w:type="dxa"/>
            <w:tcBorders/>
            <w:shd w:fill="auto" w:val="clear"/>
          </w:tcPr>
          <w:p>
            <w:pPr>
              <w:pStyle w:val="TableContents"/>
              <w:spacing w:before="0" w:after="283"/>
              <w:ind w:left="0" w:right="0" w:hanging="0"/>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211" w:type="dxa"/>
            <w:tcBorders/>
            <w:shd w:fill="auto" w:val="clear"/>
            <w:vAlign w:val="bottom"/>
          </w:tcPr>
          <w:p>
            <w:pPr>
              <w:pStyle w:val="TableContents"/>
              <w:spacing w:before="0" w:after="283"/>
              <w:rPr/>
            </w:pPr>
            <w:r>
              <w:rPr/>
              <w:t> </w:t>
            </w:r>
          </w:p>
        </w:tc>
        <w:tc>
          <w:tcPr>
            <w:tcW w:w="3767" w:type="dxa"/>
            <w:tcBorders/>
            <w:shd w:fill="auto" w:val="clear"/>
          </w:tcPr>
          <w:p>
            <w:pPr>
              <w:pStyle w:val="TableContents"/>
              <w:spacing w:before="0" w:after="283"/>
              <w:jc w:val="left"/>
              <w:rPr/>
            </w:pPr>
            <w:r>
              <w:rPr/>
              <w:t>Chairman of the Board of Directors,</w:t>
            </w:r>
          </w:p>
        </w:tc>
        <w:tc>
          <w:tcPr>
            <w:tcW w:w="211" w:type="dxa"/>
            <w:tcBorders/>
            <w:shd w:fill="auto" w:val="clear"/>
            <w:vAlign w:val="bottom"/>
          </w:tcPr>
          <w:p>
            <w:pPr>
              <w:pStyle w:val="TableContents"/>
              <w:spacing w:before="0" w:after="283"/>
              <w:rPr/>
            </w:pPr>
            <w:r>
              <w:rPr/>
              <w:t> </w:t>
            </w:r>
          </w:p>
        </w:tc>
        <w:tc>
          <w:tcPr>
            <w:tcW w:w="1530" w:type="dxa"/>
            <w:tcBorders/>
            <w:shd w:fill="auto" w:val="clear"/>
          </w:tcPr>
          <w:p>
            <w:pPr>
              <w:pStyle w:val="TableContents"/>
              <w:spacing w:before="0" w:after="283"/>
              <w:jc w:val="left"/>
              <w:rPr/>
            </w:pPr>
            <w:r>
              <w:rPr/>
              <w:t> </w:t>
            </w:r>
          </w:p>
        </w:tc>
      </w:tr>
      <w:tr>
        <w:trPr/>
        <w:tc>
          <w:tcPr>
            <w:tcW w:w="3966" w:type="dxa"/>
            <w:tcBorders/>
            <w:shd w:fill="auto" w:val="clear"/>
          </w:tcPr>
          <w:p>
            <w:pPr>
              <w:pStyle w:val="TableContents"/>
              <w:spacing w:before="0" w:after="283"/>
              <w:ind w:left="0" w:right="0" w:hanging="0"/>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211" w:type="dxa"/>
            <w:tcBorders/>
            <w:shd w:fill="auto" w:val="clear"/>
            <w:vAlign w:val="bottom"/>
          </w:tcPr>
          <w:p>
            <w:pPr>
              <w:pStyle w:val="TableContents"/>
              <w:spacing w:before="0" w:after="283"/>
              <w:rPr/>
            </w:pPr>
            <w:r>
              <w:rPr/>
              <w:t> </w:t>
            </w:r>
          </w:p>
        </w:tc>
        <w:tc>
          <w:tcPr>
            <w:tcW w:w="3767" w:type="dxa"/>
            <w:tcBorders/>
            <w:shd w:fill="auto" w:val="clear"/>
          </w:tcPr>
          <w:p>
            <w:pPr>
              <w:pStyle w:val="TableContents"/>
              <w:spacing w:before="0" w:after="283"/>
              <w:jc w:val="left"/>
              <w:rPr/>
            </w:pPr>
            <w:r>
              <w:rPr/>
              <w:t>Chief Executive Officer and President</w:t>
            </w:r>
          </w:p>
        </w:tc>
        <w:tc>
          <w:tcPr>
            <w:tcW w:w="211" w:type="dxa"/>
            <w:tcBorders/>
            <w:shd w:fill="auto" w:val="clear"/>
            <w:vAlign w:val="bottom"/>
          </w:tcPr>
          <w:p>
            <w:pPr>
              <w:pStyle w:val="TableContents"/>
              <w:spacing w:before="0" w:after="283"/>
              <w:rPr/>
            </w:pPr>
            <w:r>
              <w:rPr/>
              <w:t> </w:t>
            </w:r>
          </w:p>
        </w:tc>
        <w:tc>
          <w:tcPr>
            <w:tcW w:w="1530" w:type="dxa"/>
            <w:tcBorders/>
            <w:shd w:fill="auto" w:val="clear"/>
          </w:tcPr>
          <w:p>
            <w:pPr>
              <w:pStyle w:val="TableContents"/>
              <w:spacing w:before="0" w:after="283"/>
              <w:jc w:val="left"/>
              <w:rPr/>
            </w:pPr>
            <w:r>
              <w:rPr/>
              <w:t> </w:t>
            </w:r>
          </w:p>
        </w:tc>
      </w:tr>
      <w:tr>
        <w:trPr/>
        <w:tc>
          <w:tcPr>
            <w:tcW w:w="3966" w:type="dxa"/>
            <w:tcBorders/>
            <w:shd w:fill="auto" w:val="clear"/>
          </w:tcPr>
          <w:p>
            <w:pPr>
              <w:pStyle w:val="TableContents"/>
              <w:spacing w:before="0" w:after="283"/>
              <w:ind w:left="0" w:right="0" w:hanging="0"/>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211" w:type="dxa"/>
            <w:tcBorders/>
            <w:shd w:fill="auto" w:val="clear"/>
            <w:vAlign w:val="bottom"/>
          </w:tcPr>
          <w:p>
            <w:pPr>
              <w:pStyle w:val="TableContents"/>
              <w:spacing w:before="0" w:after="283"/>
              <w:rPr/>
            </w:pPr>
            <w:r>
              <w:rPr/>
              <w:t> </w:t>
            </w:r>
          </w:p>
        </w:tc>
        <w:tc>
          <w:tcPr>
            <w:tcW w:w="3767" w:type="dxa"/>
            <w:tcBorders/>
            <w:shd w:fill="auto" w:val="clear"/>
          </w:tcPr>
          <w:p>
            <w:pPr>
              <w:pStyle w:val="TableContents"/>
              <w:spacing w:before="0" w:after="283"/>
              <w:jc w:val="left"/>
              <w:rPr/>
            </w:pPr>
            <w:r>
              <w:rPr/>
              <w:t>(Principal Executive Officer)</w:t>
            </w:r>
          </w:p>
        </w:tc>
        <w:tc>
          <w:tcPr>
            <w:tcW w:w="211" w:type="dxa"/>
            <w:tcBorders/>
            <w:shd w:fill="auto" w:val="clear"/>
            <w:vAlign w:val="bottom"/>
          </w:tcPr>
          <w:p>
            <w:pPr>
              <w:pStyle w:val="TableContents"/>
              <w:spacing w:before="0" w:after="283"/>
              <w:rPr/>
            </w:pPr>
            <w:r>
              <w:rPr/>
              <w:t> </w:t>
            </w:r>
          </w:p>
        </w:tc>
        <w:tc>
          <w:tcPr>
            <w:tcW w:w="1530" w:type="dxa"/>
            <w:tcBorders/>
            <w:shd w:fill="auto" w:val="clear"/>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3966"/>
        <w:gridCol w:w="211"/>
        <w:gridCol w:w="309"/>
        <w:gridCol w:w="211"/>
        <w:gridCol w:w="3767"/>
        <w:gridCol w:w="211"/>
        <w:gridCol w:w="1530"/>
      </w:tblGrid>
      <w:tr>
        <w:trPr/>
        <w:tc>
          <w:tcPr>
            <w:tcW w:w="3966"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376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30" w:type="dxa"/>
            <w:tcBorders/>
            <w:shd w:fill="auto" w:val="clear"/>
            <w:vAlign w:val="bottom"/>
          </w:tcPr>
          <w:p>
            <w:pPr>
              <w:pStyle w:val="TableContents"/>
              <w:spacing w:before="0" w:after="283"/>
              <w:rPr/>
            </w:pPr>
            <w:r>
              <w:rPr/>
              <w:t> </w:t>
            </w:r>
          </w:p>
        </w:tc>
      </w:tr>
      <w:tr>
        <w:trPr/>
        <w:tc>
          <w:tcPr>
            <w:tcW w:w="3966" w:type="dxa"/>
            <w:tcBorders/>
            <w:shd w:fill="auto" w:val="clear"/>
          </w:tcPr>
          <w:p>
            <w:pPr>
              <w:pStyle w:val="TableContents"/>
              <w:spacing w:before="0" w:after="0"/>
              <w:ind w:left="0" w:right="0" w:hanging="0"/>
              <w:rPr/>
            </w:pPr>
            <w:r>
              <w:rPr/>
              <w:t xml:space="preserve">Date: March 10, 2005 </w:t>
            </w:r>
          </w:p>
        </w:tc>
        <w:tc>
          <w:tcPr>
            <w:tcW w:w="211"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211" w:type="dxa"/>
            <w:tcBorders/>
            <w:shd w:fill="auto" w:val="clear"/>
            <w:vAlign w:val="bottom"/>
          </w:tcPr>
          <w:p>
            <w:pPr>
              <w:pStyle w:val="TableContents"/>
              <w:spacing w:before="0" w:after="283"/>
              <w:rPr/>
            </w:pPr>
            <w:r>
              <w:rPr/>
              <w:t> </w:t>
            </w:r>
          </w:p>
        </w:tc>
        <w:tc>
          <w:tcPr>
            <w:tcW w:w="3767" w:type="dxa"/>
            <w:tcBorders/>
            <w:shd w:fill="auto" w:val="clear"/>
          </w:tcPr>
          <w:p>
            <w:pPr>
              <w:pStyle w:val="TableContents"/>
              <w:spacing w:before="0" w:after="283"/>
              <w:jc w:val="left"/>
              <w:rPr/>
            </w:pPr>
            <w:r>
              <w:rPr/>
              <w:t xml:space="preserve">/s/ Arthur J. Bruno </w:t>
            </w:r>
          </w:p>
        </w:tc>
        <w:tc>
          <w:tcPr>
            <w:tcW w:w="211" w:type="dxa"/>
            <w:tcBorders/>
            <w:shd w:fill="auto" w:val="clear"/>
            <w:vAlign w:val="bottom"/>
          </w:tcPr>
          <w:p>
            <w:pPr>
              <w:pStyle w:val="TableContents"/>
              <w:spacing w:before="0" w:after="283"/>
              <w:rPr/>
            </w:pPr>
            <w:r>
              <w:rPr/>
              <w:t> </w:t>
            </w:r>
          </w:p>
        </w:tc>
        <w:tc>
          <w:tcPr>
            <w:tcW w:w="1530" w:type="dxa"/>
            <w:tcBorders/>
            <w:shd w:fill="auto" w:val="clear"/>
          </w:tcPr>
          <w:p>
            <w:pPr>
              <w:pStyle w:val="TableContents"/>
              <w:spacing w:before="0" w:after="283"/>
              <w:jc w:val="left"/>
              <w:rPr/>
            </w:pPr>
            <w:r>
              <w:rPr/>
              <w:t> </w:t>
            </w:r>
          </w:p>
        </w:tc>
      </w:tr>
      <w:tr>
        <w:trPr/>
        <w:tc>
          <w:tcPr>
            <w:tcW w:w="3966" w:type="dxa"/>
            <w:tcBorders/>
            <w:shd w:fill="auto" w:val="clea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211" w:type="dxa"/>
            <w:tcBorders/>
            <w:shd w:fill="auto" w:val="clear"/>
            <w:vAlign w:val="center"/>
          </w:tcPr>
          <w:p>
            <w:pPr>
              <w:pStyle w:val="TableContents"/>
              <w:spacing w:before="0" w:after="283"/>
              <w:rPr/>
            </w:pPr>
            <w:r>
              <w:rPr/>
              <w:t> </w:t>
            </w:r>
          </w:p>
        </w:tc>
        <w:tc>
          <w:tcPr>
            <w:tcW w:w="3767" w:type="dxa"/>
            <w:tcBorders>
              <w:top w:val="single" w:sz="2" w:space="0" w:color="000000"/>
            </w:tcBorders>
            <w:shd w:fill="auto" w:val="clear"/>
            <w:tcMar>
              <w:top w:w="28" w:type="dxa"/>
            </w:tcMar>
          </w:tcPr>
          <w:p>
            <w:pPr>
              <w:pStyle w:val="TableContents"/>
              <w:spacing w:before="0" w:after="283"/>
              <w:jc w:val="left"/>
              <w:rPr/>
            </w:pPr>
            <w:r>
              <w:rPr/>
              <w:t> </w:t>
            </w:r>
          </w:p>
        </w:tc>
        <w:tc>
          <w:tcPr>
            <w:tcW w:w="211" w:type="dxa"/>
            <w:tcBorders/>
            <w:shd w:fill="auto" w:val="clear"/>
            <w:vAlign w:val="center"/>
          </w:tcPr>
          <w:p>
            <w:pPr>
              <w:pStyle w:val="TableContents"/>
              <w:spacing w:before="0" w:after="283"/>
              <w:rPr/>
            </w:pPr>
            <w:r>
              <w:rPr/>
              <w:t> </w:t>
            </w:r>
          </w:p>
        </w:tc>
        <w:tc>
          <w:tcPr>
            <w:tcW w:w="1530" w:type="dxa"/>
            <w:tcBorders/>
            <w:shd w:fill="auto" w:val="clear"/>
          </w:tcPr>
          <w:p>
            <w:pPr>
              <w:pStyle w:val="TableContents"/>
              <w:spacing w:before="0" w:after="283"/>
              <w:jc w:val="left"/>
              <w:rPr/>
            </w:pPr>
            <w:r>
              <w:rPr/>
              <w:t> </w:t>
            </w:r>
          </w:p>
        </w:tc>
      </w:tr>
      <w:tr>
        <w:trPr/>
        <w:tc>
          <w:tcPr>
            <w:tcW w:w="3966" w:type="dxa"/>
            <w:tcBorders/>
            <w:shd w:fill="auto" w:val="clear"/>
          </w:tcPr>
          <w:p>
            <w:pPr>
              <w:pStyle w:val="TableContents"/>
              <w:spacing w:before="0" w:after="283"/>
              <w:ind w:left="0" w:right="0" w:hanging="0"/>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211" w:type="dxa"/>
            <w:tcBorders/>
            <w:shd w:fill="auto" w:val="clear"/>
            <w:vAlign w:val="bottom"/>
          </w:tcPr>
          <w:p>
            <w:pPr>
              <w:pStyle w:val="TableContents"/>
              <w:spacing w:before="0" w:after="283"/>
              <w:rPr/>
            </w:pPr>
            <w:r>
              <w:rPr/>
              <w:t> </w:t>
            </w:r>
          </w:p>
        </w:tc>
        <w:tc>
          <w:tcPr>
            <w:tcW w:w="3767" w:type="dxa"/>
            <w:tcBorders/>
            <w:shd w:fill="auto" w:val="clear"/>
          </w:tcPr>
          <w:p>
            <w:pPr>
              <w:pStyle w:val="TableContents"/>
              <w:spacing w:before="0" w:after="283"/>
              <w:jc w:val="left"/>
              <w:rPr/>
            </w:pPr>
            <w:r>
              <w:rPr/>
              <w:t>Arthur J. Bruno</w:t>
            </w:r>
          </w:p>
        </w:tc>
        <w:tc>
          <w:tcPr>
            <w:tcW w:w="211" w:type="dxa"/>
            <w:tcBorders/>
            <w:shd w:fill="auto" w:val="clear"/>
            <w:vAlign w:val="bottom"/>
          </w:tcPr>
          <w:p>
            <w:pPr>
              <w:pStyle w:val="TableContents"/>
              <w:spacing w:before="0" w:after="283"/>
              <w:rPr/>
            </w:pPr>
            <w:r>
              <w:rPr/>
              <w:t> </w:t>
            </w:r>
          </w:p>
        </w:tc>
        <w:tc>
          <w:tcPr>
            <w:tcW w:w="1530" w:type="dxa"/>
            <w:tcBorders/>
            <w:shd w:fill="auto" w:val="clear"/>
          </w:tcPr>
          <w:p>
            <w:pPr>
              <w:pStyle w:val="TableContents"/>
              <w:spacing w:before="0" w:after="283"/>
              <w:jc w:val="left"/>
              <w:rPr/>
            </w:pPr>
            <w:r>
              <w:rPr/>
              <w:t> </w:t>
            </w:r>
          </w:p>
        </w:tc>
      </w:tr>
      <w:tr>
        <w:trPr/>
        <w:tc>
          <w:tcPr>
            <w:tcW w:w="3966" w:type="dxa"/>
            <w:tcBorders/>
            <w:shd w:fill="auto" w:val="clear"/>
          </w:tcPr>
          <w:p>
            <w:pPr>
              <w:pStyle w:val="TableContents"/>
              <w:spacing w:before="0" w:after="283"/>
              <w:ind w:left="0" w:right="0" w:hanging="0"/>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211" w:type="dxa"/>
            <w:tcBorders/>
            <w:shd w:fill="auto" w:val="clear"/>
            <w:vAlign w:val="bottom"/>
          </w:tcPr>
          <w:p>
            <w:pPr>
              <w:pStyle w:val="TableContents"/>
              <w:spacing w:before="0" w:after="283"/>
              <w:rPr/>
            </w:pPr>
            <w:r>
              <w:rPr/>
              <w:t> </w:t>
            </w:r>
          </w:p>
        </w:tc>
        <w:tc>
          <w:tcPr>
            <w:tcW w:w="3767" w:type="dxa"/>
            <w:tcBorders/>
            <w:shd w:fill="auto" w:val="clear"/>
          </w:tcPr>
          <w:p>
            <w:pPr>
              <w:pStyle w:val="TableContents"/>
              <w:spacing w:before="0" w:after="283"/>
              <w:jc w:val="left"/>
              <w:rPr/>
            </w:pPr>
            <w:r>
              <w:rPr/>
              <w:t>Chief Operating Officer, Chief Financial Officer and Corporate Secretary</w:t>
            </w:r>
          </w:p>
        </w:tc>
        <w:tc>
          <w:tcPr>
            <w:tcW w:w="211" w:type="dxa"/>
            <w:tcBorders/>
            <w:shd w:fill="auto" w:val="clear"/>
            <w:vAlign w:val="bottom"/>
          </w:tcPr>
          <w:p>
            <w:pPr>
              <w:pStyle w:val="TableContents"/>
              <w:spacing w:before="0" w:after="283"/>
              <w:rPr/>
            </w:pPr>
            <w:r>
              <w:rPr/>
              <w:t> </w:t>
            </w:r>
          </w:p>
        </w:tc>
        <w:tc>
          <w:tcPr>
            <w:tcW w:w="1530" w:type="dxa"/>
            <w:tcBorders/>
            <w:shd w:fill="auto" w:val="clear"/>
          </w:tcPr>
          <w:p>
            <w:pPr>
              <w:pStyle w:val="TableContents"/>
              <w:spacing w:before="0" w:after="283"/>
              <w:jc w:val="left"/>
              <w:rPr/>
            </w:pPr>
            <w:r>
              <w:rPr/>
              <w:t> </w:t>
            </w:r>
          </w:p>
        </w:tc>
      </w:tr>
      <w:tr>
        <w:trPr/>
        <w:tc>
          <w:tcPr>
            <w:tcW w:w="3966" w:type="dxa"/>
            <w:tcBorders/>
            <w:shd w:fill="auto" w:val="clear"/>
          </w:tcPr>
          <w:p>
            <w:pPr>
              <w:pStyle w:val="TableContents"/>
              <w:spacing w:before="0" w:after="283"/>
              <w:ind w:left="0" w:right="0" w:hanging="0"/>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211" w:type="dxa"/>
            <w:tcBorders/>
            <w:shd w:fill="auto" w:val="clear"/>
            <w:vAlign w:val="bottom"/>
          </w:tcPr>
          <w:p>
            <w:pPr>
              <w:pStyle w:val="TableContents"/>
              <w:spacing w:before="0" w:after="283"/>
              <w:rPr/>
            </w:pPr>
            <w:r>
              <w:rPr/>
              <w:t> </w:t>
            </w:r>
          </w:p>
        </w:tc>
        <w:tc>
          <w:tcPr>
            <w:tcW w:w="3767" w:type="dxa"/>
            <w:tcBorders/>
            <w:shd w:fill="auto" w:val="clear"/>
          </w:tcPr>
          <w:p>
            <w:pPr>
              <w:pStyle w:val="TableContents"/>
              <w:spacing w:before="0" w:after="283"/>
              <w:jc w:val="left"/>
              <w:rPr/>
            </w:pPr>
            <w:r>
              <w:rPr/>
              <w:t>(Principal Financial Officer)</w:t>
            </w:r>
          </w:p>
        </w:tc>
        <w:tc>
          <w:tcPr>
            <w:tcW w:w="211" w:type="dxa"/>
            <w:tcBorders/>
            <w:shd w:fill="auto" w:val="clear"/>
            <w:vAlign w:val="bottom"/>
          </w:tcPr>
          <w:p>
            <w:pPr>
              <w:pStyle w:val="TableContents"/>
              <w:spacing w:before="0" w:after="283"/>
              <w:rPr/>
            </w:pPr>
            <w:r>
              <w:rPr/>
              <w:t> </w:t>
            </w:r>
          </w:p>
        </w:tc>
        <w:tc>
          <w:tcPr>
            <w:tcW w:w="1530"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INDEX TO EXHIBITS </w:t>
      </w:r>
    </w:p>
    <w:tbl>
      <w:tblPr>
        <w:tblW w:w="5000" w:type="pct"/>
        <w:jc w:val="center"/>
        <w:tblInd w:w="0" w:type="dxa"/>
        <w:tblCellMar>
          <w:top w:w="0" w:type="dxa"/>
          <w:left w:w="0" w:type="dxa"/>
          <w:bottom w:w="0" w:type="dxa"/>
          <w:right w:w="0" w:type="dxa"/>
        </w:tblCellMar>
      </w:tblPr>
      <w:tblGrid>
        <w:gridCol w:w="828"/>
        <w:gridCol w:w="209"/>
        <w:gridCol w:w="9168"/>
      </w:tblGrid>
      <w:tr>
        <w:trPr/>
        <w:tc>
          <w:tcPr>
            <w:tcW w:w="828"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9168" w:type="dxa"/>
            <w:tcBorders/>
            <w:shd w:fill="auto" w:val="clear"/>
            <w:vAlign w:val="bottom"/>
          </w:tcPr>
          <w:p>
            <w:pPr>
              <w:pStyle w:val="TableContents"/>
              <w:spacing w:before="0" w:after="283"/>
              <w:rPr/>
            </w:pPr>
            <w:r>
              <w:rPr/>
              <w:t> </w:t>
            </w:r>
          </w:p>
        </w:tc>
      </w:tr>
      <w:tr>
        <w:trPr/>
        <w:tc>
          <w:tcPr>
            <w:tcW w:w="828" w:type="dxa"/>
            <w:tcBorders/>
            <w:shd w:fill="auto" w:val="clear"/>
            <w:vAlign w:val="bottom"/>
          </w:tcPr>
          <w:p>
            <w:pPr>
              <w:pStyle w:val="TableContents"/>
              <w:spacing w:before="0" w:after="283"/>
              <w:jc w:val="left"/>
              <w:rPr/>
            </w:pPr>
            <w:r>
              <w:rPr/>
              <w:t>Exhibit</w:t>
            </w:r>
          </w:p>
        </w:tc>
        <w:tc>
          <w:tcPr>
            <w:tcW w:w="209" w:type="dxa"/>
            <w:tcBorders/>
            <w:shd w:fill="auto" w:val="clear"/>
            <w:vAlign w:val="bottom"/>
          </w:tcPr>
          <w:p>
            <w:pPr>
              <w:pStyle w:val="TableContents"/>
              <w:spacing w:before="0" w:after="283"/>
              <w:rPr/>
            </w:pPr>
            <w:r>
              <w:rPr/>
              <w:t> </w:t>
            </w:r>
          </w:p>
        </w:tc>
        <w:tc>
          <w:tcPr>
            <w:tcW w:w="9168" w:type="dxa"/>
            <w:tcBorders/>
            <w:shd w:fill="auto" w:val="clear"/>
            <w:vAlign w:val="bottom"/>
          </w:tcPr>
          <w:p>
            <w:pPr>
              <w:pStyle w:val="TableContents"/>
              <w:spacing w:before="0" w:after="283"/>
              <w:jc w:val="center"/>
              <w:rPr/>
            </w:pPr>
            <w:r>
              <w:rPr/>
              <w:t> </w:t>
            </w:r>
          </w:p>
        </w:tc>
      </w:tr>
      <w:tr>
        <w:trPr/>
        <w:tc>
          <w:tcPr>
            <w:tcW w:w="828" w:type="dxa"/>
            <w:tcBorders>
              <w:bottom w:val="single" w:sz="2" w:space="0" w:color="000000"/>
            </w:tcBorders>
            <w:shd w:fill="auto" w:val="clear"/>
            <w:tcMar>
              <w:bottom w:w="28" w:type="dxa"/>
            </w:tcMar>
            <w:vAlign w:val="bottom"/>
          </w:tcPr>
          <w:p>
            <w:pPr>
              <w:pStyle w:val="TableContents"/>
              <w:spacing w:before="0" w:after="283"/>
              <w:jc w:val="left"/>
              <w:rPr/>
            </w:pPr>
            <w:r>
              <w:rPr/>
              <w:t>Number</w:t>
            </w:r>
          </w:p>
        </w:tc>
        <w:tc>
          <w:tcPr>
            <w:tcW w:w="209" w:type="dxa"/>
            <w:tcBorders/>
            <w:shd w:fill="auto" w:val="clear"/>
            <w:vAlign w:val="bottom"/>
          </w:tcPr>
          <w:p>
            <w:pPr>
              <w:pStyle w:val="TableContents"/>
              <w:spacing w:before="0" w:after="283"/>
              <w:rPr/>
            </w:pPr>
            <w:r>
              <w:rPr/>
              <w:t> </w:t>
            </w:r>
          </w:p>
        </w:tc>
        <w:tc>
          <w:tcPr>
            <w:tcW w:w="9168"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r>
      <w:tr>
        <w:trPr/>
        <w:tc>
          <w:tcPr>
            <w:tcW w:w="828" w:type="dxa"/>
            <w:tcBorders/>
            <w:shd w:fill="auto" w:val="clear"/>
          </w:tcPr>
          <w:p>
            <w:pPr>
              <w:pStyle w:val="TableContents"/>
              <w:spacing w:before="0" w:after="0"/>
              <w:ind w:left="0" w:right="0" w:hanging="0"/>
              <w:jc w:val="right"/>
              <w:rPr/>
            </w:pPr>
            <w:r>
              <w:rPr/>
              <w:t xml:space="preserve">31.1 </w:t>
            </w:r>
          </w:p>
        </w:tc>
        <w:tc>
          <w:tcPr>
            <w:tcW w:w="209" w:type="dxa"/>
            <w:tcBorders/>
            <w:shd w:fill="auto" w:val="clear"/>
            <w:vAlign w:val="bottom"/>
          </w:tcPr>
          <w:p>
            <w:pPr>
              <w:pStyle w:val="TableContents"/>
              <w:spacing w:before="0" w:after="283"/>
              <w:rPr/>
            </w:pPr>
            <w:r>
              <w:rPr/>
              <w:t> </w:t>
            </w:r>
          </w:p>
        </w:tc>
        <w:tc>
          <w:tcPr>
            <w:tcW w:w="9168" w:type="dxa"/>
            <w:tcBorders/>
            <w:shd w:fill="auto" w:val="clear"/>
          </w:tcPr>
          <w:p>
            <w:pPr>
              <w:pStyle w:val="TableContents"/>
              <w:spacing w:before="0" w:after="283"/>
              <w:jc w:val="left"/>
              <w:rPr/>
            </w:pPr>
            <w:r>
              <w:rPr/>
              <w:t>Certification of Chief Executive Officer Pursuant to 15 U.S.C. § 7241, as Adopted Pursuant to Section 302 of the Sarbanes-Oxley Act of 2002.</w:t>
            </w:r>
          </w:p>
        </w:tc>
      </w:tr>
      <w:tr>
        <w:trPr/>
        <w:tc>
          <w:tcPr>
            <w:tcW w:w="828" w:type="dxa"/>
            <w:tcBorders/>
            <w:shd w:fill="auto" w:val="clear"/>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283"/>
              <w:rPr/>
            </w:pPr>
            <w:r>
              <w:rPr/>
              <w:t> </w:t>
            </w:r>
          </w:p>
        </w:tc>
        <w:tc>
          <w:tcPr>
            <w:tcW w:w="9168" w:type="dxa"/>
            <w:tcBorders/>
            <w:shd w:fill="auto" w:val="clear"/>
          </w:tcPr>
          <w:p>
            <w:pPr>
              <w:pStyle w:val="TableContents"/>
              <w:spacing w:before="0" w:after="283"/>
              <w:jc w:val="left"/>
              <w:rPr/>
            </w:pPr>
            <w:r>
              <w:rPr/>
              <w:t> </w:t>
            </w:r>
          </w:p>
        </w:tc>
      </w:tr>
      <w:tr>
        <w:trPr/>
        <w:tc>
          <w:tcPr>
            <w:tcW w:w="828" w:type="dxa"/>
            <w:tcBorders/>
            <w:shd w:fill="auto" w:val="clear"/>
          </w:tcPr>
          <w:p>
            <w:pPr>
              <w:pStyle w:val="TableContents"/>
              <w:spacing w:before="0" w:after="0"/>
              <w:ind w:left="0" w:right="0" w:hanging="0"/>
              <w:jc w:val="right"/>
              <w:rPr/>
            </w:pPr>
            <w:r>
              <w:rPr/>
              <w:t xml:space="preserve">31.2 </w:t>
            </w:r>
          </w:p>
        </w:tc>
        <w:tc>
          <w:tcPr>
            <w:tcW w:w="209" w:type="dxa"/>
            <w:tcBorders/>
            <w:shd w:fill="auto" w:val="clear"/>
            <w:vAlign w:val="bottom"/>
          </w:tcPr>
          <w:p>
            <w:pPr>
              <w:pStyle w:val="TableContents"/>
              <w:spacing w:before="0" w:after="283"/>
              <w:rPr/>
            </w:pPr>
            <w:r>
              <w:rPr/>
              <w:t> </w:t>
            </w:r>
          </w:p>
        </w:tc>
        <w:tc>
          <w:tcPr>
            <w:tcW w:w="9168" w:type="dxa"/>
            <w:tcBorders/>
            <w:shd w:fill="auto" w:val="clear"/>
          </w:tcPr>
          <w:p>
            <w:pPr>
              <w:pStyle w:val="TableContents"/>
              <w:spacing w:before="0" w:after="283"/>
              <w:jc w:val="left"/>
              <w:rPr/>
            </w:pPr>
            <w:r>
              <w:rPr/>
              <w:t>Certification of Principal Financial Officer Pursuant to 15 U.S.C. § 7241, as Adopted Pursuant to Section 302 of the Sarbanes-Oxley Act of 2002.</w:t>
            </w:r>
          </w:p>
        </w:tc>
      </w:tr>
      <w:tr>
        <w:trPr/>
        <w:tc>
          <w:tcPr>
            <w:tcW w:w="828" w:type="dxa"/>
            <w:tcBorders/>
            <w:shd w:fill="auto" w:val="clear"/>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283"/>
              <w:rPr/>
            </w:pPr>
            <w:r>
              <w:rPr/>
              <w:t> </w:t>
            </w:r>
          </w:p>
        </w:tc>
        <w:tc>
          <w:tcPr>
            <w:tcW w:w="9168" w:type="dxa"/>
            <w:tcBorders/>
            <w:shd w:fill="auto" w:val="clear"/>
          </w:tcPr>
          <w:p>
            <w:pPr>
              <w:pStyle w:val="TableContents"/>
              <w:spacing w:before="0" w:after="283"/>
              <w:jc w:val="left"/>
              <w:rPr/>
            </w:pPr>
            <w:r>
              <w:rPr/>
              <w:t> </w:t>
            </w:r>
          </w:p>
        </w:tc>
      </w:tr>
      <w:tr>
        <w:trPr/>
        <w:tc>
          <w:tcPr>
            <w:tcW w:w="828" w:type="dxa"/>
            <w:tcBorders/>
            <w:shd w:fill="auto" w:val="clear"/>
          </w:tcPr>
          <w:p>
            <w:pPr>
              <w:pStyle w:val="TableContents"/>
              <w:spacing w:before="0" w:after="0"/>
              <w:ind w:left="0" w:right="0" w:hanging="0"/>
              <w:jc w:val="right"/>
              <w:rPr/>
            </w:pPr>
            <w:r>
              <w:rPr/>
              <w:t xml:space="preserve">32.1 </w:t>
            </w:r>
          </w:p>
        </w:tc>
        <w:tc>
          <w:tcPr>
            <w:tcW w:w="209" w:type="dxa"/>
            <w:tcBorders/>
            <w:shd w:fill="auto" w:val="clear"/>
            <w:vAlign w:val="bottom"/>
          </w:tcPr>
          <w:p>
            <w:pPr>
              <w:pStyle w:val="TableContents"/>
              <w:spacing w:before="0" w:after="283"/>
              <w:rPr/>
            </w:pPr>
            <w:r>
              <w:rPr/>
              <w:t> </w:t>
            </w:r>
          </w:p>
        </w:tc>
        <w:tc>
          <w:tcPr>
            <w:tcW w:w="9168" w:type="dxa"/>
            <w:tcBorders/>
            <w:shd w:fill="auto" w:val="clear"/>
          </w:tcPr>
          <w:p>
            <w:pPr>
              <w:pStyle w:val="TableContents"/>
              <w:spacing w:before="0" w:after="283"/>
              <w:jc w:val="left"/>
              <w:rPr/>
            </w:pPr>
            <w:r>
              <w:rPr/>
              <w:t>Certification of Chief Executive Officer Pursuant to 18 U.S.C. § 1350, as Adopted Pursuant to Section 906 of the Sarbanes-Oxley Act of 2002.</w:t>
            </w:r>
          </w:p>
        </w:tc>
      </w:tr>
      <w:tr>
        <w:trPr/>
        <w:tc>
          <w:tcPr>
            <w:tcW w:w="828" w:type="dxa"/>
            <w:tcBorders/>
            <w:shd w:fill="auto" w:val="clear"/>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283"/>
              <w:rPr/>
            </w:pPr>
            <w:r>
              <w:rPr/>
              <w:t> </w:t>
            </w:r>
          </w:p>
        </w:tc>
        <w:tc>
          <w:tcPr>
            <w:tcW w:w="9168" w:type="dxa"/>
            <w:tcBorders/>
            <w:shd w:fill="auto" w:val="clear"/>
          </w:tcPr>
          <w:p>
            <w:pPr>
              <w:pStyle w:val="TableContents"/>
              <w:spacing w:before="0" w:after="283"/>
              <w:jc w:val="left"/>
              <w:rPr/>
            </w:pPr>
            <w:r>
              <w:rPr/>
              <w:t> </w:t>
            </w:r>
          </w:p>
        </w:tc>
      </w:tr>
      <w:tr>
        <w:trPr/>
        <w:tc>
          <w:tcPr>
            <w:tcW w:w="828" w:type="dxa"/>
            <w:tcBorders/>
            <w:shd w:fill="auto" w:val="clear"/>
          </w:tcPr>
          <w:p>
            <w:pPr>
              <w:pStyle w:val="TableContents"/>
              <w:spacing w:before="0" w:after="0"/>
              <w:ind w:left="0" w:right="0" w:hanging="0"/>
              <w:jc w:val="right"/>
              <w:rPr/>
            </w:pPr>
            <w:r>
              <w:rPr/>
              <w:t xml:space="preserve">32.2 </w:t>
            </w:r>
          </w:p>
        </w:tc>
        <w:tc>
          <w:tcPr>
            <w:tcW w:w="209" w:type="dxa"/>
            <w:tcBorders/>
            <w:shd w:fill="auto" w:val="clear"/>
            <w:vAlign w:val="bottom"/>
          </w:tcPr>
          <w:p>
            <w:pPr>
              <w:pStyle w:val="TableContents"/>
              <w:spacing w:before="0" w:after="283"/>
              <w:rPr/>
            </w:pPr>
            <w:r>
              <w:rPr/>
              <w:t> </w:t>
            </w:r>
          </w:p>
        </w:tc>
        <w:tc>
          <w:tcPr>
            <w:tcW w:w="9168" w:type="dxa"/>
            <w:tcBorders/>
            <w:shd w:fill="auto" w:val="clear"/>
          </w:tcPr>
          <w:p>
            <w:pPr>
              <w:pStyle w:val="TableContents"/>
              <w:spacing w:before="0" w:after="283"/>
              <w:jc w:val="left"/>
              <w:rPr/>
            </w:pPr>
            <w:r>
              <w:rPr/>
              <w:t>Certification of Principal Financial Officer Pursuant to 18 U.S.C. § 1350, as Adopted Pursuant to Section 906 of the Sarbanes-Oxley Act of 2002.</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23 </w:t>
      </w:r>
      <w:r>
        <w:br w:type="page"/>
      </w:r>
    </w:p>
    <w:p>
      <w:pPr>
        <w:pStyle w:val="Heading5"/>
        <w:jc w:val="left"/>
        <w:rPr/>
      </w:pPr>
      <w:bookmarkStart w:id="16" w:name="v06772exv31w1.htm"/>
      <w:bookmarkStart w:id="17" w:name="ksv06772exv31w1"/>
      <w:bookmarkEnd w:id="16"/>
      <w:bookmarkEnd w:id="17"/>
      <w:r>
        <w:rPr/>
        <w:t> </w:t>
      </w:r>
    </w:p>
    <w:p>
      <w:pPr>
        <w:pStyle w:val="TextBody"/>
        <w:jc w:val="right"/>
        <w:rPr>
          <w:rFonts w:ascii="Times New Roman;Times;serif" w:hAnsi="Times New Roman;Times;serif"/>
          <w:sz w:val="17"/>
        </w:rPr>
      </w:pPr>
      <w:r>
        <w:rPr>
          <w:rFonts w:ascii="Times New Roman;Times;serif" w:hAnsi="Times New Roman;Times;serif"/>
          <w:sz w:val="17"/>
        </w:rPr>
        <w:t xml:space="preserve">Exhibit 31.1 </w:t>
      </w:r>
    </w:p>
    <w:p>
      <w:pPr>
        <w:pStyle w:val="TextBody"/>
        <w:jc w:val="center"/>
        <w:rPr>
          <w:rFonts w:ascii="Times New Roman;Times;serif" w:hAnsi="Times New Roman;Times;serif"/>
          <w:sz w:val="17"/>
        </w:rPr>
      </w:pPr>
      <w:r>
        <w:rPr>
          <w:rFonts w:ascii="Times New Roman;Times;serif" w:hAnsi="Times New Roman;Times;serif"/>
          <w:sz w:val="17"/>
        </w:rPr>
        <w:t xml:space="preserve">CERTIFICATION PURSUANT TO </w:t>
      </w:r>
    </w:p>
    <w:p>
      <w:pPr>
        <w:pStyle w:val="TextBody"/>
        <w:jc w:val="center"/>
        <w:rPr>
          <w:rFonts w:ascii="Times New Roman;Times;serif" w:hAnsi="Times New Roman;Times;serif"/>
          <w:sz w:val="17"/>
        </w:rPr>
      </w:pPr>
      <w:r>
        <w:rPr>
          <w:rFonts w:ascii="Times New Roman;Times;serif" w:hAnsi="Times New Roman;Times;serif"/>
          <w:sz w:val="17"/>
        </w:rPr>
        <w:t>15 U.S.C. § 7241</w:t>
        <w:br/>
        <w:t>AS ADOPTED PURSUANT TO</w:t>
        <w:br/>
        <w:t xml:space="preserve">SECTION 302 OF THE SARBANES-OXLEY ACT OF 2002 </w:t>
      </w:r>
    </w:p>
    <w:p>
      <w:pPr>
        <w:pStyle w:val="TextBody"/>
        <w:jc w:val="left"/>
        <w:rPr>
          <w:rFonts w:ascii="Times New Roman;Times;serif" w:hAnsi="Times New Roman;Times;serif"/>
          <w:sz w:val="17"/>
        </w:rPr>
      </w:pPr>
      <w:r>
        <w:rPr>
          <w:rFonts w:ascii="Times New Roman;Times;serif" w:hAnsi="Times New Roman;Times;serif"/>
          <w:sz w:val="17"/>
        </w:rPr>
        <w:t xml:space="preserve">I, Lecil E. Cole, certify that: </w:t>
      </w:r>
    </w:p>
    <w:p>
      <w:pPr>
        <w:pStyle w:val="TextBody"/>
        <w:jc w:val="left"/>
        <w:rPr>
          <w:rFonts w:ascii="Times New Roman;Times;serif" w:hAnsi="Times New Roman;Times;serif"/>
          <w:sz w:val="17"/>
        </w:rPr>
      </w:pPr>
      <w:r>
        <w:rPr>
          <w:rFonts w:ascii="Times New Roman;Times;serif" w:hAnsi="Times New Roman;Times;serif"/>
          <w:sz w:val="17"/>
        </w:rPr>
        <w:t xml:space="preserve">1. I have reviewed this quarterly report on Form 10-Q of Calavo Growers, Inc.; </w:t>
      </w:r>
    </w:p>
    <w:tbl>
      <w:tblPr>
        <w:tblW w:w="5000" w:type="pct"/>
        <w:jc w:val="left"/>
        <w:tblInd w:w="0" w:type="dxa"/>
        <w:tblCellMar>
          <w:top w:w="0" w:type="dxa"/>
          <w:left w:w="0" w:type="dxa"/>
          <w:bottom w:w="0" w:type="dxa"/>
          <w:right w:w="0" w:type="dxa"/>
        </w:tblCellMar>
      </w:tblPr>
      <w:tblGrid>
        <w:gridCol w:w="322"/>
        <w:gridCol w:w="9883"/>
      </w:tblGrid>
      <w:tr>
        <w:trPr/>
        <w:tc>
          <w:tcPr>
            <w:tcW w:w="322" w:type="dxa"/>
            <w:tcBorders/>
            <w:shd w:fill="auto" w:val="clear"/>
          </w:tcPr>
          <w:p>
            <w:pPr>
              <w:pStyle w:val="TableContents"/>
              <w:spacing w:before="0" w:after="283"/>
              <w:jc w:val="left"/>
              <w:rPr/>
            </w:pPr>
            <w:r>
              <w:rPr/>
              <w:t>2.  </w:t>
            </w:r>
          </w:p>
        </w:tc>
        <w:tc>
          <w:tcPr>
            <w:tcW w:w="9883"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5000" w:type="pct"/>
        <w:jc w:val="left"/>
        <w:tblInd w:w="0" w:type="dxa"/>
        <w:tblCellMar>
          <w:top w:w="0" w:type="dxa"/>
          <w:left w:w="0" w:type="dxa"/>
          <w:bottom w:w="0" w:type="dxa"/>
          <w:right w:w="0" w:type="dxa"/>
        </w:tblCellMar>
      </w:tblPr>
      <w:tblGrid>
        <w:gridCol w:w="329"/>
        <w:gridCol w:w="9876"/>
      </w:tblGrid>
      <w:tr>
        <w:trPr/>
        <w:tc>
          <w:tcPr>
            <w:tcW w:w="329" w:type="dxa"/>
            <w:tcBorders/>
            <w:shd w:fill="auto" w:val="clear"/>
          </w:tcPr>
          <w:p>
            <w:pPr>
              <w:pStyle w:val="TableContents"/>
              <w:spacing w:before="0" w:after="283"/>
              <w:jc w:val="left"/>
              <w:rPr/>
            </w:pPr>
            <w:r>
              <w:rPr/>
              <w:t>3.  </w:t>
            </w:r>
          </w:p>
        </w:tc>
        <w:tc>
          <w:tcPr>
            <w:tcW w:w="9876"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5000" w:type="pct"/>
        <w:jc w:val="left"/>
        <w:tblInd w:w="0" w:type="dxa"/>
        <w:tblCellMar>
          <w:top w:w="0" w:type="dxa"/>
          <w:left w:w="0" w:type="dxa"/>
          <w:bottom w:w="0" w:type="dxa"/>
          <w:right w:w="0" w:type="dxa"/>
        </w:tblCellMar>
      </w:tblPr>
      <w:tblGrid>
        <w:gridCol w:w="329"/>
        <w:gridCol w:w="9876"/>
      </w:tblGrid>
      <w:tr>
        <w:trPr/>
        <w:tc>
          <w:tcPr>
            <w:tcW w:w="329" w:type="dxa"/>
            <w:tcBorders/>
            <w:shd w:fill="auto" w:val="clear"/>
          </w:tcPr>
          <w:p>
            <w:pPr>
              <w:pStyle w:val="TableContents"/>
              <w:spacing w:before="0" w:after="283"/>
              <w:jc w:val="left"/>
              <w:rPr/>
            </w:pPr>
            <w:r>
              <w:rPr/>
              <w:t>4.  </w:t>
            </w:r>
          </w:p>
        </w:tc>
        <w:tc>
          <w:tcPr>
            <w:tcW w:w="9876"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have:</w:t>
            </w:r>
          </w:p>
        </w:tc>
      </w:tr>
    </w:tbl>
    <w:tbl>
      <w:tblPr>
        <w:tblW w:w="5000" w:type="pct"/>
        <w:jc w:val="left"/>
        <w:tblInd w:w="0" w:type="dxa"/>
        <w:tblCellMar>
          <w:top w:w="0" w:type="dxa"/>
          <w:left w:w="0" w:type="dxa"/>
          <w:bottom w:w="0" w:type="dxa"/>
          <w:right w:w="0" w:type="dxa"/>
        </w:tblCellMar>
      </w:tblPr>
      <w:tblGrid>
        <w:gridCol w:w="310"/>
        <w:gridCol w:w="424"/>
        <w:gridCol w:w="9445"/>
        <w:gridCol w:w="26"/>
      </w:tblGrid>
      <w:tr>
        <w:trPr/>
        <w:tc>
          <w:tcPr>
            <w:tcW w:w="310"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(a)  </w:t>
            </w:r>
          </w:p>
        </w:tc>
        <w:tc>
          <w:tcPr>
            <w:tcW w:w="9445"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310"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(b)  </w:t>
            </w:r>
          </w:p>
        </w:tc>
        <w:tc>
          <w:tcPr>
            <w:tcW w:w="9445"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310"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(c)  </w:t>
            </w:r>
          </w:p>
        </w:tc>
        <w:tc>
          <w:tcPr>
            <w:tcW w:w="9445"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c>
          <w:tcPr>
            <w:tcW w:w="26" w:type="dxa"/>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326"/>
        <w:gridCol w:w="9879"/>
      </w:tblGrid>
      <w:tr>
        <w:trPr/>
        <w:tc>
          <w:tcPr>
            <w:tcW w:w="326" w:type="dxa"/>
            <w:tcBorders/>
            <w:shd w:fill="auto" w:val="clear"/>
          </w:tcPr>
          <w:p>
            <w:pPr>
              <w:pStyle w:val="TableContents"/>
              <w:spacing w:before="0" w:after="283"/>
              <w:jc w:val="left"/>
              <w:rPr/>
            </w:pPr>
            <w:r>
              <w:rPr/>
              <w:t>5.  </w:t>
            </w:r>
          </w:p>
        </w:tc>
        <w:tc>
          <w:tcPr>
            <w:tcW w:w="9879"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5000" w:type="pct"/>
        <w:jc w:val="left"/>
        <w:tblInd w:w="0" w:type="dxa"/>
        <w:tblCellMar>
          <w:top w:w="0" w:type="dxa"/>
          <w:left w:w="0" w:type="dxa"/>
          <w:bottom w:w="0" w:type="dxa"/>
          <w:right w:w="0" w:type="dxa"/>
        </w:tblCellMar>
      </w:tblPr>
      <w:tblGrid>
        <w:gridCol w:w="310"/>
        <w:gridCol w:w="422"/>
        <w:gridCol w:w="9448"/>
        <w:gridCol w:w="25"/>
      </w:tblGrid>
      <w:tr>
        <w:trPr/>
        <w:tc>
          <w:tcPr>
            <w:tcW w:w="310" w:type="dxa"/>
            <w:tcBorders/>
            <w:shd w:fill="auto" w:val="clear"/>
          </w:tcPr>
          <w:p>
            <w:pPr>
              <w:pStyle w:val="TableContents"/>
              <w:spacing w:before="0" w:after="283"/>
              <w:rPr/>
            </w:pPr>
            <w:r>
              <w:rPr/>
              <w:t> </w:t>
            </w:r>
          </w:p>
        </w:tc>
        <w:tc>
          <w:tcPr>
            <w:tcW w:w="422" w:type="dxa"/>
            <w:tcBorders/>
            <w:shd w:fill="auto" w:val="clear"/>
          </w:tcPr>
          <w:p>
            <w:pPr>
              <w:pStyle w:val="TableContents"/>
              <w:spacing w:before="0" w:after="283"/>
              <w:jc w:val="left"/>
              <w:rPr/>
            </w:pPr>
            <w:r>
              <w:rPr/>
              <w:t>(a)  </w:t>
            </w:r>
          </w:p>
        </w:tc>
        <w:tc>
          <w:tcPr>
            <w:tcW w:w="9448"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310" w:type="dxa"/>
            <w:tcBorders/>
            <w:shd w:fill="auto" w:val="clear"/>
          </w:tcPr>
          <w:p>
            <w:pPr>
              <w:pStyle w:val="TableContents"/>
              <w:spacing w:before="0" w:after="283"/>
              <w:rPr/>
            </w:pPr>
            <w:r>
              <w:rPr/>
              <w:t> </w:t>
            </w:r>
          </w:p>
        </w:tc>
        <w:tc>
          <w:tcPr>
            <w:tcW w:w="422" w:type="dxa"/>
            <w:tcBorders/>
            <w:shd w:fill="auto" w:val="clear"/>
          </w:tcPr>
          <w:p>
            <w:pPr>
              <w:pStyle w:val="TableContents"/>
              <w:spacing w:before="0" w:after="283"/>
              <w:jc w:val="left"/>
              <w:rPr/>
            </w:pPr>
            <w:r>
              <w:rPr/>
              <w:t>(b)  </w:t>
            </w:r>
          </w:p>
        </w:tc>
        <w:tc>
          <w:tcPr>
            <w:tcW w:w="9448"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c>
          <w:tcPr>
            <w:tcW w:w="25" w:type="dxa"/>
            <w:tcBorders/>
            <w:shd w:fill="auto" w:val="clear"/>
          </w:tcPr>
          <w:p>
            <w:pPr>
              <w:pStyle w:val="TableContents"/>
              <w:spacing w:before="0" w:after="283"/>
              <w:rPr>
                <w:sz w:val="4"/>
                <w:szCs w:val="4"/>
              </w:rPr>
            </w:pPr>
            <w:r>
              <w:rPr>
                <w:sz w:val="4"/>
                <w:szCs w:val="4"/>
              </w:rPr>
            </w:r>
          </w:p>
        </w:tc>
      </w:tr>
    </w:tbl>
    <w:tbl>
      <w:tblPr>
        <w:tblW w:w="5000" w:type="pct"/>
        <w:jc w:val="center"/>
        <w:tblInd w:w="0" w:type="dxa"/>
        <w:tblCellMar>
          <w:top w:w="0" w:type="dxa"/>
          <w:left w:w="0" w:type="dxa"/>
          <w:bottom w:w="0" w:type="dxa"/>
          <w:right w:w="0" w:type="dxa"/>
        </w:tblCellMar>
      </w:tblPr>
      <w:tblGrid>
        <w:gridCol w:w="4086"/>
        <w:gridCol w:w="201"/>
        <w:gridCol w:w="202"/>
        <w:gridCol w:w="201"/>
        <w:gridCol w:w="3680"/>
        <w:gridCol w:w="201"/>
        <w:gridCol w:w="1634"/>
      </w:tblGrid>
      <w:tr>
        <w:trPr/>
        <w:tc>
          <w:tcPr>
            <w:tcW w:w="408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368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634" w:type="dxa"/>
            <w:tcBorders/>
            <w:shd w:fill="auto" w:val="clear"/>
            <w:vAlign w:val="bottom"/>
          </w:tcPr>
          <w:p>
            <w:pPr>
              <w:pStyle w:val="TableContents"/>
              <w:spacing w:before="0" w:after="283"/>
              <w:rPr/>
            </w:pPr>
            <w:r>
              <w:rPr/>
              <w:t> </w:t>
            </w:r>
          </w:p>
        </w:tc>
      </w:tr>
      <w:tr>
        <w:trPr/>
        <w:tc>
          <w:tcPr>
            <w:tcW w:w="4086" w:type="dxa"/>
            <w:tcBorders/>
            <w:shd w:fill="auto" w:val="clear"/>
          </w:tcPr>
          <w:p>
            <w:pPr>
              <w:pStyle w:val="TableContents"/>
              <w:spacing w:before="0" w:after="0"/>
              <w:ind w:left="0" w:right="0" w:hanging="0"/>
              <w:rPr/>
            </w:pPr>
            <w:r>
              <w:rPr/>
              <w:t xml:space="preserve">Date: March 10, 2005 </w:t>
            </w:r>
          </w:p>
        </w:tc>
        <w:tc>
          <w:tcPr>
            <w:tcW w:w="201" w:type="dxa"/>
            <w:tcBorders/>
            <w:shd w:fill="auto" w:val="clear"/>
            <w:vAlign w:val="bottom"/>
          </w:tcPr>
          <w:p>
            <w:pPr>
              <w:pStyle w:val="TableContents"/>
              <w:spacing w:before="0" w:after="283"/>
              <w:rPr/>
            </w:pPr>
            <w:r>
              <w:rPr/>
              <w:t> </w:t>
            </w:r>
          </w:p>
        </w:tc>
        <w:tc>
          <w:tcPr>
            <w:tcW w:w="202" w:type="dxa"/>
            <w:tcBorders/>
            <w:shd w:fill="auto" w:val="clear"/>
          </w:tcPr>
          <w:p>
            <w:pPr>
              <w:pStyle w:val="TableContents"/>
              <w:spacing w:before="0" w:after="283"/>
              <w:jc w:val="left"/>
              <w:rPr/>
            </w:pPr>
            <w:r>
              <w:rPr/>
              <w:t> </w:t>
            </w:r>
          </w:p>
        </w:tc>
        <w:tc>
          <w:tcPr>
            <w:tcW w:w="201" w:type="dxa"/>
            <w:tcBorders/>
            <w:shd w:fill="auto" w:val="clear"/>
            <w:vAlign w:val="bottom"/>
          </w:tcPr>
          <w:p>
            <w:pPr>
              <w:pStyle w:val="TableContents"/>
              <w:spacing w:before="0" w:after="283"/>
              <w:rPr/>
            </w:pPr>
            <w:r>
              <w:rPr/>
              <w:t> </w:t>
            </w:r>
          </w:p>
        </w:tc>
        <w:tc>
          <w:tcPr>
            <w:tcW w:w="3680" w:type="dxa"/>
            <w:tcBorders/>
            <w:shd w:fill="auto" w:val="clear"/>
          </w:tcPr>
          <w:p>
            <w:pPr>
              <w:pStyle w:val="TableContents"/>
              <w:spacing w:before="0" w:after="283"/>
              <w:jc w:val="left"/>
              <w:rPr/>
            </w:pPr>
            <w:r>
              <w:rPr/>
              <w:t xml:space="preserve">/s/ Lecil E. Cole </w:t>
            </w:r>
          </w:p>
        </w:tc>
        <w:tc>
          <w:tcPr>
            <w:tcW w:w="201" w:type="dxa"/>
            <w:tcBorders/>
            <w:shd w:fill="auto" w:val="clear"/>
            <w:vAlign w:val="bottom"/>
          </w:tcPr>
          <w:p>
            <w:pPr>
              <w:pStyle w:val="TableContents"/>
              <w:spacing w:before="0" w:after="283"/>
              <w:rPr/>
            </w:pPr>
            <w:r>
              <w:rPr/>
              <w:t> </w:t>
            </w:r>
          </w:p>
        </w:tc>
        <w:tc>
          <w:tcPr>
            <w:tcW w:w="1634" w:type="dxa"/>
            <w:tcBorders/>
            <w:shd w:fill="auto" w:val="clear"/>
          </w:tcPr>
          <w:p>
            <w:pPr>
              <w:pStyle w:val="TableContents"/>
              <w:spacing w:before="0" w:after="283"/>
              <w:jc w:val="left"/>
              <w:rPr/>
            </w:pPr>
            <w:r>
              <w:rPr/>
              <w:t> </w:t>
            </w:r>
          </w:p>
        </w:tc>
      </w:tr>
      <w:tr>
        <w:trPr/>
        <w:tc>
          <w:tcPr>
            <w:tcW w:w="4086"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left"/>
              <w:rPr/>
            </w:pPr>
            <w:r>
              <w:rPr/>
              <w:t> </w:t>
            </w:r>
          </w:p>
        </w:tc>
        <w:tc>
          <w:tcPr>
            <w:tcW w:w="201" w:type="dxa"/>
            <w:tcBorders/>
            <w:shd w:fill="auto" w:val="clear"/>
            <w:vAlign w:val="center"/>
          </w:tcPr>
          <w:p>
            <w:pPr>
              <w:pStyle w:val="TableContents"/>
              <w:spacing w:before="0" w:after="283"/>
              <w:rPr/>
            </w:pPr>
            <w:r>
              <w:rPr/>
              <w:t> </w:t>
            </w:r>
          </w:p>
        </w:tc>
        <w:tc>
          <w:tcPr>
            <w:tcW w:w="3680" w:type="dxa"/>
            <w:tcBorders>
              <w:top w:val="single" w:sz="2" w:space="0" w:color="000000"/>
            </w:tcBorders>
            <w:shd w:fill="auto" w:val="clear"/>
            <w:tcMar>
              <w:top w:w="28" w:type="dxa"/>
            </w:tcMar>
          </w:tcPr>
          <w:p>
            <w:pPr>
              <w:pStyle w:val="TableContents"/>
              <w:spacing w:before="0" w:after="283"/>
              <w:jc w:val="left"/>
              <w:rPr/>
            </w:pPr>
            <w:r>
              <w:rPr/>
              <w:t> </w:t>
            </w:r>
          </w:p>
        </w:tc>
        <w:tc>
          <w:tcPr>
            <w:tcW w:w="201" w:type="dxa"/>
            <w:tcBorders/>
            <w:shd w:fill="auto" w:val="clear"/>
            <w:vAlign w:val="center"/>
          </w:tcPr>
          <w:p>
            <w:pPr>
              <w:pStyle w:val="TableContents"/>
              <w:spacing w:before="0" w:after="283"/>
              <w:rPr/>
            </w:pPr>
            <w:r>
              <w:rPr/>
              <w:t> </w:t>
            </w:r>
          </w:p>
        </w:tc>
        <w:tc>
          <w:tcPr>
            <w:tcW w:w="1634" w:type="dxa"/>
            <w:tcBorders/>
            <w:shd w:fill="auto" w:val="clear"/>
          </w:tcPr>
          <w:p>
            <w:pPr>
              <w:pStyle w:val="TableContents"/>
              <w:spacing w:before="0" w:after="283"/>
              <w:jc w:val="left"/>
              <w:rPr/>
            </w:pPr>
            <w:r>
              <w:rPr/>
              <w:t> </w:t>
            </w:r>
          </w:p>
        </w:tc>
      </w:tr>
      <w:tr>
        <w:trPr/>
        <w:tc>
          <w:tcPr>
            <w:tcW w:w="4086"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202" w:type="dxa"/>
            <w:tcBorders/>
            <w:shd w:fill="auto" w:val="clear"/>
          </w:tcPr>
          <w:p>
            <w:pPr>
              <w:pStyle w:val="TableContents"/>
              <w:spacing w:before="0" w:after="283"/>
              <w:jc w:val="left"/>
              <w:rPr/>
            </w:pPr>
            <w:r>
              <w:rPr/>
              <w:t> </w:t>
            </w:r>
          </w:p>
        </w:tc>
        <w:tc>
          <w:tcPr>
            <w:tcW w:w="201" w:type="dxa"/>
            <w:tcBorders/>
            <w:shd w:fill="auto" w:val="clear"/>
            <w:vAlign w:val="bottom"/>
          </w:tcPr>
          <w:p>
            <w:pPr>
              <w:pStyle w:val="TableContents"/>
              <w:spacing w:before="0" w:after="283"/>
              <w:rPr/>
            </w:pPr>
            <w:r>
              <w:rPr/>
              <w:t> </w:t>
            </w:r>
          </w:p>
        </w:tc>
        <w:tc>
          <w:tcPr>
            <w:tcW w:w="3680" w:type="dxa"/>
            <w:tcBorders/>
            <w:shd w:fill="auto" w:val="clear"/>
          </w:tcPr>
          <w:p>
            <w:pPr>
              <w:pStyle w:val="TableContents"/>
              <w:spacing w:before="0" w:after="283"/>
              <w:jc w:val="left"/>
              <w:rPr/>
            </w:pPr>
            <w:r>
              <w:rPr/>
              <w:t>Lecil E. Cole</w:t>
            </w:r>
          </w:p>
        </w:tc>
        <w:tc>
          <w:tcPr>
            <w:tcW w:w="201" w:type="dxa"/>
            <w:tcBorders/>
            <w:shd w:fill="auto" w:val="clear"/>
            <w:vAlign w:val="bottom"/>
          </w:tcPr>
          <w:p>
            <w:pPr>
              <w:pStyle w:val="TableContents"/>
              <w:spacing w:before="0" w:after="283"/>
              <w:rPr/>
            </w:pPr>
            <w:r>
              <w:rPr/>
              <w:t> </w:t>
            </w:r>
          </w:p>
        </w:tc>
        <w:tc>
          <w:tcPr>
            <w:tcW w:w="1634" w:type="dxa"/>
            <w:tcBorders/>
            <w:shd w:fill="auto" w:val="clear"/>
          </w:tcPr>
          <w:p>
            <w:pPr>
              <w:pStyle w:val="TableContents"/>
              <w:spacing w:before="0" w:after="283"/>
              <w:jc w:val="left"/>
              <w:rPr/>
            </w:pPr>
            <w:r>
              <w:rPr/>
              <w:t> </w:t>
            </w:r>
          </w:p>
        </w:tc>
      </w:tr>
      <w:tr>
        <w:trPr/>
        <w:tc>
          <w:tcPr>
            <w:tcW w:w="4086"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202" w:type="dxa"/>
            <w:tcBorders/>
            <w:shd w:fill="auto" w:val="clear"/>
          </w:tcPr>
          <w:p>
            <w:pPr>
              <w:pStyle w:val="TableContents"/>
              <w:spacing w:before="0" w:after="283"/>
              <w:jc w:val="left"/>
              <w:rPr/>
            </w:pPr>
            <w:r>
              <w:rPr/>
              <w:t> </w:t>
            </w:r>
          </w:p>
        </w:tc>
        <w:tc>
          <w:tcPr>
            <w:tcW w:w="201" w:type="dxa"/>
            <w:tcBorders/>
            <w:shd w:fill="auto" w:val="clear"/>
            <w:vAlign w:val="bottom"/>
          </w:tcPr>
          <w:p>
            <w:pPr>
              <w:pStyle w:val="TableContents"/>
              <w:spacing w:before="0" w:after="283"/>
              <w:rPr/>
            </w:pPr>
            <w:r>
              <w:rPr/>
              <w:t> </w:t>
            </w:r>
          </w:p>
        </w:tc>
        <w:tc>
          <w:tcPr>
            <w:tcW w:w="3680" w:type="dxa"/>
            <w:tcBorders/>
            <w:shd w:fill="auto" w:val="clear"/>
          </w:tcPr>
          <w:p>
            <w:pPr>
              <w:pStyle w:val="TableContents"/>
              <w:spacing w:before="0" w:after="283"/>
              <w:jc w:val="left"/>
              <w:rPr/>
            </w:pPr>
            <w:r>
              <w:rPr/>
              <w:t>Chairman of the Board of Directors,</w:t>
            </w:r>
          </w:p>
        </w:tc>
        <w:tc>
          <w:tcPr>
            <w:tcW w:w="201" w:type="dxa"/>
            <w:tcBorders/>
            <w:shd w:fill="auto" w:val="clear"/>
            <w:vAlign w:val="bottom"/>
          </w:tcPr>
          <w:p>
            <w:pPr>
              <w:pStyle w:val="TableContents"/>
              <w:spacing w:before="0" w:after="283"/>
              <w:rPr/>
            </w:pPr>
            <w:r>
              <w:rPr/>
              <w:t> </w:t>
            </w:r>
          </w:p>
        </w:tc>
        <w:tc>
          <w:tcPr>
            <w:tcW w:w="1634" w:type="dxa"/>
            <w:tcBorders/>
            <w:shd w:fill="auto" w:val="clear"/>
          </w:tcPr>
          <w:p>
            <w:pPr>
              <w:pStyle w:val="TableContents"/>
              <w:spacing w:before="0" w:after="283"/>
              <w:jc w:val="left"/>
              <w:rPr/>
            </w:pPr>
            <w:r>
              <w:rPr/>
              <w:t> </w:t>
            </w:r>
          </w:p>
        </w:tc>
      </w:tr>
      <w:tr>
        <w:trPr/>
        <w:tc>
          <w:tcPr>
            <w:tcW w:w="4086"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202" w:type="dxa"/>
            <w:tcBorders/>
            <w:shd w:fill="auto" w:val="clear"/>
          </w:tcPr>
          <w:p>
            <w:pPr>
              <w:pStyle w:val="TableContents"/>
              <w:spacing w:before="0" w:after="283"/>
              <w:jc w:val="left"/>
              <w:rPr/>
            </w:pPr>
            <w:r>
              <w:rPr/>
              <w:t> </w:t>
            </w:r>
          </w:p>
        </w:tc>
        <w:tc>
          <w:tcPr>
            <w:tcW w:w="201" w:type="dxa"/>
            <w:tcBorders/>
            <w:shd w:fill="auto" w:val="clear"/>
            <w:vAlign w:val="bottom"/>
          </w:tcPr>
          <w:p>
            <w:pPr>
              <w:pStyle w:val="TableContents"/>
              <w:spacing w:before="0" w:after="283"/>
              <w:rPr/>
            </w:pPr>
            <w:r>
              <w:rPr/>
              <w:t> </w:t>
            </w:r>
          </w:p>
        </w:tc>
        <w:tc>
          <w:tcPr>
            <w:tcW w:w="3680" w:type="dxa"/>
            <w:tcBorders/>
            <w:shd w:fill="auto" w:val="clear"/>
          </w:tcPr>
          <w:p>
            <w:pPr>
              <w:pStyle w:val="TableContents"/>
              <w:spacing w:before="0" w:after="283"/>
              <w:jc w:val="left"/>
              <w:rPr/>
            </w:pPr>
            <w:r>
              <w:rPr/>
              <w:t>President and Chief Executive Officer</w:t>
            </w:r>
          </w:p>
        </w:tc>
        <w:tc>
          <w:tcPr>
            <w:tcW w:w="201" w:type="dxa"/>
            <w:tcBorders/>
            <w:shd w:fill="auto" w:val="clear"/>
            <w:vAlign w:val="bottom"/>
          </w:tcPr>
          <w:p>
            <w:pPr>
              <w:pStyle w:val="TableContents"/>
              <w:spacing w:before="0" w:after="283"/>
              <w:rPr/>
            </w:pPr>
            <w:r>
              <w:rPr/>
              <w:t> </w:t>
            </w:r>
          </w:p>
        </w:tc>
        <w:tc>
          <w:tcPr>
            <w:tcW w:w="1634"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24 </w:t>
      </w:r>
      <w:r>
        <w:br w:type="page"/>
      </w:r>
    </w:p>
    <w:p>
      <w:pPr>
        <w:pStyle w:val="Heading5"/>
        <w:jc w:val="left"/>
        <w:rPr/>
      </w:pPr>
      <w:bookmarkStart w:id="18" w:name="v06772exv31w2.htm"/>
      <w:bookmarkStart w:id="19" w:name="ksv06772exv31w2"/>
      <w:bookmarkEnd w:id="18"/>
      <w:bookmarkEnd w:id="19"/>
      <w:r>
        <w:rPr/>
        <w:t> </w:t>
      </w:r>
    </w:p>
    <w:p>
      <w:pPr>
        <w:pStyle w:val="TextBody"/>
        <w:jc w:val="right"/>
        <w:rPr>
          <w:rFonts w:ascii="Times New Roman;Times;serif" w:hAnsi="Times New Roman;Times;serif"/>
          <w:sz w:val="17"/>
        </w:rPr>
      </w:pPr>
      <w:r>
        <w:rPr>
          <w:rFonts w:ascii="Times New Roman;Times;serif" w:hAnsi="Times New Roman;Times;serif"/>
          <w:sz w:val="17"/>
        </w:rPr>
        <w:t xml:space="preserve">Exhibit 31.2 </w:t>
      </w:r>
    </w:p>
    <w:p>
      <w:pPr>
        <w:pStyle w:val="TextBody"/>
        <w:jc w:val="center"/>
        <w:rPr>
          <w:rFonts w:ascii="Times New Roman;Times;serif" w:hAnsi="Times New Roman;Times;serif"/>
          <w:sz w:val="17"/>
        </w:rPr>
      </w:pPr>
      <w:r>
        <w:rPr>
          <w:rFonts w:ascii="Times New Roman;Times;serif" w:hAnsi="Times New Roman;Times;serif"/>
          <w:sz w:val="17"/>
        </w:rPr>
        <w:t>CERTIFICATION PURSUANT TO</w:t>
        <w:br/>
        <w:t>15 U.S.C. § 7241</w:t>
        <w:br/>
        <w:t>AS ADOPTED PURSUANT TO</w:t>
        <w:br/>
        <w:t xml:space="preserve">SECTION 302 OF THE SARBANES-OXLEY ACT OF 2002 </w:t>
      </w:r>
    </w:p>
    <w:p>
      <w:pPr>
        <w:pStyle w:val="TextBody"/>
        <w:jc w:val="left"/>
        <w:rPr>
          <w:rFonts w:ascii="Times New Roman;Times;serif" w:hAnsi="Times New Roman;Times;serif"/>
          <w:sz w:val="17"/>
        </w:rPr>
      </w:pPr>
      <w:r>
        <w:rPr>
          <w:rFonts w:ascii="Times New Roman;Times;serif" w:hAnsi="Times New Roman;Times;serif"/>
          <w:sz w:val="17"/>
        </w:rPr>
        <w:t xml:space="preserve">I, Arthur J. Bruno, certify that: </w:t>
      </w:r>
    </w:p>
    <w:tbl>
      <w:tblPr>
        <w:tblW w:w="5000" w:type="pct"/>
        <w:jc w:val="left"/>
        <w:tblInd w:w="0" w:type="dxa"/>
        <w:tblCellMar>
          <w:top w:w="0" w:type="dxa"/>
          <w:left w:w="0" w:type="dxa"/>
          <w:bottom w:w="0" w:type="dxa"/>
          <w:right w:w="0" w:type="dxa"/>
        </w:tblCellMar>
      </w:tblPr>
      <w:tblGrid>
        <w:gridCol w:w="338"/>
        <w:gridCol w:w="9867"/>
      </w:tblGrid>
      <w:tr>
        <w:trPr/>
        <w:tc>
          <w:tcPr>
            <w:tcW w:w="338" w:type="dxa"/>
            <w:tcBorders/>
            <w:shd w:fill="auto" w:val="clear"/>
          </w:tcPr>
          <w:p>
            <w:pPr>
              <w:pStyle w:val="TableContents"/>
              <w:spacing w:before="0" w:after="283"/>
              <w:jc w:val="left"/>
              <w:rPr/>
            </w:pPr>
            <w:r>
              <w:rPr/>
              <w:t>1.  </w:t>
            </w:r>
          </w:p>
        </w:tc>
        <w:tc>
          <w:tcPr>
            <w:tcW w:w="9867" w:type="dxa"/>
            <w:tcBorders/>
            <w:shd w:fill="auto" w:val="clear"/>
          </w:tcPr>
          <w:p>
            <w:pPr>
              <w:pStyle w:val="TableContents"/>
              <w:spacing w:before="0" w:after="283"/>
              <w:rPr/>
            </w:pPr>
            <w:r>
              <w:rPr/>
              <w:t>I have reviewed this quarterly report on Form 10-Q of Calavo Growers, Inc.;</w:t>
            </w:r>
          </w:p>
        </w:tc>
      </w:tr>
    </w:tbl>
    <w:tbl>
      <w:tblPr>
        <w:tblW w:w="5000" w:type="pct"/>
        <w:jc w:val="left"/>
        <w:tblInd w:w="0" w:type="dxa"/>
        <w:tblCellMar>
          <w:top w:w="0" w:type="dxa"/>
          <w:left w:w="0" w:type="dxa"/>
          <w:bottom w:w="0" w:type="dxa"/>
          <w:right w:w="0" w:type="dxa"/>
        </w:tblCellMar>
      </w:tblPr>
      <w:tblGrid>
        <w:gridCol w:w="322"/>
        <w:gridCol w:w="9883"/>
      </w:tblGrid>
      <w:tr>
        <w:trPr/>
        <w:tc>
          <w:tcPr>
            <w:tcW w:w="322" w:type="dxa"/>
            <w:tcBorders/>
            <w:shd w:fill="auto" w:val="clear"/>
          </w:tcPr>
          <w:p>
            <w:pPr>
              <w:pStyle w:val="TableContents"/>
              <w:spacing w:before="0" w:after="283"/>
              <w:jc w:val="left"/>
              <w:rPr/>
            </w:pPr>
            <w:r>
              <w:rPr/>
              <w:t>2.  </w:t>
            </w:r>
          </w:p>
        </w:tc>
        <w:tc>
          <w:tcPr>
            <w:tcW w:w="9883"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5000" w:type="pct"/>
        <w:jc w:val="left"/>
        <w:tblInd w:w="0" w:type="dxa"/>
        <w:tblCellMar>
          <w:top w:w="0" w:type="dxa"/>
          <w:left w:w="0" w:type="dxa"/>
          <w:bottom w:w="0" w:type="dxa"/>
          <w:right w:w="0" w:type="dxa"/>
        </w:tblCellMar>
      </w:tblPr>
      <w:tblGrid>
        <w:gridCol w:w="329"/>
        <w:gridCol w:w="9876"/>
      </w:tblGrid>
      <w:tr>
        <w:trPr/>
        <w:tc>
          <w:tcPr>
            <w:tcW w:w="329" w:type="dxa"/>
            <w:tcBorders/>
            <w:shd w:fill="auto" w:val="clear"/>
          </w:tcPr>
          <w:p>
            <w:pPr>
              <w:pStyle w:val="TableContents"/>
              <w:spacing w:before="0" w:after="283"/>
              <w:jc w:val="left"/>
              <w:rPr/>
            </w:pPr>
            <w:r>
              <w:rPr/>
              <w:t>3.  </w:t>
            </w:r>
          </w:p>
        </w:tc>
        <w:tc>
          <w:tcPr>
            <w:tcW w:w="9876"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5000" w:type="pct"/>
        <w:jc w:val="left"/>
        <w:tblInd w:w="0" w:type="dxa"/>
        <w:tblCellMar>
          <w:top w:w="0" w:type="dxa"/>
          <w:left w:w="0" w:type="dxa"/>
          <w:bottom w:w="0" w:type="dxa"/>
          <w:right w:w="0" w:type="dxa"/>
        </w:tblCellMar>
      </w:tblPr>
      <w:tblGrid>
        <w:gridCol w:w="329"/>
        <w:gridCol w:w="9876"/>
      </w:tblGrid>
      <w:tr>
        <w:trPr/>
        <w:tc>
          <w:tcPr>
            <w:tcW w:w="329" w:type="dxa"/>
            <w:tcBorders/>
            <w:shd w:fill="auto" w:val="clear"/>
          </w:tcPr>
          <w:p>
            <w:pPr>
              <w:pStyle w:val="TableContents"/>
              <w:spacing w:before="0" w:after="283"/>
              <w:jc w:val="left"/>
              <w:rPr/>
            </w:pPr>
            <w:r>
              <w:rPr/>
              <w:t>4.  </w:t>
            </w:r>
          </w:p>
        </w:tc>
        <w:tc>
          <w:tcPr>
            <w:tcW w:w="9876"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have:</w:t>
            </w:r>
          </w:p>
        </w:tc>
      </w:tr>
    </w:tbl>
    <w:tbl>
      <w:tblPr>
        <w:tblW w:w="5000" w:type="pct"/>
        <w:jc w:val="left"/>
        <w:tblInd w:w="0" w:type="dxa"/>
        <w:tblCellMar>
          <w:top w:w="0" w:type="dxa"/>
          <w:left w:w="0" w:type="dxa"/>
          <w:bottom w:w="0" w:type="dxa"/>
          <w:right w:w="0" w:type="dxa"/>
        </w:tblCellMar>
      </w:tblPr>
      <w:tblGrid>
        <w:gridCol w:w="310"/>
        <w:gridCol w:w="424"/>
        <w:gridCol w:w="9445"/>
        <w:gridCol w:w="26"/>
      </w:tblGrid>
      <w:tr>
        <w:trPr/>
        <w:tc>
          <w:tcPr>
            <w:tcW w:w="310"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(a)  </w:t>
            </w:r>
          </w:p>
        </w:tc>
        <w:tc>
          <w:tcPr>
            <w:tcW w:w="9445"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310"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(b)  </w:t>
            </w:r>
          </w:p>
        </w:tc>
        <w:tc>
          <w:tcPr>
            <w:tcW w:w="9445"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310"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(c)  </w:t>
            </w:r>
          </w:p>
        </w:tc>
        <w:tc>
          <w:tcPr>
            <w:tcW w:w="9445"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c>
          <w:tcPr>
            <w:tcW w:w="26" w:type="dxa"/>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326"/>
        <w:gridCol w:w="9879"/>
      </w:tblGrid>
      <w:tr>
        <w:trPr/>
        <w:tc>
          <w:tcPr>
            <w:tcW w:w="326" w:type="dxa"/>
            <w:tcBorders/>
            <w:shd w:fill="auto" w:val="clear"/>
          </w:tcPr>
          <w:p>
            <w:pPr>
              <w:pStyle w:val="TableContents"/>
              <w:spacing w:before="0" w:after="283"/>
              <w:jc w:val="left"/>
              <w:rPr/>
            </w:pPr>
            <w:r>
              <w:rPr/>
              <w:t>5.  </w:t>
            </w:r>
          </w:p>
        </w:tc>
        <w:tc>
          <w:tcPr>
            <w:tcW w:w="9879"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5000" w:type="pct"/>
        <w:jc w:val="left"/>
        <w:tblInd w:w="0" w:type="dxa"/>
        <w:tblCellMar>
          <w:top w:w="0" w:type="dxa"/>
          <w:left w:w="0" w:type="dxa"/>
          <w:bottom w:w="0" w:type="dxa"/>
          <w:right w:w="0" w:type="dxa"/>
        </w:tblCellMar>
      </w:tblPr>
      <w:tblGrid>
        <w:gridCol w:w="310"/>
        <w:gridCol w:w="422"/>
        <w:gridCol w:w="9448"/>
        <w:gridCol w:w="25"/>
      </w:tblGrid>
      <w:tr>
        <w:trPr/>
        <w:tc>
          <w:tcPr>
            <w:tcW w:w="310" w:type="dxa"/>
            <w:tcBorders/>
            <w:shd w:fill="auto" w:val="clear"/>
          </w:tcPr>
          <w:p>
            <w:pPr>
              <w:pStyle w:val="TableContents"/>
              <w:spacing w:before="0" w:after="283"/>
              <w:rPr/>
            </w:pPr>
            <w:r>
              <w:rPr/>
              <w:t> </w:t>
            </w:r>
          </w:p>
        </w:tc>
        <w:tc>
          <w:tcPr>
            <w:tcW w:w="422" w:type="dxa"/>
            <w:tcBorders/>
            <w:shd w:fill="auto" w:val="clear"/>
          </w:tcPr>
          <w:p>
            <w:pPr>
              <w:pStyle w:val="TableContents"/>
              <w:spacing w:before="0" w:after="283"/>
              <w:jc w:val="left"/>
              <w:rPr/>
            </w:pPr>
            <w:r>
              <w:rPr/>
              <w:t>(a)  </w:t>
            </w:r>
          </w:p>
        </w:tc>
        <w:tc>
          <w:tcPr>
            <w:tcW w:w="9448"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310" w:type="dxa"/>
            <w:tcBorders/>
            <w:shd w:fill="auto" w:val="clear"/>
          </w:tcPr>
          <w:p>
            <w:pPr>
              <w:pStyle w:val="TableContents"/>
              <w:spacing w:before="0" w:after="283"/>
              <w:rPr/>
            </w:pPr>
            <w:r>
              <w:rPr/>
              <w:t> </w:t>
            </w:r>
          </w:p>
        </w:tc>
        <w:tc>
          <w:tcPr>
            <w:tcW w:w="422" w:type="dxa"/>
            <w:tcBorders/>
            <w:shd w:fill="auto" w:val="clear"/>
          </w:tcPr>
          <w:p>
            <w:pPr>
              <w:pStyle w:val="TableContents"/>
              <w:spacing w:before="0" w:after="283"/>
              <w:jc w:val="left"/>
              <w:rPr/>
            </w:pPr>
            <w:r>
              <w:rPr/>
              <w:t>(b)  </w:t>
            </w:r>
          </w:p>
        </w:tc>
        <w:tc>
          <w:tcPr>
            <w:tcW w:w="9448"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c>
          <w:tcPr>
            <w:tcW w:w="25" w:type="dxa"/>
            <w:tcBorders/>
            <w:shd w:fill="auto" w:val="clear"/>
          </w:tcPr>
          <w:p>
            <w:pPr>
              <w:pStyle w:val="TableContents"/>
              <w:spacing w:before="0" w:after="283"/>
              <w:rPr>
                <w:sz w:val="4"/>
                <w:szCs w:val="4"/>
              </w:rPr>
            </w:pPr>
            <w:r>
              <w:rPr>
                <w:sz w:val="4"/>
                <w:szCs w:val="4"/>
              </w:rPr>
            </w:r>
          </w:p>
        </w:tc>
      </w:tr>
    </w:tbl>
    <w:tbl>
      <w:tblPr>
        <w:tblW w:w="5000" w:type="pct"/>
        <w:jc w:val="center"/>
        <w:tblInd w:w="0" w:type="dxa"/>
        <w:tblCellMar>
          <w:top w:w="0" w:type="dxa"/>
          <w:left w:w="0" w:type="dxa"/>
          <w:bottom w:w="0" w:type="dxa"/>
          <w:right w:w="0" w:type="dxa"/>
        </w:tblCellMar>
      </w:tblPr>
      <w:tblGrid>
        <w:gridCol w:w="4086"/>
        <w:gridCol w:w="201"/>
        <w:gridCol w:w="202"/>
        <w:gridCol w:w="201"/>
        <w:gridCol w:w="3680"/>
        <w:gridCol w:w="201"/>
        <w:gridCol w:w="1634"/>
      </w:tblGrid>
      <w:tr>
        <w:trPr/>
        <w:tc>
          <w:tcPr>
            <w:tcW w:w="408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368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634" w:type="dxa"/>
            <w:tcBorders/>
            <w:shd w:fill="auto" w:val="clear"/>
            <w:vAlign w:val="bottom"/>
          </w:tcPr>
          <w:p>
            <w:pPr>
              <w:pStyle w:val="TableContents"/>
              <w:spacing w:before="0" w:after="283"/>
              <w:rPr/>
            </w:pPr>
            <w:r>
              <w:rPr/>
              <w:t> </w:t>
            </w:r>
          </w:p>
        </w:tc>
      </w:tr>
      <w:tr>
        <w:trPr/>
        <w:tc>
          <w:tcPr>
            <w:tcW w:w="4086" w:type="dxa"/>
            <w:tcBorders/>
            <w:shd w:fill="auto" w:val="clear"/>
          </w:tcPr>
          <w:p>
            <w:pPr>
              <w:pStyle w:val="TableContents"/>
              <w:spacing w:before="0" w:after="0"/>
              <w:ind w:left="0" w:right="0" w:hanging="0"/>
              <w:rPr/>
            </w:pPr>
            <w:r>
              <w:rPr/>
              <w:t xml:space="preserve">Date: March 10, 2005 </w:t>
            </w:r>
          </w:p>
        </w:tc>
        <w:tc>
          <w:tcPr>
            <w:tcW w:w="201" w:type="dxa"/>
            <w:tcBorders/>
            <w:shd w:fill="auto" w:val="clear"/>
            <w:vAlign w:val="bottom"/>
          </w:tcPr>
          <w:p>
            <w:pPr>
              <w:pStyle w:val="TableContents"/>
              <w:spacing w:before="0" w:after="283"/>
              <w:rPr/>
            </w:pPr>
            <w:r>
              <w:rPr/>
              <w:t> </w:t>
            </w:r>
          </w:p>
        </w:tc>
        <w:tc>
          <w:tcPr>
            <w:tcW w:w="202" w:type="dxa"/>
            <w:tcBorders/>
            <w:shd w:fill="auto" w:val="clear"/>
          </w:tcPr>
          <w:p>
            <w:pPr>
              <w:pStyle w:val="TableContents"/>
              <w:spacing w:before="0" w:after="283"/>
              <w:jc w:val="left"/>
              <w:rPr/>
            </w:pPr>
            <w:r>
              <w:rPr/>
              <w:t> </w:t>
            </w:r>
          </w:p>
        </w:tc>
        <w:tc>
          <w:tcPr>
            <w:tcW w:w="201" w:type="dxa"/>
            <w:tcBorders/>
            <w:shd w:fill="auto" w:val="clear"/>
            <w:vAlign w:val="bottom"/>
          </w:tcPr>
          <w:p>
            <w:pPr>
              <w:pStyle w:val="TableContents"/>
              <w:spacing w:before="0" w:after="283"/>
              <w:rPr/>
            </w:pPr>
            <w:r>
              <w:rPr/>
              <w:t> </w:t>
            </w:r>
          </w:p>
        </w:tc>
        <w:tc>
          <w:tcPr>
            <w:tcW w:w="3680" w:type="dxa"/>
            <w:tcBorders/>
            <w:shd w:fill="auto" w:val="clear"/>
          </w:tcPr>
          <w:p>
            <w:pPr>
              <w:pStyle w:val="TableContents"/>
              <w:spacing w:before="0" w:after="283"/>
              <w:jc w:val="left"/>
              <w:rPr/>
            </w:pPr>
            <w:r>
              <w:rPr/>
              <w:t xml:space="preserve">/s/ Arthur J. Bruno </w:t>
            </w:r>
          </w:p>
        </w:tc>
        <w:tc>
          <w:tcPr>
            <w:tcW w:w="201" w:type="dxa"/>
            <w:tcBorders/>
            <w:shd w:fill="auto" w:val="clear"/>
            <w:vAlign w:val="bottom"/>
          </w:tcPr>
          <w:p>
            <w:pPr>
              <w:pStyle w:val="TableContents"/>
              <w:spacing w:before="0" w:after="283"/>
              <w:rPr/>
            </w:pPr>
            <w:r>
              <w:rPr/>
              <w:t> </w:t>
            </w:r>
          </w:p>
        </w:tc>
        <w:tc>
          <w:tcPr>
            <w:tcW w:w="1634" w:type="dxa"/>
            <w:tcBorders/>
            <w:shd w:fill="auto" w:val="clear"/>
          </w:tcPr>
          <w:p>
            <w:pPr>
              <w:pStyle w:val="TableContents"/>
              <w:spacing w:before="0" w:after="283"/>
              <w:jc w:val="left"/>
              <w:rPr/>
            </w:pPr>
            <w:r>
              <w:rPr/>
              <w:t> </w:t>
            </w:r>
          </w:p>
        </w:tc>
      </w:tr>
      <w:tr>
        <w:trPr/>
        <w:tc>
          <w:tcPr>
            <w:tcW w:w="4086"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left"/>
              <w:rPr/>
            </w:pPr>
            <w:r>
              <w:rPr/>
              <w:t> </w:t>
            </w:r>
          </w:p>
        </w:tc>
        <w:tc>
          <w:tcPr>
            <w:tcW w:w="201" w:type="dxa"/>
            <w:tcBorders/>
            <w:shd w:fill="auto" w:val="clear"/>
            <w:vAlign w:val="center"/>
          </w:tcPr>
          <w:p>
            <w:pPr>
              <w:pStyle w:val="TableContents"/>
              <w:spacing w:before="0" w:after="283"/>
              <w:rPr/>
            </w:pPr>
            <w:r>
              <w:rPr/>
              <w:t> </w:t>
            </w:r>
          </w:p>
        </w:tc>
        <w:tc>
          <w:tcPr>
            <w:tcW w:w="3680" w:type="dxa"/>
            <w:tcBorders>
              <w:top w:val="single" w:sz="2" w:space="0" w:color="000000"/>
            </w:tcBorders>
            <w:shd w:fill="auto" w:val="clear"/>
            <w:tcMar>
              <w:top w:w="28" w:type="dxa"/>
            </w:tcMar>
          </w:tcPr>
          <w:p>
            <w:pPr>
              <w:pStyle w:val="TableContents"/>
              <w:spacing w:before="0" w:after="283"/>
              <w:jc w:val="left"/>
              <w:rPr/>
            </w:pPr>
            <w:r>
              <w:rPr/>
              <w:t> </w:t>
            </w:r>
          </w:p>
        </w:tc>
        <w:tc>
          <w:tcPr>
            <w:tcW w:w="201" w:type="dxa"/>
            <w:tcBorders/>
            <w:shd w:fill="auto" w:val="clear"/>
            <w:vAlign w:val="center"/>
          </w:tcPr>
          <w:p>
            <w:pPr>
              <w:pStyle w:val="TableContents"/>
              <w:spacing w:before="0" w:after="283"/>
              <w:rPr/>
            </w:pPr>
            <w:r>
              <w:rPr/>
              <w:t> </w:t>
            </w:r>
          </w:p>
        </w:tc>
        <w:tc>
          <w:tcPr>
            <w:tcW w:w="1634" w:type="dxa"/>
            <w:tcBorders/>
            <w:shd w:fill="auto" w:val="clear"/>
          </w:tcPr>
          <w:p>
            <w:pPr>
              <w:pStyle w:val="TableContents"/>
              <w:spacing w:before="0" w:after="283"/>
              <w:jc w:val="left"/>
              <w:rPr/>
            </w:pPr>
            <w:r>
              <w:rPr/>
              <w:t> </w:t>
            </w:r>
          </w:p>
        </w:tc>
      </w:tr>
      <w:tr>
        <w:trPr/>
        <w:tc>
          <w:tcPr>
            <w:tcW w:w="4086"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202" w:type="dxa"/>
            <w:tcBorders/>
            <w:shd w:fill="auto" w:val="clear"/>
          </w:tcPr>
          <w:p>
            <w:pPr>
              <w:pStyle w:val="TableContents"/>
              <w:spacing w:before="0" w:after="283"/>
              <w:jc w:val="left"/>
              <w:rPr/>
            </w:pPr>
            <w:r>
              <w:rPr/>
              <w:t> </w:t>
            </w:r>
          </w:p>
        </w:tc>
        <w:tc>
          <w:tcPr>
            <w:tcW w:w="201" w:type="dxa"/>
            <w:tcBorders/>
            <w:shd w:fill="auto" w:val="clear"/>
            <w:vAlign w:val="bottom"/>
          </w:tcPr>
          <w:p>
            <w:pPr>
              <w:pStyle w:val="TableContents"/>
              <w:spacing w:before="0" w:after="283"/>
              <w:rPr/>
            </w:pPr>
            <w:r>
              <w:rPr/>
              <w:t> </w:t>
            </w:r>
          </w:p>
        </w:tc>
        <w:tc>
          <w:tcPr>
            <w:tcW w:w="3680" w:type="dxa"/>
            <w:tcBorders/>
            <w:shd w:fill="auto" w:val="clear"/>
          </w:tcPr>
          <w:p>
            <w:pPr>
              <w:pStyle w:val="TableContents"/>
              <w:spacing w:before="0" w:after="283"/>
              <w:jc w:val="left"/>
              <w:rPr/>
            </w:pPr>
            <w:r>
              <w:rPr/>
              <w:t>Arthur J. Bruno</w:t>
            </w:r>
          </w:p>
        </w:tc>
        <w:tc>
          <w:tcPr>
            <w:tcW w:w="201" w:type="dxa"/>
            <w:tcBorders/>
            <w:shd w:fill="auto" w:val="clear"/>
            <w:vAlign w:val="bottom"/>
          </w:tcPr>
          <w:p>
            <w:pPr>
              <w:pStyle w:val="TableContents"/>
              <w:spacing w:before="0" w:after="283"/>
              <w:rPr/>
            </w:pPr>
            <w:r>
              <w:rPr/>
              <w:t> </w:t>
            </w:r>
          </w:p>
        </w:tc>
        <w:tc>
          <w:tcPr>
            <w:tcW w:w="1634" w:type="dxa"/>
            <w:tcBorders/>
            <w:shd w:fill="auto" w:val="clear"/>
          </w:tcPr>
          <w:p>
            <w:pPr>
              <w:pStyle w:val="TableContents"/>
              <w:spacing w:before="0" w:after="283"/>
              <w:jc w:val="left"/>
              <w:rPr/>
            </w:pPr>
            <w:r>
              <w:rPr/>
              <w:t> </w:t>
            </w:r>
          </w:p>
        </w:tc>
      </w:tr>
      <w:tr>
        <w:trPr/>
        <w:tc>
          <w:tcPr>
            <w:tcW w:w="4086"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202" w:type="dxa"/>
            <w:tcBorders/>
            <w:shd w:fill="auto" w:val="clear"/>
          </w:tcPr>
          <w:p>
            <w:pPr>
              <w:pStyle w:val="TableContents"/>
              <w:spacing w:before="0" w:after="283"/>
              <w:jc w:val="left"/>
              <w:rPr/>
            </w:pPr>
            <w:r>
              <w:rPr/>
              <w:t> </w:t>
            </w:r>
          </w:p>
        </w:tc>
        <w:tc>
          <w:tcPr>
            <w:tcW w:w="201" w:type="dxa"/>
            <w:tcBorders/>
            <w:shd w:fill="auto" w:val="clear"/>
            <w:vAlign w:val="bottom"/>
          </w:tcPr>
          <w:p>
            <w:pPr>
              <w:pStyle w:val="TableContents"/>
              <w:spacing w:before="0" w:after="283"/>
              <w:rPr/>
            </w:pPr>
            <w:r>
              <w:rPr/>
              <w:t> </w:t>
            </w:r>
          </w:p>
        </w:tc>
        <w:tc>
          <w:tcPr>
            <w:tcW w:w="3680" w:type="dxa"/>
            <w:tcBorders/>
            <w:shd w:fill="auto" w:val="clear"/>
          </w:tcPr>
          <w:p>
            <w:pPr>
              <w:pStyle w:val="TableContents"/>
              <w:spacing w:before="0" w:after="283"/>
              <w:jc w:val="left"/>
              <w:rPr/>
            </w:pPr>
            <w:r>
              <w:rPr/>
              <w:t>Chief Operating Officer, Chief Financial Officer and Corporate Secretary</w:t>
            </w:r>
          </w:p>
        </w:tc>
        <w:tc>
          <w:tcPr>
            <w:tcW w:w="201" w:type="dxa"/>
            <w:tcBorders/>
            <w:shd w:fill="auto" w:val="clear"/>
            <w:vAlign w:val="bottom"/>
          </w:tcPr>
          <w:p>
            <w:pPr>
              <w:pStyle w:val="TableContents"/>
              <w:spacing w:before="0" w:after="283"/>
              <w:rPr/>
            </w:pPr>
            <w:r>
              <w:rPr/>
              <w:t> </w:t>
            </w:r>
          </w:p>
        </w:tc>
        <w:tc>
          <w:tcPr>
            <w:tcW w:w="1634" w:type="dxa"/>
            <w:tcBorders/>
            <w:shd w:fill="auto" w:val="clear"/>
          </w:tcPr>
          <w:p>
            <w:pPr>
              <w:pStyle w:val="TableContents"/>
              <w:spacing w:before="0" w:after="283"/>
              <w:jc w:val="left"/>
              <w:rPr/>
            </w:pPr>
            <w:r>
              <w:rPr/>
              <w:t> </w:t>
            </w:r>
          </w:p>
        </w:tc>
      </w:tr>
      <w:tr>
        <w:trPr/>
        <w:tc>
          <w:tcPr>
            <w:tcW w:w="4086" w:type="dxa"/>
            <w:tcBorders/>
            <w:shd w:fill="auto" w:val="clear"/>
          </w:tcPr>
          <w:p>
            <w:pPr>
              <w:pStyle w:val="TableContents"/>
              <w:spacing w:before="0" w:after="283"/>
              <w:ind w:left="0" w:right="0" w:hanging="0"/>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202" w:type="dxa"/>
            <w:tcBorders/>
            <w:shd w:fill="auto" w:val="clear"/>
          </w:tcPr>
          <w:p>
            <w:pPr>
              <w:pStyle w:val="TableContents"/>
              <w:spacing w:before="0" w:after="283"/>
              <w:jc w:val="left"/>
              <w:rPr/>
            </w:pPr>
            <w:r>
              <w:rPr/>
              <w:t> </w:t>
            </w:r>
          </w:p>
        </w:tc>
        <w:tc>
          <w:tcPr>
            <w:tcW w:w="201" w:type="dxa"/>
            <w:tcBorders/>
            <w:shd w:fill="auto" w:val="clear"/>
            <w:vAlign w:val="bottom"/>
          </w:tcPr>
          <w:p>
            <w:pPr>
              <w:pStyle w:val="TableContents"/>
              <w:spacing w:before="0" w:after="283"/>
              <w:rPr/>
            </w:pPr>
            <w:r>
              <w:rPr/>
              <w:t> </w:t>
            </w:r>
          </w:p>
        </w:tc>
        <w:tc>
          <w:tcPr>
            <w:tcW w:w="3680" w:type="dxa"/>
            <w:tcBorders/>
            <w:shd w:fill="auto" w:val="clear"/>
          </w:tcPr>
          <w:p>
            <w:pPr>
              <w:pStyle w:val="TableContents"/>
              <w:spacing w:before="0" w:after="283"/>
              <w:jc w:val="left"/>
              <w:rPr/>
            </w:pPr>
            <w:r>
              <w:rPr/>
              <w:t>(Principal Financial Officer)</w:t>
            </w:r>
          </w:p>
        </w:tc>
        <w:tc>
          <w:tcPr>
            <w:tcW w:w="201" w:type="dxa"/>
            <w:tcBorders/>
            <w:shd w:fill="auto" w:val="clear"/>
            <w:vAlign w:val="bottom"/>
          </w:tcPr>
          <w:p>
            <w:pPr>
              <w:pStyle w:val="TableContents"/>
              <w:spacing w:before="0" w:after="283"/>
              <w:rPr/>
            </w:pPr>
            <w:r>
              <w:rPr/>
              <w:t> </w:t>
            </w:r>
          </w:p>
        </w:tc>
        <w:tc>
          <w:tcPr>
            <w:tcW w:w="1634"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25 </w:t>
      </w:r>
      <w:r>
        <w:br w:type="page"/>
      </w:r>
    </w:p>
    <w:p>
      <w:pPr>
        <w:pStyle w:val="Heading5"/>
        <w:jc w:val="left"/>
        <w:rPr/>
      </w:pPr>
      <w:bookmarkStart w:id="20" w:name="v06772exv32w1.htm"/>
      <w:bookmarkStart w:id="21" w:name="ksv06772exv32w1"/>
      <w:bookmarkEnd w:id="20"/>
      <w:bookmarkEnd w:id="21"/>
      <w:r>
        <w:rPr/>
        <w:t> </w:t>
      </w:r>
    </w:p>
    <w:p>
      <w:pPr>
        <w:pStyle w:val="TextBody"/>
        <w:jc w:val="right"/>
        <w:rPr>
          <w:rFonts w:ascii="Times New Roman;Times;serif" w:hAnsi="Times New Roman;Times;serif"/>
          <w:sz w:val="17"/>
        </w:rPr>
      </w:pPr>
      <w:r>
        <w:rPr>
          <w:rFonts w:ascii="Times New Roman;Times;serif" w:hAnsi="Times New Roman;Times;serif"/>
          <w:sz w:val="17"/>
        </w:rPr>
        <w:t xml:space="preserve">Exhibit 32.1 </w:t>
      </w:r>
    </w:p>
    <w:p>
      <w:pPr>
        <w:pStyle w:val="TextBody"/>
        <w:jc w:val="center"/>
        <w:rPr>
          <w:rFonts w:ascii="Times New Roman;Times;serif" w:hAnsi="Times New Roman;Times;serif"/>
          <w:sz w:val="17"/>
        </w:rPr>
      </w:pPr>
      <w:r>
        <w:rPr>
          <w:rFonts w:ascii="Times New Roman;Times;serif" w:hAnsi="Times New Roman;Times;serif"/>
          <w:sz w:val="17"/>
        </w:rPr>
        <w:t>CERTIFICATION PURSUANT TO</w:t>
        <w:br/>
        <w:t>18 U.S.C. § 1350</w:t>
        <w:br/>
        <w:t>AS ADOPTED PURSUANT TO</w:t>
        <w:br/>
        <w:t xml:space="preserve">SECTION 906 OF THE SARBANES-OXLEY ACT OF 2002 </w:t>
      </w:r>
    </w:p>
    <w:p>
      <w:pPr>
        <w:pStyle w:val="TextBody"/>
        <w:jc w:val="left"/>
        <w:rPr>
          <w:rFonts w:ascii="Times New Roman;Times;serif" w:hAnsi="Times New Roman;Times;serif"/>
          <w:sz w:val="17"/>
        </w:rPr>
      </w:pPr>
      <w:r>
        <w:rPr>
          <w:rFonts w:ascii="Times New Roman;Times;serif" w:hAnsi="Times New Roman;Times;serif"/>
          <w:sz w:val="17"/>
        </w:rPr>
        <w:t xml:space="preserve">In connection with the Quarterly Report of Calavo Growers, Inc. (the Company) on Form 10-Q for the period ended January 31, 2005, as filed with the Securities and Exchange Commission (the Report), I, Lecil E. Cole, Chief Executive Officer of the Company, certify, pursuant to 18 U.S.C. § 1350, as adopted pursuant to Section 906 of the Sarbanes-Oxley Act of 2002, that, to my knowledge: </w:t>
      </w:r>
    </w:p>
    <w:tbl>
      <w:tblPr>
        <w:tblW w:w="5000" w:type="pct"/>
        <w:jc w:val="left"/>
        <w:tblInd w:w="0" w:type="dxa"/>
        <w:tblCellMar>
          <w:top w:w="0" w:type="dxa"/>
          <w:left w:w="0" w:type="dxa"/>
          <w:bottom w:w="0" w:type="dxa"/>
          <w:right w:w="0" w:type="dxa"/>
        </w:tblCellMar>
      </w:tblPr>
      <w:tblGrid>
        <w:gridCol w:w="310"/>
        <w:gridCol w:w="424"/>
        <w:gridCol w:w="9445"/>
        <w:gridCol w:w="26"/>
      </w:tblGrid>
      <w:tr>
        <w:trPr/>
        <w:tc>
          <w:tcPr>
            <w:tcW w:w="310"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(1)  </w:t>
            </w:r>
          </w:p>
        </w:tc>
        <w:tc>
          <w:tcPr>
            <w:tcW w:w="9445" w:type="dxa"/>
            <w:tcBorders/>
            <w:shd w:fill="auto" w:val="clear"/>
          </w:tcPr>
          <w:p>
            <w:pPr>
              <w:pStyle w:val="TableContents"/>
              <w:spacing w:before="0" w:after="283"/>
              <w:rPr/>
            </w:pPr>
            <w:r>
              <w:rPr/>
              <w:t>The Report fully complies with the requirements of Section 13(a) or 15(d) of the Securities Exchange Act of 1934; and</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310"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(2)  </w:t>
            </w:r>
          </w:p>
        </w:tc>
        <w:tc>
          <w:tcPr>
            <w:tcW w:w="9445" w:type="dxa"/>
            <w:tcBorders/>
            <w:shd w:fill="auto" w:val="clear"/>
          </w:tcPr>
          <w:p>
            <w:pPr>
              <w:pStyle w:val="TableContents"/>
              <w:spacing w:before="0" w:after="283"/>
              <w:rPr/>
            </w:pPr>
            <w:r>
              <w:rPr/>
              <w:t>The information contained in the Report fairly presents, in all material respects, the financial condition and results of operations of the Company.</w:t>
            </w:r>
          </w:p>
        </w:tc>
        <w:tc>
          <w:tcPr>
            <w:tcW w:w="26" w:type="dxa"/>
            <w:tcBorders/>
            <w:shd w:fill="auto" w:val="clear"/>
          </w:tcPr>
          <w:p>
            <w:pPr>
              <w:pStyle w:val="TableContents"/>
              <w:spacing w:before="0" w:after="283"/>
              <w:rPr>
                <w:sz w:val="4"/>
                <w:szCs w:val="4"/>
              </w:rPr>
            </w:pPr>
            <w:r>
              <w:rPr>
                <w:sz w:val="4"/>
                <w:szCs w:val="4"/>
              </w:rPr>
            </w:r>
          </w:p>
        </w:tc>
      </w:tr>
    </w:tbl>
    <w:p>
      <w:pPr>
        <w:pStyle w:val="TextBody"/>
        <w:jc w:val="left"/>
        <w:rPr>
          <w:rFonts w:ascii="Times New Roman;Times;serif" w:hAnsi="Times New Roman;Times;serif"/>
          <w:sz w:val="17"/>
        </w:rPr>
      </w:pPr>
      <w:r>
        <w:rPr>
          <w:rFonts w:ascii="Times New Roman;Times;serif" w:hAnsi="Times New Roman;Times;serif"/>
          <w:sz w:val="17"/>
          <w:u w:val="single"/>
        </w:rPr>
        <w:t>/s/ Lecil E. Cole</w:t>
      </w:r>
      <w:r>
        <w:rPr>
          <w:rFonts w:ascii="Times New Roman;Times;serif" w:hAnsi="Times New Roman;Times;serif"/>
          <w:sz w:val="17"/>
        </w:rPr>
        <w:br/>
        <w:t>Lecil E. Cole</w:t>
        <w:br/>
        <w:t>Chief Executive Officer</w:t>
        <w:br/>
        <w:t xml:space="preserve">March 10, 2005 </w:t>
      </w:r>
    </w:p>
    <w:p>
      <w:pPr>
        <w:pStyle w:val="TextBody"/>
        <w:jc w:val="center"/>
        <w:rPr>
          <w:rFonts w:ascii="Times New Roman;Times;serif" w:hAnsi="Times New Roman;Times;serif"/>
          <w:sz w:val="17"/>
        </w:rPr>
      </w:pPr>
      <w:r>
        <w:rPr>
          <w:rFonts w:ascii="Times New Roman;Times;serif" w:hAnsi="Times New Roman;Times;serif"/>
          <w:sz w:val="17"/>
        </w:rPr>
        <w:t xml:space="preserve">26 </w:t>
      </w:r>
      <w:r>
        <w:br w:type="page"/>
      </w:r>
    </w:p>
    <w:p>
      <w:pPr>
        <w:pStyle w:val="Heading5"/>
        <w:jc w:val="left"/>
        <w:rPr/>
      </w:pPr>
      <w:bookmarkStart w:id="22" w:name="v06772exv32w2.htm"/>
      <w:bookmarkStart w:id="23" w:name="ksv06772exv32w2"/>
      <w:bookmarkEnd w:id="22"/>
      <w:bookmarkEnd w:id="23"/>
      <w:r>
        <w:rPr/>
        <w:t> </w:t>
      </w:r>
    </w:p>
    <w:p>
      <w:pPr>
        <w:pStyle w:val="TextBody"/>
        <w:jc w:val="right"/>
        <w:rPr>
          <w:rFonts w:ascii="Times New Roman;Times;serif" w:hAnsi="Times New Roman;Times;serif"/>
          <w:sz w:val="17"/>
        </w:rPr>
      </w:pPr>
      <w:r>
        <w:rPr>
          <w:rFonts w:ascii="Times New Roman;Times;serif" w:hAnsi="Times New Roman;Times;serif"/>
          <w:sz w:val="17"/>
        </w:rPr>
        <w:t xml:space="preserve">Exhibit 32.2 </w:t>
      </w:r>
    </w:p>
    <w:p>
      <w:pPr>
        <w:pStyle w:val="TextBody"/>
        <w:jc w:val="center"/>
        <w:rPr>
          <w:rFonts w:ascii="Times New Roman;Times;serif" w:hAnsi="Times New Roman;Times;serif"/>
          <w:sz w:val="17"/>
        </w:rPr>
      </w:pPr>
      <w:r>
        <w:rPr>
          <w:rFonts w:ascii="Times New Roman;Times;serif" w:hAnsi="Times New Roman;Times;serif"/>
          <w:sz w:val="17"/>
        </w:rPr>
        <w:t>CERTIFICATION PURSUANT TO</w:t>
        <w:br/>
        <w:t>18 U.S.C. § 1350</w:t>
        <w:br/>
        <w:t>AS ADOPTED PURSUANT TO</w:t>
        <w:br/>
        <w:t xml:space="preserve">SECTION 906 OF THE SARBANES-OXLEY ACT OF 2002 </w:t>
      </w:r>
    </w:p>
    <w:p>
      <w:pPr>
        <w:pStyle w:val="TextBody"/>
        <w:jc w:val="left"/>
        <w:rPr>
          <w:rFonts w:ascii="Times New Roman;Times;serif" w:hAnsi="Times New Roman;Times;serif"/>
          <w:sz w:val="17"/>
        </w:rPr>
      </w:pPr>
      <w:r>
        <w:rPr>
          <w:rFonts w:ascii="Times New Roman;Times;serif" w:hAnsi="Times New Roman;Times;serif"/>
          <w:sz w:val="17"/>
        </w:rPr>
        <w:t xml:space="preserve">In connection with the Quarterly Report of Calavo Growers, Inc. (the Company) on Form 10-Q for the period ended January 31, 2005, as filed with the Securities and Exchange Commission (the Report), I, Arthur J. Bruno, the Chief Financial Officer of the Company, certify, pursuant to 18 U.S.C. § 1350, as adopted pursuant to Section 906 of the Sarbanes-Oxley Act of 2002, that, to my knowledge: </w:t>
      </w:r>
    </w:p>
    <w:tbl>
      <w:tblPr>
        <w:tblW w:w="5000" w:type="pct"/>
        <w:jc w:val="left"/>
        <w:tblInd w:w="0" w:type="dxa"/>
        <w:tblCellMar>
          <w:top w:w="0" w:type="dxa"/>
          <w:left w:w="0" w:type="dxa"/>
          <w:bottom w:w="0" w:type="dxa"/>
          <w:right w:w="0" w:type="dxa"/>
        </w:tblCellMar>
      </w:tblPr>
      <w:tblGrid>
        <w:gridCol w:w="310"/>
        <w:gridCol w:w="424"/>
        <w:gridCol w:w="9445"/>
        <w:gridCol w:w="26"/>
      </w:tblGrid>
      <w:tr>
        <w:trPr/>
        <w:tc>
          <w:tcPr>
            <w:tcW w:w="310"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(1)  </w:t>
            </w:r>
          </w:p>
        </w:tc>
        <w:tc>
          <w:tcPr>
            <w:tcW w:w="9445" w:type="dxa"/>
            <w:tcBorders/>
            <w:shd w:fill="auto" w:val="clear"/>
          </w:tcPr>
          <w:p>
            <w:pPr>
              <w:pStyle w:val="TableContents"/>
              <w:spacing w:before="0" w:after="283"/>
              <w:rPr/>
            </w:pPr>
            <w:r>
              <w:rPr/>
              <w:t>The Report fully complies with the requirements of Section 13(a) or 15(d) of the Securities Exchange Act of 1934; and</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310"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left"/>
              <w:rPr/>
            </w:pPr>
            <w:r>
              <w:rPr/>
              <w:t>(2)  </w:t>
            </w:r>
          </w:p>
        </w:tc>
        <w:tc>
          <w:tcPr>
            <w:tcW w:w="9445" w:type="dxa"/>
            <w:tcBorders/>
            <w:shd w:fill="auto" w:val="clear"/>
          </w:tcPr>
          <w:p>
            <w:pPr>
              <w:pStyle w:val="TableContents"/>
              <w:spacing w:before="0" w:after="283"/>
              <w:rPr/>
            </w:pPr>
            <w:r>
              <w:rPr/>
              <w:t>The information contained in the Report fairly presents, in all material respects, the financial condition and results of operations of the Company.</w:t>
            </w:r>
          </w:p>
        </w:tc>
        <w:tc>
          <w:tcPr>
            <w:tcW w:w="26" w:type="dxa"/>
            <w:tcBorders/>
            <w:shd w:fill="auto" w:val="clear"/>
          </w:tcPr>
          <w:p>
            <w:pPr>
              <w:pStyle w:val="TableContents"/>
              <w:spacing w:before="0" w:after="283"/>
              <w:rPr>
                <w:sz w:val="4"/>
                <w:szCs w:val="4"/>
              </w:rPr>
            </w:pPr>
            <w:r>
              <w:rPr>
                <w:sz w:val="4"/>
                <w:szCs w:val="4"/>
              </w:rPr>
            </w:r>
          </w:p>
        </w:tc>
      </w:tr>
    </w:tbl>
    <w:p>
      <w:pPr>
        <w:pStyle w:val="TextBody"/>
        <w:jc w:val="left"/>
        <w:rPr>
          <w:rFonts w:ascii="Times New Roman;Times;serif" w:hAnsi="Times New Roman;Times;serif"/>
          <w:sz w:val="17"/>
        </w:rPr>
      </w:pPr>
      <w:r>
        <w:rPr>
          <w:rFonts w:ascii="Times New Roman;Times;serif" w:hAnsi="Times New Roman;Times;serif"/>
          <w:sz w:val="17"/>
          <w:u w:val="single"/>
        </w:rPr>
        <w:t>/s/ Arthur J. Bruno</w:t>
      </w:r>
      <w:r>
        <w:rPr>
          <w:rFonts w:ascii="Times New Roman;Times;serif" w:hAnsi="Times New Roman;Times;serif"/>
          <w:sz w:val="17"/>
        </w:rPr>
        <w:t xml:space="preserve"> </w:t>
        <w:br/>
        <w:t>Arthur J. Bruno</w:t>
        <w:br/>
        <w:t>Chief Operating Officer, Chief Financial Officer and Corporate Secretary</w:t>
        <w:br/>
        <w:t>(Principal Financial Officer)</w:t>
        <w:br/>
        <w:t xml:space="preserve">March 10, 2005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27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26</Pages>
  <Words>9199</Words>
  <CharactersWithSpaces>60725</CharactersWithSpaces>
  <Paragraphs>4668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exv32w2</dc:title>
</cp:coreProperties>
</file>