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For the quarterly period ended April 30, 2007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000-33385</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122" w:right="259" w:bottom="1440" w:gutter="0" w:footer="0" w:header="0"/>
        </w:sectPr>
      </w:pPr>
    </w:p>
    <w:p>
      <w:pPr>
        <w:spacing w:after="0" w:line="205" w:lineRule="exact"/>
        <w:rPr>
          <w:sz w:val="20"/>
          <w:szCs w:val="20"/>
          <w:color w:val="auto"/>
        </w:rPr>
      </w:pPr>
    </w:p>
    <w:p>
      <w:pPr>
        <w:ind w:left="23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33-0945304</w:t>
      </w:r>
    </w:p>
    <w:p>
      <w:pPr>
        <w:spacing w:after="0" w:line="211" w:lineRule="exact"/>
        <w:rPr>
          <w:sz w:val="20"/>
          <w:szCs w:val="20"/>
          <w:color w:val="auto"/>
        </w:rPr>
      </w:pPr>
    </w:p>
    <w:p>
      <w:pPr>
        <w:sectPr>
          <w:pgSz w:w="11900" w:h="16838" w:orient="portrait"/>
          <w:cols w:equalWidth="0" w:num="2">
            <w:col w:w="7560" w:space="720"/>
            <w:col w:w="3120"/>
          </w:cols>
          <w:pgMar w:left="240" w:top="122" w:right="259" w:bottom="1440" w:gutter="0" w:footer="0" w:header="0"/>
          <w:type w:val="continuous"/>
        </w:sectPr>
      </w:pPr>
    </w:p>
    <w:p>
      <w:pPr>
        <w:spacing w:after="0" w:line="4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4000"/>
          </w:cols>
          <w:pgMar w:left="240" w:top="122" w:right="259" w:bottom="1440" w:gutter="0" w:footer="0" w:header="0"/>
          <w:type w:val="continuous"/>
        </w:sectPr>
      </w:pP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1141-A Cummings Road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Santa Paula, California 93060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00"/>
          </w:cols>
          <w:pgMar w:left="240" w:top="122" w:right="259" w:bottom="1440" w:gutter="0" w:footer="0" w:header="0"/>
          <w:type w:val="continuous"/>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(805) 525-1245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spacing w:after="0" w:line="207" w:lineRule="exact"/>
        <w:tabs>
          <w:tab w:leader="none" w:pos="1920" w:val="left"/>
          <w:tab w:leader="none" w:pos="3500" w:val="left"/>
        </w:tabs>
        <w:rPr>
          <w:sz w:val="20"/>
          <w:szCs w:val="20"/>
          <w:color w:val="auto"/>
        </w:rPr>
      </w:pPr>
      <w:r>
        <w:rPr>
          <w:rFonts w:ascii="Arial" w:cs="Arial" w:eastAsia="Arial" w:hAnsi="Arial"/>
          <w:sz w:val="18"/>
          <w:szCs w:val="18"/>
          <w:color w:val="auto"/>
        </w:rPr>
        <w:t>Large accelerated filer o</w:t>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75" w:lineRule="exact"/>
        <w:rPr>
          <w:sz w:val="20"/>
          <w:szCs w:val="20"/>
          <w:color w:val="auto"/>
        </w:rPr>
      </w:pPr>
    </w:p>
    <w:p>
      <w:pPr>
        <w:ind w:right="234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Registrant’s number of shares of common stock outstanding as of April 30, 2007 was 14,296,833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189230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787400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 xml:space="preserve">This Quarterly Report on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and are subject to the “safe harbor” created by those sections. Forward-looking statements frequently are identifiable by the use of words such as “believe,” “anticipate,” “expect,” “intend,” “will,” and other similar expressions. Our actual results may differ materially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including but not limited to those set forth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our Annual Report on Form 10-K for the fiscal year ended October 31, 2006, and those detailed from time to time in our other filings with the Securities and Exchange Commission. These forward-looking statements are made only as of the date hereof, and we undertake no obligation to update or revise the forward-looking statements, whether as a result of new information, future events, or otherwise.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CALAVO GROWERS,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80" w:type="dxa"/>
            <w:vAlign w:val="bottom"/>
            <w:gridSpan w:val="11"/>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7660" w:type="dxa"/>
            <w:vAlign w:val="bottom"/>
            <w:gridSpan w:val="10"/>
            <w:vMerge w:val="restart"/>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6"/>
        </w:trPr>
        <w:tc>
          <w:tcPr>
            <w:tcW w:w="3080" w:type="dxa"/>
            <w:vAlign w:val="bottom"/>
            <w:tcBorders>
              <w:bottom w:val="single" w:sz="8" w:color="0000EE"/>
            </w:tcBorders>
            <w:gridSpan w:val="11"/>
            <w:vMerge w:val="continue"/>
          </w:tcPr>
          <w:p>
            <w:pPr>
              <w:spacing w:after="0"/>
              <w:rPr>
                <w:sz w:val="13"/>
                <w:szCs w:val="13"/>
                <w:color w:val="auto"/>
              </w:rPr>
            </w:pPr>
          </w:p>
        </w:tc>
        <w:tc>
          <w:tcPr>
            <w:tcW w:w="7660" w:type="dxa"/>
            <w:vAlign w:val="bottom"/>
            <w:gridSpan w:val="10"/>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07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Financial Statements (unaudited):</w:t>
              </w:r>
            </w:hyperlink>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Balance Sheets – April 30, 2007 and October 31, 2006</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Condensed Statements of Income – Three Months and Six Months Ended April 30, 2007 and 2006</w:t>
              </w:r>
            </w:hyperlink>
          </w:p>
        </w:tc>
        <w:tc>
          <w:tcPr>
            <w:tcW w:w="196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Condensed Statements of Comprehensive Income (Loss) – Three Months and Six Months Ended April 30, 2007 and 2006</w:t>
              </w:r>
            </w:hyperlink>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Condensed Statements of Cash Flows – Six Months Ended April 30, 2007 and 2006</w:t>
              </w:r>
            </w:hyperlink>
          </w:p>
        </w:tc>
        <w:tc>
          <w:tcPr>
            <w:tcW w:w="302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Condensed Financial Statements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40" w:type="dxa"/>
            <w:vAlign w:val="bottom"/>
            <w:gridSpan w:val="2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4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  Quantitative and Qualitative Disclosures About Market Risk</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6"/>
          </w:tcPr>
          <w:p>
            <w:pPr>
              <w:spacing w:after="0"/>
              <w:rPr>
                <w:sz w:val="24"/>
                <w:szCs w:val="24"/>
                <w:color w:val="auto"/>
              </w:rPr>
            </w:pPr>
          </w:p>
        </w:tc>
        <w:tc>
          <w:tcPr>
            <w:tcW w:w="572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7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7960" w:type="dxa"/>
            <w:vAlign w:val="bottom"/>
            <w:gridSpan w:val="11"/>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1.</w:t>
              </w:r>
            </w:hyperlink>
          </w:p>
        </w:tc>
        <w:tc>
          <w:tcPr>
            <w:tcW w:w="12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642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4.</w:t>
              </w:r>
            </w:hyperlink>
          </w:p>
        </w:tc>
        <w:tc>
          <w:tcPr>
            <w:tcW w:w="12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Submission of matters to a vote of security holders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Borders>
              <w:top w:val="single" w:sz="8" w:color="0000EE"/>
            </w:tcBorders>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642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32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32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68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 10.1</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 31.1</w:t>
        </w:r>
      </w:hyperlink>
    </w:p>
    <w:p>
      <w:pPr>
        <w:spacing w:after="0" w:line="15" w:lineRule="exact"/>
        <w:rPr>
          <w:sz w:val="20"/>
          <w:szCs w:val="20"/>
          <w:color w:val="auto"/>
        </w:rPr>
      </w:pPr>
    </w:p>
    <w:p>
      <w:pPr>
        <w:ind w:left="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EXHIBIT 31.2</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EXHIBIT 32</w:t>
        </w:r>
      </w:hyperlink>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April 30,</w:t>
            </w:r>
          </w:p>
        </w:tc>
        <w:tc>
          <w:tcPr>
            <w:tcW w:w="3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Accounts receivable, net of allowances of $2,396 (2007) and $1,833 (2006)</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29,114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14,962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5,969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to suppliers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5,966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59,927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21,031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 in Limoneira</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57,043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Maui Fresh, LLC</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3,591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3,784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145,714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107,494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to growers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6,715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2,222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22,803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Income tax payable</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6,250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obligations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39,412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Long-term obligations, less current portion</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13,406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13,188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26,594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$0.001 par value; 100,000 shares authorized; 14,297 (2007) and 14,293 (2006) issued and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37,160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receivable from shareholders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20,659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21,875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79,708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145,714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107,494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7"/>
              </w:rPr>
              <w:t>April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94"/>
              </w:rPr>
              <w:t>April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69,184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67,429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126,477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Cost of sales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59,993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58,834</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110,318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106,109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8,595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16,159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4,812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9,443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3,598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3,608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1,655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2,505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Basic</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14,294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14,282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14,294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14,398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14,343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14,380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4"/>
                <w:szCs w:val="14"/>
                <w:b w:val="1"/>
                <w:bCs w:val="1"/>
                <w:color w:val="auto"/>
                <w:w w:val="94"/>
              </w:rPr>
              <w:t>April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4"/>
                <w:szCs w:val="14"/>
                <w:b w:val="1"/>
                <w:bCs w:val="1"/>
                <w:color w:val="auto"/>
                <w:w w:val="97"/>
              </w:rPr>
              <w:t>April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2,587</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tax:</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(losses) arising during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15,903</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1,902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23,163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200"/>
              <w:spacing w:after="0" w:line="201" w:lineRule="exact"/>
              <w:rPr>
                <w:sz w:val="20"/>
                <w:szCs w:val="20"/>
                <w:color w:val="auto"/>
              </w:rPr>
            </w:pPr>
            <w:r>
              <w:rPr>
                <w:rFonts w:ascii="Arial" w:cs="Arial" w:eastAsia="Arial" w:hAnsi="Arial"/>
                <w:sz w:val="18"/>
                <w:szCs w:val="18"/>
                <w:color w:val="auto"/>
              </w:rPr>
              <w:t>Income tax (expense) benefit related to items of other comprehensive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(loss)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(6,123)</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(8,797)</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14,366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12,367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18,284</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3"/>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3,918</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1,066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Maui Fresh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losses on accounts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Effect on cash of changes in operating assets and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(4,393)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Advances to suppliers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(4,560)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Payable to growers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payable and accrued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and deposits on property, plant,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(2,131)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Payment of dividend to shareholders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(4,573)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Retirement of 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Collection on notes receivable from shareholders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2,430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1,568</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 —</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Interest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681</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Tax benefit related to stock option exercise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Unrealized holding gains (losses)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23,163</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Calavo Growers, Inc. (Calavo, the Company, we, us or our) procures and markets avocados and other perishable commodities and prepares and distributes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We procure avocados principally from California, Mexico, and Chile. Through our operating facilities in southern California, Texas, New Jersey, and Mexico, we sort, pack, and/or ripen avocados for distribution both domestically and internationally. Additionally, we also distribute other perishable foods, such as Hawaiian grown papayas, and prepare processed avocado products. We report our operations in two different business segments: (1) fresh products and (2) processed products.</w:t>
      </w:r>
    </w:p>
    <w:p>
      <w:pPr>
        <w:spacing w:after="0" w:line="81" w:lineRule="exact"/>
        <w:rPr>
          <w:sz w:val="20"/>
          <w:szCs w:val="20"/>
          <w:color w:val="auto"/>
        </w:rPr>
      </w:pPr>
    </w:p>
    <w:p>
      <w:pPr>
        <w:ind w:right="140" w:firstLine="222"/>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by the Company in accordance with accounting principles generally accepted in the United States of America and in accordance with the instructions to Form 10-Q and Article 10 of Regulation S-X of the Securities and Exchange Commission. Accordingly, they do not include all of the information and footnotes required by generally accepted accounting principles for complete financial statements. In the opinion of management, the accompanying unaudited condensed consolidated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2006.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In February 2007, the FASB issued SFAS No. 159, </w:t>
      </w:r>
      <w:r>
        <w:rPr>
          <w:rFonts w:ascii="Arial" w:cs="Arial" w:eastAsia="Arial" w:hAnsi="Arial"/>
          <w:sz w:val="17"/>
          <w:szCs w:val="17"/>
          <w:i w:val="1"/>
          <w:iCs w:val="1"/>
          <w:color w:val="auto"/>
        </w:rPr>
        <w:t>The Fair Value Option for Financial Assets and Financial Liabilities</w:t>
      </w:r>
      <w:r>
        <w:rPr>
          <w:rFonts w:ascii="Arial" w:cs="Arial" w:eastAsia="Arial" w:hAnsi="Arial"/>
          <w:sz w:val="17"/>
          <w:szCs w:val="17"/>
          <w:color w:val="auto"/>
        </w:rPr>
        <w:t>, which permits entities to choose to measure at fair value eligible financial instruments and certain other items that are not currently required to be measured at fair value. The standard requires that unrealized gains and losses on items for which the fair value option has been elected be reported in earnings at each subsequent reporting date. SFAS No. 159 is effective for fiscal years beginning after November 15, 2007. We will adopt SFAS No. 159 no later than the first quarter of fiscal 2009. We are currently assessing the impact the adoption of SFAS No. 159 will have on our financial position and results of operations.</w:t>
      </w:r>
    </w:p>
    <w:p>
      <w:pPr>
        <w:spacing w:after="0" w:line="6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In September 2006, the FASB issued SFAS No. 158, </w:t>
      </w:r>
      <w:r>
        <w:rPr>
          <w:rFonts w:ascii="Arial" w:cs="Arial" w:eastAsia="Arial" w:hAnsi="Arial"/>
          <w:sz w:val="18"/>
          <w:szCs w:val="18"/>
          <w:i w:val="1"/>
          <w:iCs w:val="1"/>
          <w:color w:val="auto"/>
        </w:rPr>
        <w:t>Employers’ Accounting for Defined Benefit Pension and Other Postretirement Plans, an amendment</w:t>
      </w:r>
      <w:r>
        <w:rPr>
          <w:rFonts w:ascii="Arial" w:cs="Arial" w:eastAsia="Arial" w:hAnsi="Arial"/>
          <w:sz w:val="18"/>
          <w:szCs w:val="18"/>
          <w:color w:val="auto"/>
        </w:rPr>
        <w:t xml:space="preserve"> </w:t>
      </w:r>
      <w:r>
        <w:rPr>
          <w:rFonts w:ascii="Arial" w:cs="Arial" w:eastAsia="Arial" w:hAnsi="Arial"/>
          <w:sz w:val="18"/>
          <w:szCs w:val="18"/>
          <w:i w:val="1"/>
          <w:iCs w:val="1"/>
          <w:color w:val="auto"/>
        </w:rPr>
        <w:t>of FASB Statements No. 87, 88, 106, and 132(R)</w:t>
      </w:r>
      <w:r>
        <w:rPr>
          <w:rFonts w:ascii="Arial" w:cs="Arial" w:eastAsia="Arial" w:hAnsi="Arial"/>
          <w:sz w:val="18"/>
          <w:szCs w:val="18"/>
          <w:color w:val="auto"/>
        </w:rPr>
        <w:t>. SFAS No. 158 requires company plan sponsors to display the net over- or under-funded position of a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postretirement plan as an asset or liability, with any unrecognized prior service costs, transition obligations or actuarial gains/losses reported as a component of other comprehensive income in shareholders’ equity. SFAS No. 158 is effective for fiscal years ending after December 15, 2006. We will adopt SFAS No. 158 as of the end of fiscal 2007. We are currently assessing the impact the adoption of SFAS No. 158 will have on our financial position and results of operations.</w:t>
      </w:r>
    </w:p>
    <w:p>
      <w:pPr>
        <w:spacing w:after="0" w:line="85"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No. 157 establishes a framework for measuring fair value in generally accepted accounting principles, clarifies the definition of fair value and expands disclosures about fair value measurements. SFAS No. 157 does not require any new fair value measurements. However, the application of SFAS No. 157 may change current practice for some entities. SFAS No. 157 is effective for financial statements issued for fiscal years beginning after November 15, 2007, and interim periods within those fiscal years. We will adopt SFAS No. 157 in the first quarter of fiscal 2009. We are currently assessing the impact that the adoption of SFAS No. 157 will have on our financial position and results of operations.</w:t>
      </w:r>
    </w:p>
    <w:p>
      <w:pPr>
        <w:spacing w:after="0" w:line="85"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In September 2006, the Securities and Exchange Commission issued Staff Accounting Bulletin (SAB) No. 108 on Quantifying Misstatements. SAB No. 108 requires companies to use both a balance sheet and an income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statement approach when quantifying and evaluating the materiality of a misstatement, and contains guidance on correcting errors under the dual approach. SAB No. 108 also provides transition guidance for correcting errors existing in prior years. SAB No. 108 is effective for annual financial statements covering the first fiscal year ending after November 15, 2006, with earlier application encouraged. We do not believe that the adoption of SAB 108 will have a significant impact on our financial position or results of operations.</w:t>
      </w:r>
    </w:p>
    <w:p>
      <w:pPr>
        <w:spacing w:after="0" w:line="79"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 xml:space="preserve">In July 2006, the FASB issued Interpretation No.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(FIN 48). This interpretation clarifies the application of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by defining a criterion that an individual tax position must meet for any part of the benefit of that position to be recognized in an enterprise’s financial statements and also provides guidance on measurement, derecognition, classification, interest and penalties, accounting in interim periods, disclosure and transition. FIN 48 is effective for fiscal years beginning after December 15, 2006, but earlier adoption is permitted. We will adopt FIN 48 no later than November 1, 2007. We are currently assessing the impact the adoption of FIN 48 will have on our financial position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December 2004, the FASB issued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This pronouncement amends SFAS No. 123, </w:t>
      </w:r>
      <w:r>
        <w:rPr>
          <w:rFonts w:ascii="Arial" w:cs="Arial" w:eastAsia="Arial" w:hAnsi="Arial"/>
          <w:sz w:val="18"/>
          <w:szCs w:val="18"/>
          <w:i w:val="1"/>
          <w:iCs w:val="1"/>
          <w:color w:val="auto"/>
        </w:rPr>
        <w:t>Accounting for Stock-Based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and supersedes APB Opinion No. 25,</w:t>
      </w:r>
      <w:r>
        <w:rPr>
          <w:rFonts w:ascii="Arial" w:cs="Arial" w:eastAsia="Arial" w:hAnsi="Arial"/>
          <w:sz w:val="18"/>
          <w:szCs w:val="18"/>
          <w:i w:val="1"/>
          <w:iCs w:val="1"/>
          <w:color w:val="auto"/>
        </w:rPr>
        <w:t xml:space="preserve"> Accounting for Stock Issued to Employees</w:t>
      </w:r>
      <w:r>
        <w:rPr>
          <w:rFonts w:ascii="Arial" w:cs="Arial" w:eastAsia="Arial" w:hAnsi="Arial"/>
          <w:sz w:val="18"/>
          <w:szCs w:val="18"/>
          <w:color w:val="auto"/>
        </w:rPr>
        <w:t>. SFAS No. 123(R) requires that companies account for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of equity instruments issued to employees under the fair value method of accounting and recognize such amounts in their statements of operations. We adopted SFAS No. 123(R) on November 1, 2005 using the modified prospective method and, accordingly, have not restated the consolidated statements of operations for prior interim periods or fiscal years. Under SFAS No. 123(R), we are required to measure compensation cost for all stock-based awards at fair value on the date of grant and recognize compensation expense in our consolidated statements of operations over the service period that the awards are expected to vest.</w:t>
      </w:r>
    </w:p>
    <w:p>
      <w:pPr>
        <w:spacing w:after="0" w:line="81"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 xml:space="preserve">Prior to the adoption of SFAS No. 123(R), we accounted for employee stock-based compensation using the intrinsic value method in accordance with APB Opinion No. 25, as permitted by SFAS No. 123 and SFAS No. 148, </w:t>
      </w:r>
      <w:r>
        <w:rPr>
          <w:rFonts w:ascii="Arial" w:cs="Arial" w:eastAsia="Arial" w:hAnsi="Arial"/>
          <w:sz w:val="17"/>
          <w:szCs w:val="17"/>
          <w:i w:val="1"/>
          <w:iCs w:val="1"/>
          <w:color w:val="auto"/>
        </w:rPr>
        <w:t>Accounting for Stock-Based Compensation — Transition and Disclosure</w:t>
      </w:r>
      <w:r>
        <w:rPr>
          <w:rFonts w:ascii="Arial" w:cs="Arial" w:eastAsia="Arial" w:hAnsi="Arial"/>
          <w:sz w:val="17"/>
          <w:szCs w:val="17"/>
          <w:color w:val="auto"/>
        </w:rPr>
        <w:t>. Under the intrinsic value method, the difference between the market price on the date of grant and the exercise price is charged to the statement of operations over the vesting period. Prior to the adoption of SFAS No. 123(R), we recognized compensation cost only for stock options issued with exercise prices set below market prices on the date of grant and provided the necessary pro forma disclosures required under SFAS No. 123.</w:t>
      </w:r>
    </w:p>
    <w:p>
      <w:pPr>
        <w:spacing w:after="0" w:line="64"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Under SFAS No. 123(R), we now record in our consolidated statements of operations (i) compensation cost for options granted, modified, repurchased or cancelled on or after November 1, 2005 under the provisions of SFAS No. 123(R) and (ii) compensation cost for the unvested portion of options granted prior to November 1, 2005 over their remaining vesting periods using the amounts previously measured under SFAS No. 123 for pro forma disclosure purposes.</w:t>
      </w:r>
    </w:p>
    <w:p>
      <w:pPr>
        <w:spacing w:after="0" w:line="39"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The value of each option award is estimated using the Black-Scholes-Merton or lattice-based option valuation models, which primarily consider the following assumptions: (1) expected volatility, (2) expected dividends, (3) expected term and (4) risk-free rate. Such models also consider the intrinsic value in the estimation of fair value of the option award. Forfeitures are estimated when recognizing compensation expense, and the estimate of forfeitures will be adjusted over the requisite service period to the extent that actual forfeitures differ, or are expected to differ, from such estimates. Changes in estimated forfeitures will be recognized through a cumulative catch-up adjustment in the period of change and will also impact the amount of compensation expense to be recognized in future periods.</w:t>
      </w:r>
    </w:p>
    <w:p>
      <w:pPr>
        <w:spacing w:after="0" w:line="85" w:lineRule="exact"/>
        <w:rPr>
          <w:sz w:val="20"/>
          <w:szCs w:val="20"/>
          <w:color w:val="auto"/>
        </w:rPr>
      </w:pPr>
    </w:p>
    <w:p>
      <w:pPr>
        <w:ind w:right="260" w:firstLine="225"/>
        <w:spacing w:after="0" w:line="279" w:lineRule="auto"/>
        <w:rPr>
          <w:sz w:val="20"/>
          <w:szCs w:val="20"/>
          <w:color w:val="auto"/>
        </w:rPr>
      </w:pPr>
      <w:r>
        <w:rPr>
          <w:rFonts w:ascii="Arial" w:cs="Arial" w:eastAsia="Arial" w:hAnsi="Arial"/>
          <w:sz w:val="17"/>
          <w:szCs w:val="17"/>
          <w:color w:val="auto"/>
        </w:rPr>
        <w:t>In December 2006, our Board of Directors approved the issuance of options to acquire a total of 20,000 shares of our common stock to two members of our Board of Directors. Each grant to acquire 10,000 shares vests in increments of 2,000 per annum over a five-year period and have an exercise price of $10.46 per share. Vested options have a term of five years from the vesting date. The market price of our common stock at the grant date was $10.46. The estimated fair market value of such option grant was approximately $40,000, based on the following assumptions: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008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340" w:type="dxa"/>
            <w:vAlign w:val="bottom"/>
          </w:tcPr>
          <w:p>
            <w:pPr>
              <w:spacing w:after="0"/>
              <w:rPr>
                <w:sz w:val="17"/>
                <w:szCs w:val="17"/>
                <w:color w:val="auto"/>
              </w:rPr>
            </w:pPr>
          </w:p>
        </w:tc>
      </w:tr>
      <w:tr>
        <w:trPr>
          <w:trHeight w:val="542"/>
        </w:trPr>
        <w:tc>
          <w:tcPr>
            <w:tcW w:w="1360" w:type="dxa"/>
            <w:vAlign w:val="bottom"/>
            <w:tcBorders>
              <w:top w:val="single" w:sz="8" w:color="0000EE"/>
            </w:tcBorders>
          </w:tcPr>
          <w:p>
            <w:pPr>
              <w:spacing w:after="0"/>
              <w:rPr>
                <w:sz w:val="24"/>
                <w:szCs w:val="24"/>
                <w:color w:val="auto"/>
              </w:rPr>
            </w:pPr>
          </w:p>
        </w:tc>
        <w:tc>
          <w:tcPr>
            <w:tcW w:w="8720" w:type="dxa"/>
            <w:vAlign w:val="bottom"/>
          </w:tcPr>
          <w:p>
            <w:pPr>
              <w:jc w:val="center"/>
              <w:spacing w:after="0"/>
              <w:rPr>
                <w:sz w:val="20"/>
                <w:szCs w:val="20"/>
                <w:color w:val="auto"/>
              </w:rPr>
            </w:pPr>
            <w:r>
              <w:rPr>
                <w:rFonts w:ascii="Arial" w:cs="Arial" w:eastAsia="Arial" w:hAnsi="Arial"/>
                <w:sz w:val="18"/>
                <w:szCs w:val="18"/>
                <w:b w:val="1"/>
                <w:bCs w:val="1"/>
                <w:color w:val="auto"/>
                <w:w w:val="99"/>
              </w:rPr>
              <w:t>CALAVO GROWERS, INC.</w:t>
            </w:r>
          </w:p>
        </w:tc>
        <w:tc>
          <w:tcPr>
            <w:tcW w:w="134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8720" w:type="dxa"/>
            <w:vAlign w:val="bottom"/>
          </w:tcPr>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(UNAUDITED)</w:t>
            </w:r>
          </w:p>
        </w:tc>
        <w:tc>
          <w:tcPr>
            <w:tcW w:w="1340" w:type="dxa"/>
            <w:vAlign w:val="bottom"/>
          </w:tcPr>
          <w:p>
            <w:pPr>
              <w:spacing w:after="0"/>
              <w:rPr>
                <w:sz w:val="20"/>
                <w:szCs w:val="20"/>
                <w:color w:val="auto"/>
              </w:rPr>
            </w:pPr>
          </w:p>
        </w:tc>
      </w:tr>
      <w:tr>
        <w:trPr>
          <w:trHeight w:val="216"/>
        </w:trPr>
        <w:tc>
          <w:tcPr>
            <w:tcW w:w="13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0080" w:type="dxa"/>
            <w:vAlign w:val="bottom"/>
            <w:gridSpan w:val="2"/>
            <w:shd w:val="clear" w:color="auto" w:fill="CCEEFF"/>
          </w:tcPr>
          <w:p>
            <w:pPr>
              <w:jc w:val="center"/>
              <w:ind w:right="7710"/>
              <w:spacing w:after="0"/>
              <w:rPr>
                <w:sz w:val="20"/>
                <w:szCs w:val="20"/>
                <w:color w:val="auto"/>
              </w:rPr>
            </w:pPr>
            <w:r>
              <w:rPr>
                <w:rFonts w:ascii="Arial" w:cs="Arial" w:eastAsia="Arial" w:hAnsi="Arial"/>
                <w:sz w:val="18"/>
                <w:szCs w:val="18"/>
                <w:color w:val="auto"/>
                <w:w w:val="93"/>
              </w:rPr>
              <w:t>Expected dividend yield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10080" w:type="dxa"/>
            <w:vAlign w:val="bottom"/>
            <w:gridSpan w:val="2"/>
          </w:tcPr>
          <w:p>
            <w:pPr>
              <w:jc w:val="center"/>
              <w:ind w:right="7710"/>
              <w:spacing w:after="0"/>
              <w:rPr>
                <w:sz w:val="20"/>
                <w:szCs w:val="20"/>
                <w:color w:val="auto"/>
              </w:rPr>
            </w:pPr>
            <w:r>
              <w:rPr>
                <w:rFonts w:ascii="Arial" w:cs="Arial" w:eastAsia="Arial" w:hAnsi="Arial"/>
                <w:sz w:val="18"/>
                <w:szCs w:val="18"/>
                <w:color w:val="auto"/>
                <w:w w:val="93"/>
              </w:rPr>
              <w:t>Expected stock price volatility</w:t>
            </w:r>
          </w:p>
        </w:tc>
        <w:tc>
          <w:tcPr>
            <w:tcW w:w="1340" w:type="dxa"/>
            <w:vAlign w:val="bottom"/>
          </w:tcPr>
          <w:p>
            <w:pPr>
              <w:jc w:val="right"/>
              <w:spacing w:after="0"/>
              <w:rPr>
                <w:sz w:val="20"/>
                <w:szCs w:val="20"/>
                <w:color w:val="auto"/>
              </w:rPr>
            </w:pPr>
            <w:r>
              <w:rPr>
                <w:rFonts w:ascii="Arial" w:cs="Arial" w:eastAsia="Arial" w:hAnsi="Arial"/>
                <w:sz w:val="18"/>
                <w:szCs w:val="18"/>
                <w:color w:val="auto"/>
              </w:rPr>
              <w:t>22.19%</w:t>
            </w:r>
          </w:p>
        </w:tc>
      </w:tr>
      <w:tr>
        <w:trPr>
          <w:trHeight w:val="216"/>
        </w:trPr>
        <w:tc>
          <w:tcPr>
            <w:tcW w:w="10080" w:type="dxa"/>
            <w:vAlign w:val="bottom"/>
            <w:gridSpan w:val="2"/>
            <w:shd w:val="clear" w:color="auto" w:fill="CCEEFF"/>
          </w:tcPr>
          <w:p>
            <w:pPr>
              <w:jc w:val="center"/>
              <w:ind w:right="7690"/>
              <w:spacing w:after="0"/>
              <w:rPr>
                <w:sz w:val="20"/>
                <w:szCs w:val="20"/>
                <w:color w:val="auto"/>
              </w:rPr>
            </w:pPr>
            <w:r>
              <w:rPr>
                <w:rFonts w:ascii="Arial" w:cs="Arial" w:eastAsia="Arial" w:hAnsi="Arial"/>
                <w:sz w:val="18"/>
                <w:szCs w:val="18"/>
                <w:color w:val="auto"/>
                <w:w w:val="90"/>
              </w:rPr>
              <w:t>Risk free interest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10080" w:type="dxa"/>
            <w:vAlign w:val="bottom"/>
            <w:gridSpan w:val="2"/>
          </w:tcPr>
          <w:p>
            <w:pPr>
              <w:jc w:val="center"/>
              <w:ind w:right="7710"/>
              <w:spacing w:after="0"/>
              <w:rPr>
                <w:sz w:val="20"/>
                <w:szCs w:val="20"/>
                <w:color w:val="auto"/>
              </w:rPr>
            </w:pPr>
            <w:r>
              <w:rPr>
                <w:rFonts w:ascii="Arial" w:cs="Arial" w:eastAsia="Arial" w:hAnsi="Arial"/>
                <w:sz w:val="18"/>
                <w:szCs w:val="18"/>
                <w:color w:val="auto"/>
                <w:w w:val="91"/>
              </w:rPr>
              <w:t>Expected life (in years)</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5.5</w:t>
            </w:r>
          </w:p>
        </w:tc>
      </w:tr>
    </w:tbl>
    <w:p>
      <w:pPr>
        <w:spacing w:after="0" w:line="79"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expected stock price volatility rates are based on the historical volatility of the Company’s common stock. The risk free interest rate was based on the U.S. Treasury yield curve in effect at the time of grant for periods approximating the expected life of the option. The expected life represents the average period of time that options granted are expected to be outstanding, as calculated using the simplified method described in the Securities and Exchange Commission’s Staff Accounting Bulletin No. 107.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Information regarding our operations in different segments</w:t>
      </w:r>
    </w:p>
    <w:p>
      <w:pPr>
        <w:spacing w:after="0" w:line="121"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report our operations in two different business segments: (1) fresh products and (2) processed products. These two business segments are presented based on how information is used by our president to measure performance and allocate resources. The fresh products segment includes all operations that involve the distribution of avocados grown both inside and outside of California, as well as the distribution of other non-processed, perishable food products. The processed products segment represents all operations related to the purchase, manufacturing, and distribution of processed avocado products. Additionally, selling, general and administrative expenses, as well as other non-operating income/expense items, are evaluated by our president in the aggregate. We do not allocate assets, or specifically identify them to, our operating segments. Prior period amounts have been reclassified to conform to the current period presentation.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Fresh</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Processed</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Inter-segment</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Products</w:t>
            </w:r>
          </w:p>
        </w:tc>
        <w:tc>
          <w:tcPr>
            <w:tcW w:w="26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products</w:t>
            </w:r>
          </w:p>
        </w:tc>
        <w:tc>
          <w:tcPr>
            <w:tcW w:w="68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eliminations</w:t>
            </w:r>
          </w:p>
        </w:tc>
        <w:tc>
          <w:tcPr>
            <w:tcW w:w="4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(All amounts</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1"/>
              </w:rPr>
              <w:t>are presented</w:t>
            </w:r>
          </w:p>
        </w:tc>
        <w:tc>
          <w:tcPr>
            <w:tcW w:w="40" w:type="dxa"/>
            <w:vAlign w:val="bottom"/>
          </w:tcPr>
          <w:p>
            <w:pPr>
              <w:spacing w:after="0"/>
              <w:rPr>
                <w:sz w:val="12"/>
                <w:szCs w:val="12"/>
                <w:color w:val="auto"/>
              </w:rPr>
            </w:pPr>
          </w:p>
        </w:tc>
        <w:tc>
          <w:tcPr>
            <w:tcW w:w="8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w w:val="71"/>
              </w:rPr>
              <w:t>in thousands)</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April 30, 2007</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sales</w:t>
            </w:r>
          </w:p>
        </w:tc>
        <w:tc>
          <w:tcPr>
            <w:tcW w:w="2920" w:type="dxa"/>
            <w:vAlign w:val="bottom"/>
            <w:gridSpan w:val="5"/>
          </w:tcPr>
          <w:p>
            <w:pPr>
              <w:jc w:val="right"/>
              <w:ind w:right="20"/>
              <w:spacing w:after="0"/>
              <w:rPr>
                <w:sz w:val="20"/>
                <w:szCs w:val="20"/>
                <w:color w:val="auto"/>
              </w:rPr>
            </w:pPr>
            <w:r>
              <w:rPr>
                <w:rFonts w:ascii="Arial" w:cs="Arial" w:eastAsia="Arial" w:hAnsi="Arial"/>
                <w:sz w:val="18"/>
                <w:szCs w:val="18"/>
                <w:color w:val="auto"/>
              </w:rPr>
              <w:t>$ 114,697</w:t>
            </w:r>
          </w:p>
        </w:tc>
        <w:tc>
          <w:tcPr>
            <w:tcW w:w="2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0"/>
              </w:rPr>
              <w:t>22,004</w:t>
            </w:r>
          </w:p>
        </w:tc>
        <w:tc>
          <w:tcPr>
            <w:tcW w:w="64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(10,224)</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126,477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9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104,757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15,785</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(10,224)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110,318</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Gross margin</w:t>
            </w:r>
          </w:p>
        </w:tc>
        <w:tc>
          <w:tcPr>
            <w:tcW w:w="22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6,219</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Fresh</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Processed</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Inter-segment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Products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rPr>
              <w:t>products</w:t>
            </w:r>
          </w:p>
        </w:tc>
        <w:tc>
          <w:tcPr>
            <w:tcW w:w="40" w:type="dxa"/>
            <w:vAlign w:val="bottom"/>
          </w:tcPr>
          <w:p>
            <w:pPr>
              <w:spacing w:after="0"/>
              <w:rPr>
                <w:sz w:val="14"/>
                <w:szCs w:val="14"/>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April 30, 2006</w:t>
            </w:r>
          </w:p>
        </w:tc>
        <w:tc>
          <w:tcPr>
            <w:tcW w:w="22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sales</w:t>
            </w:r>
          </w:p>
        </w:tc>
        <w:tc>
          <w:tcPr>
            <w:tcW w:w="2920" w:type="dxa"/>
            <w:vAlign w:val="bottom"/>
            <w:gridSpan w:val="5"/>
          </w:tcPr>
          <w:p>
            <w:pPr>
              <w:jc w:val="right"/>
              <w:ind w:right="20"/>
              <w:spacing w:after="0"/>
              <w:rPr>
                <w:sz w:val="20"/>
                <w:szCs w:val="20"/>
                <w:color w:val="auto"/>
              </w:rPr>
            </w:pPr>
            <w:r>
              <w:rPr>
                <w:rFonts w:ascii="Arial" w:cs="Arial" w:eastAsia="Arial" w:hAnsi="Arial"/>
                <w:sz w:val="18"/>
                <w:szCs w:val="18"/>
                <w:color w:val="auto"/>
              </w:rPr>
              <w:t>$ 106,964</w:t>
            </w:r>
          </w:p>
        </w:tc>
        <w:tc>
          <w:tcPr>
            <w:tcW w:w="2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0"/>
              </w:rPr>
              <w:t>19,992</w:t>
            </w:r>
          </w:p>
        </w:tc>
        <w:tc>
          <w:tcPr>
            <w:tcW w:w="64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(8,880)</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118,076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99,887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15,102</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(8,880)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106,109</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Gross margin</w:t>
            </w:r>
          </w:p>
        </w:tc>
        <w:tc>
          <w:tcPr>
            <w:tcW w:w="22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Fresh</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rPr>
              <w:t>Processed</w:t>
            </w:r>
          </w:p>
        </w:tc>
        <w:tc>
          <w:tcPr>
            <w:tcW w:w="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Inter-segment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Products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ind w:left="60"/>
              <w:spacing w:after="0"/>
              <w:rPr>
                <w:sz w:val="20"/>
                <w:szCs w:val="20"/>
                <w:color w:val="auto"/>
              </w:rPr>
            </w:pPr>
            <w:r>
              <w:rPr>
                <w:rFonts w:ascii="Arial" w:cs="Arial" w:eastAsia="Arial" w:hAnsi="Arial"/>
                <w:sz w:val="14"/>
                <w:szCs w:val="14"/>
                <w:b w:val="1"/>
                <w:bCs w:val="1"/>
                <w:color w:val="auto"/>
              </w:rPr>
              <w:t>products</w:t>
            </w:r>
          </w:p>
        </w:tc>
        <w:tc>
          <w:tcPr>
            <w:tcW w:w="40" w:type="dxa"/>
            <w:vAlign w:val="bottom"/>
          </w:tcPr>
          <w:p>
            <w:pPr>
              <w:spacing w:after="0"/>
              <w:rPr>
                <w:sz w:val="14"/>
                <w:szCs w:val="14"/>
                <w:color w:val="auto"/>
              </w:rPr>
            </w:pPr>
          </w:p>
        </w:tc>
        <w:tc>
          <w:tcPr>
            <w:tcW w:w="12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5"/>
              </w:rPr>
              <w:t>eliminations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April 30, 2007</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sales</w:t>
            </w:r>
          </w:p>
        </w:tc>
        <w:tc>
          <w:tcPr>
            <w:tcW w:w="2360" w:type="dxa"/>
            <w:vAlign w:val="bottom"/>
            <w:gridSpan w:val="3"/>
          </w:tcPr>
          <w:p>
            <w:pPr>
              <w:ind w:left="224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63,538</w:t>
            </w:r>
          </w:p>
        </w:tc>
        <w:tc>
          <w:tcPr>
            <w:tcW w:w="560" w:type="dxa"/>
            <w:vAlign w:val="bottom"/>
            <w:gridSpan w:val="3"/>
          </w:tcPr>
          <w:p>
            <w:pPr>
              <w:ind w:left="44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640"/>
              <w:spacing w:after="0"/>
              <w:rPr>
                <w:sz w:val="20"/>
                <w:szCs w:val="20"/>
                <w:color w:val="auto"/>
              </w:rPr>
            </w:pPr>
            <w:r>
              <w:rPr>
                <w:rFonts w:ascii="Arial" w:cs="Arial" w:eastAsia="Arial" w:hAnsi="Arial"/>
                <w:sz w:val="18"/>
                <w:szCs w:val="18"/>
                <w:color w:val="auto"/>
                <w:w w:val="98"/>
              </w:rPr>
              <w:t>11,022</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(5,376)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69,184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8"/>
              </w:rPr>
              <w:t>57,324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8,045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(5,376)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59,993</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Gross margin</w:t>
            </w:r>
          </w:p>
        </w:tc>
        <w:tc>
          <w:tcPr>
            <w:tcW w:w="22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6,214</w:t>
            </w:r>
          </w:p>
        </w:tc>
        <w:tc>
          <w:tcPr>
            <w:tcW w:w="2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2,977</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Fresh</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rPr>
              <w:t>Processed</w:t>
            </w:r>
          </w:p>
        </w:tc>
        <w:tc>
          <w:tcPr>
            <w:tcW w:w="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Inter-segment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Products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ind w:left="60"/>
              <w:spacing w:after="0"/>
              <w:rPr>
                <w:sz w:val="20"/>
                <w:szCs w:val="20"/>
                <w:color w:val="auto"/>
              </w:rPr>
            </w:pPr>
            <w:r>
              <w:rPr>
                <w:rFonts w:ascii="Arial" w:cs="Arial" w:eastAsia="Arial" w:hAnsi="Arial"/>
                <w:sz w:val="14"/>
                <w:szCs w:val="14"/>
                <w:b w:val="1"/>
                <w:bCs w:val="1"/>
                <w:color w:val="auto"/>
              </w:rPr>
              <w:t>products</w:t>
            </w:r>
          </w:p>
        </w:tc>
        <w:tc>
          <w:tcPr>
            <w:tcW w:w="40" w:type="dxa"/>
            <w:vAlign w:val="bottom"/>
          </w:tcPr>
          <w:p>
            <w:pPr>
              <w:spacing w:after="0"/>
              <w:rPr>
                <w:sz w:val="14"/>
                <w:szCs w:val="14"/>
                <w:color w:val="auto"/>
              </w:rPr>
            </w:pPr>
          </w:p>
        </w:tc>
        <w:tc>
          <w:tcPr>
            <w:tcW w:w="12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5"/>
              </w:rPr>
              <w:t>eliminations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April 30, 2006</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sales</w:t>
            </w:r>
          </w:p>
        </w:tc>
        <w:tc>
          <w:tcPr>
            <w:tcW w:w="2360" w:type="dxa"/>
            <w:vAlign w:val="bottom"/>
            <w:gridSpan w:val="3"/>
          </w:tcPr>
          <w:p>
            <w:pPr>
              <w:ind w:left="224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60,722</w:t>
            </w:r>
          </w:p>
        </w:tc>
        <w:tc>
          <w:tcPr>
            <w:tcW w:w="560" w:type="dxa"/>
            <w:vAlign w:val="bottom"/>
            <w:gridSpan w:val="3"/>
          </w:tcPr>
          <w:p>
            <w:pPr>
              <w:ind w:left="44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640"/>
              <w:spacing w:after="0"/>
              <w:rPr>
                <w:sz w:val="20"/>
                <w:szCs w:val="20"/>
                <w:color w:val="auto"/>
              </w:rPr>
            </w:pPr>
            <w:r>
              <w:rPr>
                <w:rFonts w:ascii="Arial" w:cs="Arial" w:eastAsia="Arial" w:hAnsi="Arial"/>
                <w:sz w:val="18"/>
                <w:szCs w:val="18"/>
                <w:color w:val="auto"/>
                <w:w w:val="98"/>
              </w:rPr>
              <w:t>10,712</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(4,005)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67,429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8"/>
              </w:rPr>
              <w:t>55,122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7,717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(4,005)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58,834</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Gross margin</w:t>
            </w:r>
          </w:p>
        </w:tc>
        <w:tc>
          <w:tcPr>
            <w:tcW w:w="22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5,600</w:t>
            </w:r>
          </w:p>
        </w:tc>
        <w:tc>
          <w:tcPr>
            <w:tcW w:w="2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2,995</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0" w:type="dxa"/>
            <w:vAlign w:val="bottom"/>
            <w:vMerge w:val="restart"/>
          </w:tcPr>
          <w:p>
            <w:pPr>
              <w:jc w:val="right"/>
              <w:ind w:right="47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6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sales by product category, by segment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2"/>
              </w:rPr>
              <w:t>Six months ended April 30, 2007</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Six months ended April 30, 2006</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jc w:val="center"/>
              <w:ind w:right="708"/>
              <w:spacing w:after="0" w:line="119" w:lineRule="exact"/>
              <w:rPr>
                <w:sz w:val="20"/>
                <w:szCs w:val="20"/>
                <w:color w:val="auto"/>
              </w:rPr>
            </w:pPr>
            <w:r>
              <w:rPr>
                <w:rFonts w:ascii="Arial" w:cs="Arial" w:eastAsia="Arial" w:hAnsi="Arial"/>
                <w:sz w:val="13"/>
                <w:szCs w:val="13"/>
                <w:b w:val="1"/>
                <w:bCs w:val="1"/>
                <w:color w:val="auto"/>
                <w:w w:val="95"/>
              </w:rPr>
              <w:t>Fresh</w:t>
            </w:r>
          </w:p>
        </w:tc>
        <w:tc>
          <w:tcPr>
            <w:tcW w:w="134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Processed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3"/>
            <w:vMerge w:val="restart"/>
          </w:tcPr>
          <w:p>
            <w:pPr>
              <w:jc w:val="right"/>
              <w:ind w:right="8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0"/>
                <w:szCs w:val="10"/>
                <w:color w:val="auto"/>
              </w:rPr>
            </w:pPr>
          </w:p>
        </w:tc>
        <w:tc>
          <w:tcPr>
            <w:tcW w:w="1320" w:type="dxa"/>
            <w:vAlign w:val="bottom"/>
            <w:gridSpan w:val="3"/>
          </w:tcPr>
          <w:p>
            <w:pPr>
              <w:jc w:val="right"/>
              <w:ind w:right="860"/>
              <w:spacing w:after="0" w:line="119" w:lineRule="exact"/>
              <w:rPr>
                <w:sz w:val="20"/>
                <w:szCs w:val="20"/>
                <w:color w:val="auto"/>
              </w:rPr>
            </w:pPr>
            <w:r>
              <w:rPr>
                <w:rFonts w:ascii="Arial" w:cs="Arial" w:eastAsia="Arial" w:hAnsi="Arial"/>
                <w:sz w:val="13"/>
                <w:szCs w:val="13"/>
                <w:b w:val="1"/>
                <w:bCs w:val="1"/>
                <w:color w:val="auto"/>
              </w:rPr>
              <w:t>Fresh</w:t>
            </w:r>
          </w:p>
        </w:tc>
        <w:tc>
          <w:tcPr>
            <w:tcW w:w="20" w:type="dxa"/>
            <w:vAlign w:val="bottom"/>
          </w:tcPr>
          <w:p>
            <w:pPr>
              <w:spacing w:after="0"/>
              <w:rPr>
                <w:sz w:val="10"/>
                <w:szCs w:val="10"/>
                <w:color w:val="auto"/>
              </w:rPr>
            </w:pPr>
          </w:p>
        </w:tc>
        <w:tc>
          <w:tcPr>
            <w:tcW w:w="1320" w:type="dxa"/>
            <w:vAlign w:val="bottom"/>
            <w:gridSpan w:val="4"/>
          </w:tcPr>
          <w:p>
            <w:pPr>
              <w:jc w:val="right"/>
              <w:ind w:right="700"/>
              <w:spacing w:after="0" w:line="119" w:lineRule="exact"/>
              <w:rPr>
                <w:sz w:val="20"/>
                <w:szCs w:val="20"/>
                <w:color w:val="auto"/>
              </w:rPr>
            </w:pPr>
            <w:r>
              <w:rPr>
                <w:rFonts w:ascii="Arial" w:cs="Arial" w:eastAsia="Arial" w:hAnsi="Arial"/>
                <w:sz w:val="13"/>
                <w:szCs w:val="13"/>
                <w:b w:val="1"/>
                <w:bCs w:val="1"/>
                <w:color w:val="auto"/>
                <w:w w:val="91"/>
              </w:rPr>
              <w:t>Processed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jc w:val="center"/>
              <w:ind w:right="628"/>
              <w:spacing w:after="0"/>
              <w:rPr>
                <w:sz w:val="20"/>
                <w:szCs w:val="20"/>
                <w:color w:val="auto"/>
              </w:rPr>
            </w:pPr>
            <w:r>
              <w:rPr>
                <w:rFonts w:ascii="Arial" w:cs="Arial" w:eastAsia="Arial" w:hAnsi="Arial"/>
                <w:sz w:val="14"/>
                <w:szCs w:val="14"/>
                <w:b w:val="1"/>
                <w:bCs w:val="1"/>
                <w:color w:val="auto"/>
                <w:w w:val="90"/>
              </w:rPr>
              <w:t>products</w:t>
            </w:r>
          </w:p>
        </w:tc>
        <w:tc>
          <w:tcPr>
            <w:tcW w:w="40" w:type="dxa"/>
            <w:vAlign w:val="bottom"/>
          </w:tcPr>
          <w:p>
            <w:pPr>
              <w:spacing w:after="0"/>
              <w:rPr>
                <w:sz w:val="14"/>
                <w:szCs w:val="14"/>
                <w:color w:val="auto"/>
              </w:rPr>
            </w:pPr>
          </w:p>
        </w:tc>
        <w:tc>
          <w:tcPr>
            <w:tcW w:w="130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0"/>
              </w:rPr>
              <w:t>products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0"/>
              </w:rPr>
              <w:t>products</w:t>
            </w:r>
          </w:p>
        </w:tc>
        <w:tc>
          <w:tcPr>
            <w:tcW w:w="20" w:type="dxa"/>
            <w:vAlign w:val="bottom"/>
          </w:tcPr>
          <w:p>
            <w:pPr>
              <w:spacing w:after="0"/>
              <w:rPr>
                <w:sz w:val="14"/>
                <w:szCs w:val="14"/>
                <w:color w:val="auto"/>
              </w:rPr>
            </w:pP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rPr>
              <w:t>products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Third-party sales:</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California avocados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21,865</w:t>
            </w:r>
          </w:p>
        </w:tc>
        <w:tc>
          <w:tcPr>
            <w:tcW w:w="6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w w:val="90"/>
              </w:rPr>
              <w:t>$  21,865</w:t>
            </w:r>
          </w:p>
        </w:tc>
        <w:tc>
          <w:tcPr>
            <w:tcW w:w="6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0"/>
              </w:rPr>
              <w:t>$  44,707</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44,707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Imported avocados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60,821</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60,821</w:t>
            </w:r>
          </w:p>
        </w:tc>
        <w:tc>
          <w:tcPr>
            <w:tcW w:w="6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34,982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Papayas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2,460</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2,460</w:t>
            </w:r>
          </w:p>
        </w:tc>
        <w:tc>
          <w:tcPr>
            <w:tcW w:w="6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2,591</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Diversified products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10,703</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10,703</w:t>
            </w:r>
          </w:p>
        </w:tc>
        <w:tc>
          <w:tcPr>
            <w:tcW w:w="6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Processed — food service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60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17,019</w:t>
            </w:r>
          </w:p>
        </w:tc>
        <w:tc>
          <w:tcPr>
            <w:tcW w:w="60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17,019</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15,699</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15,699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Processed — retail and club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5,111</w:t>
            </w:r>
          </w:p>
        </w:tc>
        <w:tc>
          <w:tcPr>
            <w:tcW w:w="6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5,111</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4,677</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fruit and product sales to third-parties</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95,849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22,130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117,979</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87,254</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20,376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Freight and other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12,248</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w:t>
            </w:r>
          </w:p>
        </w:tc>
        <w:tc>
          <w:tcPr>
            <w:tcW w:w="6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12,556</w:t>
            </w:r>
          </w:p>
        </w:tc>
        <w:tc>
          <w:tcPr>
            <w:tcW w:w="6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13,758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14,044</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third-party sales</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108,097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22,438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130,535</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101,012</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20,662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Less sales incentives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(4,041)</w:t>
            </w:r>
          </w:p>
        </w:tc>
        <w:tc>
          <w:tcPr>
            <w:tcW w:w="60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(4,058)</w:t>
            </w:r>
          </w:p>
        </w:tc>
        <w:tc>
          <w:tcPr>
            <w:tcW w:w="13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(3,599)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net sales to third-parties</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108,080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18,397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126,477</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100,973</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17,103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118,076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6,617</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3,607</w:t>
            </w:r>
          </w:p>
        </w:tc>
        <w:tc>
          <w:tcPr>
            <w:tcW w:w="6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10,224</w:t>
            </w:r>
          </w:p>
        </w:tc>
        <w:tc>
          <w:tcPr>
            <w:tcW w:w="6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2,889</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8,880</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Net sales before eliminations</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114,697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$ 22,004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136,701</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$ 106,964</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$ 19,992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126,956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 eliminations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(10,224)</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(8,880)</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Consolidated net sales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2"/>
              </w:rPr>
              <w:t>$ 126,477</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2"/>
          </w:tcPr>
          <w:p>
            <w:pPr>
              <w:jc w:val="center"/>
              <w:ind w:right="100"/>
              <w:spacing w:after="0"/>
              <w:rPr>
                <w:sz w:val="20"/>
                <w:szCs w:val="20"/>
                <w:color w:val="auto"/>
              </w:rPr>
            </w:pPr>
            <w:r>
              <w:rPr>
                <w:rFonts w:ascii="Arial" w:cs="Arial" w:eastAsia="Arial" w:hAnsi="Arial"/>
                <w:sz w:val="14"/>
                <w:szCs w:val="14"/>
                <w:b w:val="1"/>
                <w:bCs w:val="1"/>
                <w:color w:val="auto"/>
                <w:w w:val="93"/>
              </w:rPr>
              <w:t>Three months ended April 30, 2007</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Three months ended April 30, 2006</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jc w:val="center"/>
              <w:ind w:right="688"/>
              <w:spacing w:after="0" w:line="119" w:lineRule="exact"/>
              <w:rPr>
                <w:sz w:val="20"/>
                <w:szCs w:val="20"/>
                <w:color w:val="auto"/>
              </w:rPr>
            </w:pPr>
            <w:r>
              <w:rPr>
                <w:rFonts w:ascii="Arial" w:cs="Arial" w:eastAsia="Arial" w:hAnsi="Arial"/>
                <w:sz w:val="13"/>
                <w:szCs w:val="13"/>
                <w:b w:val="1"/>
                <w:bCs w:val="1"/>
                <w:color w:val="auto"/>
              </w:rPr>
              <w:t>Fresh</w:t>
            </w:r>
          </w:p>
        </w:tc>
        <w:tc>
          <w:tcPr>
            <w:tcW w:w="40" w:type="dxa"/>
            <w:vAlign w:val="bottom"/>
          </w:tcPr>
          <w:p>
            <w:pPr>
              <w:spacing w:after="0"/>
              <w:rPr>
                <w:sz w:val="10"/>
                <w:szCs w:val="10"/>
                <w:color w:val="auto"/>
              </w:rPr>
            </w:pPr>
          </w:p>
        </w:tc>
        <w:tc>
          <w:tcPr>
            <w:tcW w:w="1300" w:type="dxa"/>
            <w:vAlign w:val="bottom"/>
            <w:gridSpan w:val="4"/>
          </w:tcPr>
          <w:p>
            <w:pPr>
              <w:jc w:val="center"/>
              <w:ind w:right="620"/>
              <w:spacing w:after="0" w:line="119" w:lineRule="exact"/>
              <w:rPr>
                <w:sz w:val="20"/>
                <w:szCs w:val="20"/>
                <w:color w:val="auto"/>
              </w:rPr>
            </w:pPr>
            <w:r>
              <w:rPr>
                <w:rFonts w:ascii="Arial" w:cs="Arial" w:eastAsia="Arial" w:hAnsi="Arial"/>
                <w:sz w:val="13"/>
                <w:szCs w:val="13"/>
                <w:b w:val="1"/>
                <w:bCs w:val="1"/>
                <w:color w:val="auto"/>
                <w:w w:val="91"/>
              </w:rPr>
              <w:t>Processed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3"/>
            <w:vMerge w:val="restart"/>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0"/>
                <w:szCs w:val="10"/>
                <w:color w:val="auto"/>
              </w:rPr>
            </w:pPr>
          </w:p>
        </w:tc>
        <w:tc>
          <w:tcPr>
            <w:tcW w:w="1320" w:type="dxa"/>
            <w:vAlign w:val="bottom"/>
            <w:gridSpan w:val="3"/>
          </w:tcPr>
          <w:p>
            <w:pPr>
              <w:jc w:val="right"/>
              <w:ind w:right="820"/>
              <w:spacing w:after="0" w:line="119" w:lineRule="exact"/>
              <w:rPr>
                <w:sz w:val="20"/>
                <w:szCs w:val="20"/>
                <w:color w:val="auto"/>
              </w:rPr>
            </w:pPr>
            <w:r>
              <w:rPr>
                <w:rFonts w:ascii="Arial" w:cs="Arial" w:eastAsia="Arial" w:hAnsi="Arial"/>
                <w:sz w:val="13"/>
                <w:szCs w:val="13"/>
                <w:b w:val="1"/>
                <w:bCs w:val="1"/>
                <w:color w:val="auto"/>
              </w:rPr>
              <w:t>Fresh</w:t>
            </w:r>
          </w:p>
        </w:tc>
        <w:tc>
          <w:tcPr>
            <w:tcW w:w="20" w:type="dxa"/>
            <w:vAlign w:val="bottom"/>
          </w:tcPr>
          <w:p>
            <w:pPr>
              <w:spacing w:after="0"/>
              <w:rPr>
                <w:sz w:val="10"/>
                <w:szCs w:val="10"/>
                <w:color w:val="auto"/>
              </w:rPr>
            </w:pPr>
          </w:p>
        </w:tc>
        <w:tc>
          <w:tcPr>
            <w:tcW w:w="132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Processed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jc w:val="center"/>
              <w:ind w:right="588"/>
              <w:spacing w:after="0"/>
              <w:rPr>
                <w:sz w:val="20"/>
                <w:szCs w:val="20"/>
                <w:color w:val="auto"/>
              </w:rPr>
            </w:pPr>
            <w:r>
              <w:rPr>
                <w:rFonts w:ascii="Arial" w:cs="Arial" w:eastAsia="Arial" w:hAnsi="Arial"/>
                <w:sz w:val="14"/>
                <w:szCs w:val="14"/>
                <w:b w:val="1"/>
                <w:bCs w:val="1"/>
                <w:color w:val="auto"/>
                <w:w w:val="90"/>
              </w:rPr>
              <w:t>products</w:t>
            </w:r>
          </w:p>
        </w:tc>
        <w:tc>
          <w:tcPr>
            <w:tcW w:w="40" w:type="dxa"/>
            <w:vAlign w:val="bottom"/>
          </w:tcPr>
          <w:p>
            <w:pPr>
              <w:spacing w:after="0"/>
              <w:rPr>
                <w:sz w:val="14"/>
                <w:szCs w:val="14"/>
                <w:color w:val="auto"/>
              </w:rPr>
            </w:pPr>
          </w:p>
        </w:tc>
        <w:tc>
          <w:tcPr>
            <w:tcW w:w="130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0"/>
              </w:rPr>
              <w:t>products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6"/>
              </w:rPr>
              <w:t>products</w:t>
            </w:r>
          </w:p>
        </w:tc>
        <w:tc>
          <w:tcPr>
            <w:tcW w:w="20" w:type="dxa"/>
            <w:vAlign w:val="bottom"/>
          </w:tcPr>
          <w:p>
            <w:pPr>
              <w:spacing w:after="0"/>
              <w:rPr>
                <w:sz w:val="14"/>
                <w:szCs w:val="14"/>
                <w:color w:val="auto"/>
              </w:rPr>
            </w:pPr>
          </w:p>
        </w:tc>
        <w:tc>
          <w:tcPr>
            <w:tcW w:w="13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products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Third-party sales: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California avocados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588"/>
              <w:spacing w:after="0"/>
              <w:rPr>
                <w:sz w:val="20"/>
                <w:szCs w:val="20"/>
                <w:color w:val="auto"/>
              </w:rPr>
            </w:pPr>
            <w:r>
              <w:rPr>
                <w:rFonts w:ascii="Arial" w:cs="Arial" w:eastAsia="Arial" w:hAnsi="Arial"/>
                <w:sz w:val="18"/>
                <w:szCs w:val="18"/>
                <w:color w:val="auto"/>
              </w:rPr>
              <w:t>12,602</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5"/>
          </w:tcPr>
          <w:p>
            <w:pPr>
              <w:jc w:val="right"/>
              <w:ind w:right="620"/>
              <w:spacing w:after="0"/>
              <w:rPr>
                <w:sz w:val="20"/>
                <w:szCs w:val="20"/>
                <w:color w:val="auto"/>
              </w:rPr>
            </w:pPr>
            <w:r>
              <w:rPr>
                <w:rFonts w:ascii="Arial" w:cs="Arial" w:eastAsia="Arial" w:hAnsi="Arial"/>
                <w:sz w:val="18"/>
                <w:szCs w:val="18"/>
                <w:color w:val="auto"/>
              </w:rPr>
              <w:t>$ 12,602</w:t>
            </w:r>
          </w:p>
        </w:tc>
        <w:tc>
          <w:tcPr>
            <w:tcW w:w="1380" w:type="dxa"/>
            <w:vAlign w:val="bottom"/>
            <w:gridSpan w:val="4"/>
          </w:tcPr>
          <w:p>
            <w:pPr>
              <w:jc w:val="right"/>
              <w:ind w:right="640"/>
              <w:spacing w:after="0"/>
              <w:rPr>
                <w:sz w:val="20"/>
                <w:szCs w:val="20"/>
                <w:color w:val="auto"/>
              </w:rPr>
            </w:pPr>
            <w:r>
              <w:rPr>
                <w:rFonts w:ascii="Arial" w:cs="Arial" w:eastAsia="Arial" w:hAnsi="Arial"/>
                <w:sz w:val="18"/>
                <w:szCs w:val="18"/>
                <w:color w:val="auto"/>
              </w:rPr>
              <w:t>$ 35,049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35,049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Imported avocados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32,658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32,658</w:t>
            </w:r>
          </w:p>
        </w:tc>
        <w:tc>
          <w:tcPr>
            <w:tcW w:w="138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11,395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Papayas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588"/>
              <w:spacing w:after="0"/>
              <w:rPr>
                <w:sz w:val="20"/>
                <w:szCs w:val="20"/>
                <w:color w:val="auto"/>
              </w:rPr>
            </w:pPr>
            <w:r>
              <w:rPr>
                <w:rFonts w:ascii="Arial" w:cs="Arial" w:eastAsia="Arial" w:hAnsi="Arial"/>
                <w:sz w:val="18"/>
                <w:szCs w:val="18"/>
                <w:color w:val="auto"/>
              </w:rPr>
              <w:t>1,325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5"/>
          </w:tcPr>
          <w:p>
            <w:pPr>
              <w:jc w:val="right"/>
              <w:ind w:right="620"/>
              <w:spacing w:after="0"/>
              <w:rPr>
                <w:sz w:val="20"/>
                <w:szCs w:val="20"/>
                <w:color w:val="auto"/>
              </w:rPr>
            </w:pPr>
            <w:r>
              <w:rPr>
                <w:rFonts w:ascii="Arial" w:cs="Arial" w:eastAsia="Arial" w:hAnsi="Arial"/>
                <w:sz w:val="18"/>
                <w:szCs w:val="18"/>
                <w:color w:val="auto"/>
              </w:rPr>
              <w:t>1,325</w:t>
            </w:r>
          </w:p>
        </w:tc>
        <w:tc>
          <w:tcPr>
            <w:tcW w:w="1380" w:type="dxa"/>
            <w:vAlign w:val="bottom"/>
            <w:gridSpan w:val="4"/>
          </w:tcPr>
          <w:p>
            <w:pPr>
              <w:jc w:val="right"/>
              <w:ind w:right="640"/>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Diversified products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6,853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6,853</w:t>
            </w:r>
          </w:p>
        </w:tc>
        <w:tc>
          <w:tcPr>
            <w:tcW w:w="138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2,569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Processed — food service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58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9,087</w:t>
            </w:r>
          </w:p>
        </w:tc>
        <w:tc>
          <w:tcPr>
            <w:tcW w:w="1380" w:type="dxa"/>
            <w:vAlign w:val="bottom"/>
            <w:gridSpan w:val="5"/>
          </w:tcPr>
          <w:p>
            <w:pPr>
              <w:jc w:val="right"/>
              <w:ind w:right="620"/>
              <w:spacing w:after="0"/>
              <w:rPr>
                <w:sz w:val="20"/>
                <w:szCs w:val="20"/>
                <w:color w:val="auto"/>
              </w:rPr>
            </w:pPr>
            <w:r>
              <w:rPr>
                <w:rFonts w:ascii="Arial" w:cs="Arial" w:eastAsia="Arial" w:hAnsi="Arial"/>
                <w:sz w:val="18"/>
                <w:szCs w:val="18"/>
                <w:color w:val="auto"/>
              </w:rPr>
              <w:t>9,087</w:t>
            </w:r>
          </w:p>
        </w:tc>
        <w:tc>
          <w:tcPr>
            <w:tcW w:w="6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8"/>
                <w:szCs w:val="18"/>
                <w:color w:val="auto"/>
              </w:rPr>
              <w:t>8,364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8,364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Processed — retail and club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2,251</w:t>
            </w:r>
          </w:p>
        </w:tc>
        <w:tc>
          <w:tcPr>
            <w:tcW w:w="138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2,251</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2,346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fruit and product sales to third-parties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53,438</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11,338</w:t>
            </w:r>
          </w:p>
        </w:tc>
        <w:tc>
          <w:tcPr>
            <w:tcW w:w="6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64,776</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50,337</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10,710</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Freight and other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6,528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169</w:t>
            </w:r>
          </w:p>
        </w:tc>
        <w:tc>
          <w:tcPr>
            <w:tcW w:w="138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6,697</w:t>
            </w:r>
          </w:p>
        </w:tc>
        <w:tc>
          <w:tcPr>
            <w:tcW w:w="138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7,911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8,061</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third-party sales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59,966</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11,507</w:t>
            </w:r>
          </w:p>
        </w:tc>
        <w:tc>
          <w:tcPr>
            <w:tcW w:w="6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71,473</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58,248</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10,860</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Less sales incentives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(2,282)</w:t>
            </w:r>
          </w:p>
        </w:tc>
        <w:tc>
          <w:tcPr>
            <w:tcW w:w="138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(2,289)</w:t>
            </w:r>
          </w:p>
        </w:tc>
        <w:tc>
          <w:tcPr>
            <w:tcW w:w="13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(1,646)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net sales to third-parties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59,959</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9,225</w:t>
            </w:r>
          </w:p>
        </w:tc>
        <w:tc>
          <w:tcPr>
            <w:tcW w:w="6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69,184</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58,215</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9,214</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3,579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1,797</w:t>
            </w:r>
          </w:p>
        </w:tc>
        <w:tc>
          <w:tcPr>
            <w:tcW w:w="138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5,376</w:t>
            </w:r>
          </w:p>
        </w:tc>
        <w:tc>
          <w:tcPr>
            <w:tcW w:w="138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2,507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1,498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Net sales before eliminations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63,538</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11,022</w:t>
            </w:r>
          </w:p>
        </w:tc>
        <w:tc>
          <w:tcPr>
            <w:tcW w:w="6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74,560</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$ 60,722</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$ 10,712</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 eliminations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(5,376)</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Consolidated net sales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$ 69,184</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April 30,</w:t>
            </w:r>
          </w:p>
        </w:tc>
        <w:tc>
          <w:tcPr>
            <w:tcW w:w="6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r>
      <w:tr>
        <w:trPr>
          <w:trHeight w:val="171"/>
        </w:trPr>
        <w:tc>
          <w:tcPr>
            <w:tcW w:w="9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8,341</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4,961</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2,906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2,380</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Finished processed foods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w:t>
            </w:r>
          </w:p>
        </w:tc>
      </w:tr>
      <w:tr>
        <w:trPr>
          <w:trHeight w:val="223"/>
        </w:trPr>
        <w:tc>
          <w:tcPr>
            <w:tcW w:w="9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14,962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10,569</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40" w:firstLine="225"/>
        <w:spacing w:after="0" w:line="277" w:lineRule="auto"/>
        <w:rPr>
          <w:sz w:val="20"/>
          <w:szCs w:val="20"/>
          <w:color w:val="auto"/>
        </w:rPr>
      </w:pPr>
      <w:r>
        <w:rPr>
          <w:rFonts w:ascii="Arial" w:cs="Arial" w:eastAsia="Arial" w:hAnsi="Arial"/>
          <w:sz w:val="18"/>
          <w:szCs w:val="18"/>
          <w:color w:val="auto"/>
        </w:rPr>
        <w:t>During the three and six month periods ended April 30, 2007 and 2006, we were not required to, and did not, record any provisions to reduce our inventories to the lower of cost or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121"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We sell papayas obtained from an entity owned by our Chairman of the Board of Directors, Chief Executive Officer and President. Sales of papayas procured from the related entity amounted to approximately $2,460,000, and $2,591,000 for the six months ended April 30, 2007 and 2006, resulting in gross margins of approximately $218,000 and $203,000. Sales of papayas procured from the related entity amounted to approximately $1,326,000, and $1,324,000 for the three months ended April 30, 2007 and 2006, resulting in gross margins of approximately $126,000 and $90,000. Included in accrued liabilities are approximately $385,000 and $79,000 at April 30, 2007 and October 31, 2006 due to this entity.</w:t>
      </w:r>
    </w:p>
    <w:p>
      <w:pPr>
        <w:spacing w:after="0" w:line="64"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Certain members of our Board of Directors market avocados through Calavo pursuant to marketing agreements substantially similar to the marketing agreements that we enter into with other growers. During the three months ended April 30, 2007 and 2006, the aggregate amount of avocados procured from entities owned or controlled by members of our Board of Directors was $1.2 million and $4.5 million. During the six months ended April 30, 2007 and 2006, the aggregate amount of avocados procured from entities owned or controlled by members of our Board of Directors was $2.4 million and $6.2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assets</w:t>
      </w:r>
    </w:p>
    <w:p>
      <w:pPr>
        <w:spacing w:after="0" w:line="121"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At April 30, 2007, other assets in the accompanying consolidated condensed financial statements included the following intangible assets: customer-related intangibles of $590,000 (accumulated amortization of $386,000) and brand name intangibles of $275,000. The customer-related intangibles are being amortized over five years. The intangible asset related to the brand name currently has an indefinite remaining useful life and, as a result, is not currently subject to amortization. We anticipate recording amortization expense of approximately $59,000 for the remainder of fiscal 2007 and approximately $118,000 per annum for fiscal 2008, with the remaining amortization expense of approximately $27,000 recorded in fiscal 2009.</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November 2001, our Board of Directors approved two stock-based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Directors Stock Option Plan</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Participation in the directors stock option plan is limited to members of our Board of Directors. The plan makes available to the Board of Directors, or a plan administrator, the right to grant options to purchase up to 3,000,000 shares of common stock. In connection with the adoption of the plan, the Board of Directors approved an award of fully vested options to purchase 1,240,000 shares of common stock at an exercise price of $5.00 per share. We terminated this plan during the third quarter of fiscal 2007. Outstanding options have not been impacted by such termination.</w:t>
      </w:r>
    </w:p>
    <w:p>
      <w:pPr>
        <w:spacing w:after="0" w:line="6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December 2003, our Board of Directors approved the issuance of options to acquire a total of 50,000 shares of our common stock to two members of our Board of Directors. Each option to acquire 25,000 shares vests in substantially equal installments over a three-year period, has an exercise price of $7.00 per share, and has a term of five years from the grant date. The market price of our common stock at the grant date was $10.01. In December 2005, the related stock option agreements were modified to shorten the option terms, as defined. Such modifications were contemplated primarily as a result of Section 409A of the tax code. During the six months ended April 30, 2007 and 2006, we recognized approximately $12,000 and $13,000 of compensation expense with respect to these stock option awards. No compensation expense was recorded in our second fiscal quarter of 2007 related to these stock options.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stock option activity follows (in thousands, except for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 Shares</w:t>
            </w:r>
          </w:p>
        </w:tc>
        <w:tc>
          <w:tcPr>
            <w:tcW w:w="3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6940" w:type="dxa"/>
            <w:vAlign w:val="bottom"/>
            <w:vMerge w:val="restart"/>
          </w:tcPr>
          <w:p>
            <w:pPr>
              <w:spacing w:after="0"/>
              <w:rPr>
                <w:sz w:val="20"/>
                <w:szCs w:val="20"/>
                <w:color w:val="auto"/>
              </w:rPr>
            </w:pPr>
            <w:r>
              <w:rPr>
                <w:rFonts w:ascii="Arial" w:cs="Arial" w:eastAsia="Arial" w:hAnsi="Arial"/>
                <w:sz w:val="18"/>
                <w:szCs w:val="18"/>
                <w:color w:val="auto"/>
              </w:rPr>
              <w:t>Outstanding at October 31, 2006 and April 30, 2007</w:t>
            </w:r>
          </w:p>
        </w:tc>
        <w:tc>
          <w:tcPr>
            <w:tcW w:w="14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240" w:type="dxa"/>
            <w:vAlign w:val="bottom"/>
            <w:gridSpan w:val="4"/>
          </w:tcPr>
          <w:p>
            <w:pPr>
              <w:ind w:left="30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Exercisable at April 30, 2007</w:t>
            </w: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vMerge w:val="restart"/>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7.00</w:t>
            </w:r>
          </w:p>
        </w:tc>
        <w:tc>
          <w:tcPr>
            <w:tcW w:w="4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firstLine="222"/>
        <w:spacing w:after="0" w:line="277" w:lineRule="auto"/>
        <w:rPr>
          <w:sz w:val="20"/>
          <w:szCs w:val="20"/>
          <w:color w:val="auto"/>
        </w:rPr>
      </w:pPr>
      <w:r>
        <w:rPr>
          <w:rFonts w:ascii="Arial" w:cs="Arial" w:eastAsia="Arial" w:hAnsi="Arial"/>
          <w:sz w:val="18"/>
          <w:szCs w:val="18"/>
          <w:color w:val="auto"/>
        </w:rPr>
        <w:t>The weighted average remaining life of such outstanding options is 1.64 years. The total fair value of shares vested during the six months ended April 30, 2007 was approximately $235,000.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Employee Stock Purchase Plan</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employee stock purchase plan was approved by our Board of Directors and shareholders. Participation in the employee stock purchase plan is limited to employees. The plan provides the Board of Directors, or a plan administrator, the right to make available up to 2,000,000 shares of common stock at a price not less than fair market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2005 Stock Incentive Plan</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2005 Stock Incentive Plan of Calavo Growers, Inc. (the “2005 Plan”) was approved by our Board of Directors and shareholders. The 2005 Plan authorizes the granting of the following types of awards to persons who are employees, officers, consultants, advisors, or directors of Calavo Growers, Inc. or any of its affiliates:</w:t>
      </w:r>
    </w:p>
    <w:p>
      <w:pPr>
        <w:spacing w:after="0" w:line="73" w:lineRule="exact"/>
        <w:rPr>
          <w:sz w:val="20"/>
          <w:szCs w:val="20"/>
          <w:color w:val="auto"/>
        </w:rPr>
      </w:pPr>
    </w:p>
    <w:p>
      <w:pPr>
        <w:ind w:left="460" w:right="520" w:hanging="452"/>
        <w:spacing w:after="0" w:line="277"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“Incentive stock options” that are intended to satisfy the requirements of Section 422 of the Internal Revenue Code of 1986, as amended, and the regulations thereunder;</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“Non-qualified stock options” that are not intended to be incentive stock options;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Shares of common stock that are subject to specified restrictions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103"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Subject to the adjustment provisions of the 2005 Plan that are applicable in the event of a stock dividend, stock split, reverse stock split or similar transaction, up to 2,500,000 shares of common stock may be issued under the 2005 Plan and no person shall be granted awards under the 2005 Plan during any 12-month period that cover more then 500,000 shares of common stock.</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stock option activity follows (in thousands, except for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Number of Shares</w:t>
            </w:r>
          </w:p>
        </w:tc>
        <w:tc>
          <w:tcPr>
            <w:tcW w:w="2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320" w:type="dxa"/>
            <w:vAlign w:val="bottom"/>
            <w:gridSpan w:val="4"/>
          </w:tcPr>
          <w:p>
            <w:pPr>
              <w:ind w:left="3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2006</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Outstanding at April 30, 2007</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34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9.17</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April 30, 2007</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80" w:firstLine="222"/>
        <w:spacing w:after="0" w:line="286" w:lineRule="auto"/>
        <w:rPr>
          <w:sz w:val="20"/>
          <w:szCs w:val="20"/>
          <w:color w:val="auto"/>
        </w:rPr>
      </w:pPr>
      <w:r>
        <w:rPr>
          <w:rFonts w:ascii="Arial" w:cs="Arial" w:eastAsia="Arial" w:hAnsi="Arial"/>
          <w:sz w:val="17"/>
          <w:szCs w:val="17"/>
          <w:color w:val="auto"/>
        </w:rPr>
        <w:t>The weighted average remaining life of such outstanding options is 3.53 years and the estimated fair market value per share granted during the six-months ended April 30, 2007 was approximately $2.06 per share. At April 30, 2007, the total unrecognized compensation cost related to such unvested stock options awards was approximately $38,000, which is expected to be recognized over the remaining period of approximately five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w:t>
      </w:r>
    </w:p>
    <w:p>
      <w:pPr>
        <w:spacing w:after="0" w:line="117" w:lineRule="exact"/>
        <w:rPr>
          <w:sz w:val="20"/>
          <w:szCs w:val="20"/>
          <w:color w:val="auto"/>
        </w:rPr>
      </w:pPr>
    </w:p>
    <w:p>
      <w:pPr>
        <w:ind w:right="760" w:firstLine="225"/>
        <w:spacing w:after="0" w:line="342" w:lineRule="auto"/>
        <w:rPr>
          <w:sz w:val="20"/>
          <w:szCs w:val="20"/>
          <w:color w:val="auto"/>
        </w:rPr>
      </w:pPr>
      <w:r>
        <w:rPr>
          <w:rFonts w:ascii="Arial" w:cs="Arial" w:eastAsia="Arial" w:hAnsi="Arial"/>
          <w:sz w:val="16"/>
          <w:szCs w:val="16"/>
          <w:color w:val="auto"/>
        </w:rPr>
        <w:t>In January 2007, we paid a $0.32 per share dividend in the aggregate amount of $4.6 million to shareholders of record on December 15, 2006. In January 2006, we paid a $0.32 per share dividend in the aggregate amount of $4.6 million to shareholders of record on December 15,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Advances to suppliers</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Included in accrued expenses at April 30, 2007 are payables to foreign tomato growers totaling approximately $7.1 million. Additionally, we have receivables from such growers totaling approximately $5.7 million, included in Advances to Suppliers, at April 30, 2007. No corresponding amounts existed at April 30,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300" w:firstLine="225"/>
        <w:spacing w:after="0" w:line="273" w:lineRule="auto"/>
        <w:rPr>
          <w:sz w:val="20"/>
          <w:szCs w:val="20"/>
          <w:color w:val="auto"/>
        </w:rPr>
      </w:pPr>
      <w:r>
        <w:rPr>
          <w:rFonts w:ascii="Arial" w:cs="Arial" w:eastAsia="Arial" w:hAnsi="Arial"/>
          <w:sz w:val="17"/>
          <w:szCs w:val="17"/>
          <w:i w:val="1"/>
          <w:iCs w:val="1"/>
          <w:color w:val="auto"/>
        </w:rPr>
        <w:t xml:space="preserve">Hacienda Suit </w:t>
      </w:r>
      <w:r>
        <w:rPr>
          <w:rFonts w:ascii="Arial" w:cs="Arial" w:eastAsia="Arial" w:hAnsi="Arial"/>
          <w:sz w:val="17"/>
          <w:szCs w:val="17"/>
          <w:color w:val="auto"/>
        </w:rPr>
        <w:t>— We are currently under examination by the Mexican tax authorities (Hacienda) for the tax year ended December 31, 2000.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quarter of fiscal 2005, we received an assessment totaling approximately $2.0 million from Hacienda related to the amount of income at our Mexican subsidiary. Subsequent to that initial assessment, the Hacienda offered a settlement of approximately $400,000, which we declined. Based primarily on discussions with legal counsel and the evaluation of our claim, we maintain our belief that the Hacienda’s position has no merit and that we will prevail. Accordingly, no amounts have been provided in the financial statements as of April 30, 2007. We pledged our processed products building located in Uruapan, Michoacan, Mexico as collateral to the Hacienda in regards to this assessment.</w:t>
      </w:r>
    </w:p>
    <w:p>
      <w:pPr>
        <w:spacing w:after="0" w:line="70"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i w:val="1"/>
          <w:iCs w:val="1"/>
          <w:color w:val="auto"/>
        </w:rPr>
        <w:t xml:space="preserve">Processed Products suit </w:t>
      </w:r>
      <w:r>
        <w:rPr>
          <w:rFonts w:ascii="Arial" w:cs="Arial" w:eastAsia="Arial" w:hAnsi="Arial"/>
          <w:sz w:val="18"/>
          <w:szCs w:val="18"/>
          <w:color w:val="auto"/>
        </w:rPr>
        <w:t>– During the first quarter of fiscal 2007, the Company was named defendant in a complaint filed with the Superior Court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California for the County of Los Angeles, seeking monetary damages of not less than $2.5 million stemming from packing services performed on behalf of the complainant. The initial complaint stated various allegations, including breach of contract, negligence, etc. Subsequent to that initial complaint, the court has dismissed certain allegations. We believe the charges in this case are without merit and intend to vigorously defend the litigation. Accordingly, no amounts have been provided in the financial statements as of April 30, 2007.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103"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 are also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Revolving Credit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January 2007, we converted one of our short-term, non-collateralized, revolving credit facilities into a term revolving credit agreement due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February 2010. Effective February 2007, we further amended the term and also amended the total credit available pursuant to this borrowing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revised term is now through February 2012, and the total available credit is now $15 million. Under the terms of this agreement, we are advanced funds for</w:t>
      </w:r>
    </w:p>
    <w:p>
      <w:pPr>
        <w:spacing w:after="0" w:line="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both working capital and long-term productive asset purchases. Borrowings incur interest at 6.0% at April 30, 2007. Under this credit facility, we had $7.0 million outstanding as of April 30, 2007. The credit facility contains various financial covenants, the most significant relating to working capital, tangible net worth (as defined), and Earnings Before Interest, Taxes, Depreciation and Amortization (EBITDA) (as defined). We were in compliance with all such covenants at April 30, 2007.</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year ended October 31, 2006 of Calavo Growers, Inc. (we, Calavo, or the Company). Certain prior year amounts have been reclassified to conform with the current period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w:t>
      </w:r>
    </w:p>
    <w:p>
      <w:pPr>
        <w:spacing w:after="0" w:line="117" w:lineRule="exact"/>
        <w:rPr>
          <w:sz w:val="20"/>
          <w:szCs w:val="20"/>
          <w:color w:val="auto"/>
        </w:rPr>
      </w:pPr>
    </w:p>
    <w:p>
      <w:pPr>
        <w:ind w:right="680" w:firstLine="225"/>
        <w:spacing w:after="0" w:line="342" w:lineRule="auto"/>
        <w:rPr>
          <w:sz w:val="20"/>
          <w:szCs w:val="20"/>
          <w:color w:val="auto"/>
        </w:rPr>
      </w:pPr>
      <w:r>
        <w:rPr>
          <w:rFonts w:ascii="Arial" w:cs="Arial" w:eastAsia="Arial" w:hAnsi="Arial"/>
          <w:sz w:val="16"/>
          <w:szCs w:val="16"/>
          <w:color w:val="auto"/>
        </w:rPr>
        <w:t>In January 2007, we paid a $0.32 per share dividend in the aggregate amount of $4.6 million to shareholders of record on December 15, 2006. In January 2006, we paid a $0.32 per share dividend in the aggregate amount of $4.6 million to shareholders of record on December 15,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Advances to suppliers</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Included in accrued expenses at April 30, 2007 are payables to foreign tomato growers totaling approximately $7.1 million. Additionally, we have receivables from such growers totaling approximately $5.7 million, included in Advances to Suppliers, at April 30, 2007. No corresponding amounts existed at April 30,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220" w:firstLine="225"/>
        <w:spacing w:after="0" w:line="273" w:lineRule="auto"/>
        <w:rPr>
          <w:sz w:val="20"/>
          <w:szCs w:val="20"/>
          <w:color w:val="auto"/>
        </w:rPr>
      </w:pPr>
      <w:r>
        <w:rPr>
          <w:rFonts w:ascii="Arial" w:cs="Arial" w:eastAsia="Arial" w:hAnsi="Arial"/>
          <w:sz w:val="17"/>
          <w:szCs w:val="17"/>
          <w:i w:val="1"/>
          <w:iCs w:val="1"/>
          <w:color w:val="auto"/>
        </w:rPr>
        <w:t xml:space="preserve">Hacienda Suit </w:t>
      </w:r>
      <w:r>
        <w:rPr>
          <w:rFonts w:ascii="Arial" w:cs="Arial" w:eastAsia="Arial" w:hAnsi="Arial"/>
          <w:sz w:val="17"/>
          <w:szCs w:val="17"/>
          <w:color w:val="auto"/>
        </w:rPr>
        <w:t>— We are currently under examination by the Mexican tax authorities (Hacienda) for the tax year ended December 31, 2000.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quarter of fiscal 2005, we received an assessment totaling approximately $2.0 million from Hacienda related to the amount of income at our Mexican subsidiary. Subsequent to that initial assessment, the Hacienda offered a settlement of approximately $400,000, which we declined. Based primarily on discussions with legal counsel and the evaluation of our claim, we maintain our belief that the Hacienda’s position has no merit and that we will prevail. Accordingly, no amounts have been provided in the financial statements as of April 30, 2007. We pledged our processed products building located in Uruapan, Michoacan, Mexico as collateral to the Hacienda in regards to this assessment.</w:t>
      </w:r>
    </w:p>
    <w:p>
      <w:pPr>
        <w:spacing w:after="0" w:line="7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i w:val="1"/>
          <w:iCs w:val="1"/>
          <w:color w:val="auto"/>
        </w:rPr>
        <w:t xml:space="preserve">Processed Products suit </w:t>
      </w:r>
      <w:r>
        <w:rPr>
          <w:rFonts w:ascii="Arial" w:cs="Arial" w:eastAsia="Arial" w:hAnsi="Arial"/>
          <w:sz w:val="18"/>
          <w:szCs w:val="18"/>
          <w:color w:val="auto"/>
        </w:rPr>
        <w:t>– During the first quarter of fiscal 2007, the Company was named defendant in a complaint filed with the Superior Court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California for the County of Los Angeles, seeking monetary damages of not less than $2.5 million stemming from packing services performed on behalf of the complainant. The initial complaint stated various allegations, including breach of contract, negligence, etc. Subsequent to that initial complaint, the court has dismissed certain allegations. We believe the charges in this case are without merit and intend to vigorously defend the litigation. Accordingly, no amounts have been provided in the financial statements as of April 30, 2007.</w:t>
      </w:r>
    </w:p>
    <w:p>
      <w:pPr>
        <w:spacing w:after="0" w:line="80"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We are also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Revolving Credit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January 2007, we converted one of our short-term, non-collateralized, revolving credit facilities into a term revolving credit agreement due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February 2010. Effective February 2007, we further amended the term and also amended the total credit available pursuant to this borrowing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revised term is now through February 2012, and the total available credit is now $15 million. Under the terms of this agreement, we are advanced funds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both working capital and long-term productive asset purchases. Borrowings incur interest at 6.0% at April 30, 2007. Under this credit facility, we had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$7.0 million outstanding as of April 30,</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2007. The credit facility contains various financial covenants, the most significant relating to working capital, tangible net worth (as defined), and Earnings Before Interest, Taxes, Depreciation and Amortization (EBITDA) (as defined). We were in compliance with all such covenants at April 30, 2007.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our net sales by business segment for each of the three and six month periods ended April 30, 2007 and 2006: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7"/>
              </w:rPr>
              <w:t>Three months ended April 30,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7"/>
              </w:rPr>
              <w:t>Six months ended April 30,</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Pr>
          <w:p>
            <w:pPr>
              <w:spacing w:after="0"/>
              <w:rPr>
                <w:sz w:val="12"/>
                <w:szCs w:val="12"/>
                <w:color w:val="auto"/>
              </w:rPr>
            </w:pPr>
          </w:p>
        </w:tc>
        <w:tc>
          <w:tcPr>
            <w:tcW w:w="70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jc w:val="center"/>
              <w:ind w:right="1150"/>
              <w:spacing w:after="0"/>
              <w:rPr>
                <w:sz w:val="20"/>
                <w:szCs w:val="20"/>
                <w:color w:val="auto"/>
              </w:rPr>
            </w:pPr>
            <w:r>
              <w:rPr>
                <w:rFonts w:ascii="Arial" w:cs="Arial" w:eastAsia="Arial" w:hAnsi="Arial"/>
                <w:sz w:val="18"/>
                <w:szCs w:val="18"/>
                <w:color w:val="auto"/>
                <w:w w:val="89"/>
              </w:rPr>
              <w:t>Net sales to third-parties: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59,959</w:t>
            </w:r>
          </w:p>
        </w:tc>
        <w:tc>
          <w:tcPr>
            <w:tcW w:w="2000" w:type="dxa"/>
            <w:vAlign w:val="bottom"/>
            <w:gridSpan w:val="3"/>
          </w:tcPr>
          <w:p>
            <w:pPr>
              <w:jc w:val="right"/>
              <w:ind w:right="500"/>
              <w:spacing w:after="0"/>
              <w:rPr>
                <w:sz w:val="20"/>
                <w:szCs w:val="20"/>
                <w:color w:val="auto"/>
              </w:rPr>
            </w:pPr>
            <w:r>
              <w:rPr>
                <w:rFonts w:ascii="Arial" w:cs="Arial" w:eastAsia="Arial" w:hAnsi="Arial"/>
                <w:sz w:val="18"/>
                <w:szCs w:val="18"/>
                <w:color w:val="auto"/>
              </w:rPr>
              <w:t>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58,215</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$ 108,080</w:t>
            </w:r>
          </w:p>
        </w:tc>
        <w:tc>
          <w:tcPr>
            <w:tcW w:w="120" w:type="dxa"/>
            <w:vAlign w:val="bottom"/>
          </w:tcPr>
          <w:p>
            <w:pPr>
              <w:spacing w:after="0"/>
              <w:rPr>
                <w:sz w:val="18"/>
                <w:szCs w:val="18"/>
                <w:color w:val="auto"/>
              </w:rPr>
            </w:pPr>
          </w:p>
        </w:tc>
        <w:tc>
          <w:tcPr>
            <w:tcW w:w="1880" w:type="dxa"/>
            <w:vAlign w:val="bottom"/>
            <w:gridSpan w:val="3"/>
          </w:tcPr>
          <w:p>
            <w:pPr>
              <w:jc w:val="right"/>
              <w:ind w:right="460"/>
              <w:spacing w:after="0"/>
              <w:rPr>
                <w:sz w:val="20"/>
                <w:szCs w:val="20"/>
                <w:color w:val="auto"/>
              </w:rPr>
            </w:pPr>
            <w:r>
              <w:rPr>
                <w:rFonts w:ascii="Arial" w:cs="Arial" w:eastAsia="Arial" w:hAnsi="Arial"/>
                <w:sz w:val="18"/>
                <w:szCs w:val="18"/>
                <w:color w:val="auto"/>
              </w:rPr>
              <w:t>7.0%</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$ 100,973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jc w:val="center"/>
              <w:ind w:right="1170"/>
              <w:spacing w:after="0"/>
              <w:rPr>
                <w:sz w:val="20"/>
                <w:szCs w:val="20"/>
                <w:color w:val="auto"/>
              </w:rPr>
            </w:pPr>
            <w:r>
              <w:rPr>
                <w:rFonts w:ascii="Arial" w:cs="Arial" w:eastAsia="Arial" w:hAnsi="Arial"/>
                <w:sz w:val="18"/>
                <w:szCs w:val="18"/>
                <w:color w:val="auto"/>
                <w:w w:val="86"/>
              </w:rPr>
              <w:t>Processed products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9,225</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9,214</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18,397</w:t>
            </w:r>
          </w:p>
        </w:tc>
        <w:tc>
          <w:tcPr>
            <w:tcW w:w="1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7.6%</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jc w:val="center"/>
              <w:ind w:right="1130"/>
              <w:spacing w:after="0"/>
              <w:rPr>
                <w:sz w:val="20"/>
                <w:szCs w:val="20"/>
                <w:color w:val="auto"/>
              </w:rPr>
            </w:pPr>
            <w:r>
              <w:rPr>
                <w:rFonts w:ascii="Arial" w:cs="Arial" w:eastAsia="Arial" w:hAnsi="Arial"/>
                <w:sz w:val="18"/>
                <w:szCs w:val="18"/>
                <w:color w:val="auto"/>
                <w:w w:val="87"/>
              </w:rPr>
              <w:t>Total net sales</w:t>
            </w: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69,184</w:t>
            </w:r>
          </w:p>
        </w:tc>
        <w:tc>
          <w:tcPr>
            <w:tcW w:w="20" w:type="dxa"/>
            <w:vAlign w:val="bottom"/>
            <w:tcBorders>
              <w:bottom w:val="single" w:sz="8" w:color="auto"/>
            </w:tcBorders>
          </w:tcPr>
          <w:p>
            <w:pPr>
              <w:spacing w:after="0"/>
              <w:rPr>
                <w:sz w:val="19"/>
                <w:szCs w:val="19"/>
                <w:color w:val="auto"/>
              </w:rPr>
            </w:pPr>
          </w:p>
        </w:tc>
        <w:tc>
          <w:tcPr>
            <w:tcW w:w="2000" w:type="dxa"/>
            <w:vAlign w:val="bottom"/>
            <w:gridSpan w:val="3"/>
          </w:tcPr>
          <w:p>
            <w:pPr>
              <w:jc w:val="right"/>
              <w:ind w:right="50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67,429</w:t>
            </w:r>
          </w:p>
        </w:tc>
        <w:tc>
          <w:tcPr>
            <w:tcW w:w="7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$ 126,477</w:t>
            </w:r>
          </w:p>
        </w:tc>
        <w:tc>
          <w:tcPr>
            <w:tcW w:w="120" w:type="dxa"/>
            <w:vAlign w:val="bottom"/>
          </w:tcPr>
          <w:p>
            <w:pPr>
              <w:spacing w:after="0"/>
              <w:rPr>
                <w:sz w:val="19"/>
                <w:szCs w:val="19"/>
                <w:color w:val="auto"/>
              </w:rPr>
            </w:pPr>
          </w:p>
        </w:tc>
        <w:tc>
          <w:tcPr>
            <w:tcW w:w="1880" w:type="dxa"/>
            <w:vAlign w:val="bottom"/>
            <w:gridSpan w:val="3"/>
          </w:tcPr>
          <w:p>
            <w:pPr>
              <w:jc w:val="right"/>
              <w:ind w:right="46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$ 118,076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net sales:</w:t>
            </w:r>
          </w:p>
        </w:tc>
        <w:tc>
          <w:tcPr>
            <w:tcW w:w="6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2760" w:type="dxa"/>
            <w:vAlign w:val="bottom"/>
            <w:gridSpan w:val="2"/>
          </w:tcPr>
          <w:p>
            <w:pPr>
              <w:jc w:val="right"/>
              <w:ind w:right="1940"/>
              <w:spacing w:after="0"/>
              <w:rPr>
                <w:sz w:val="20"/>
                <w:szCs w:val="20"/>
                <w:color w:val="auto"/>
              </w:rPr>
            </w:pPr>
            <w:r>
              <w:rPr>
                <w:rFonts w:ascii="Arial" w:cs="Arial" w:eastAsia="Arial" w:hAnsi="Arial"/>
                <w:sz w:val="18"/>
                <w:szCs w:val="18"/>
                <w:color w:val="auto"/>
              </w:rPr>
              <w:t>86.7%</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86.3%</w:t>
            </w:r>
          </w:p>
        </w:tc>
        <w:tc>
          <w:tcPr>
            <w:tcW w:w="2820" w:type="dxa"/>
            <w:vAlign w:val="bottom"/>
            <w:gridSpan w:val="2"/>
          </w:tcPr>
          <w:p>
            <w:pPr>
              <w:jc w:val="right"/>
              <w:ind w:right="1960"/>
              <w:spacing w:after="0"/>
              <w:rPr>
                <w:sz w:val="20"/>
                <w:szCs w:val="20"/>
                <w:color w:val="auto"/>
              </w:rPr>
            </w:pPr>
            <w:r>
              <w:rPr>
                <w:rFonts w:ascii="Arial" w:cs="Arial" w:eastAsia="Arial" w:hAnsi="Arial"/>
                <w:sz w:val="18"/>
                <w:szCs w:val="18"/>
                <w:color w:val="auto"/>
              </w:rPr>
              <w:t>85.5%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85.5%</w:t>
            </w: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Processed products</w:t>
            </w:r>
          </w:p>
        </w:tc>
        <w:tc>
          <w:tcPr>
            <w:tcW w:w="2760" w:type="dxa"/>
            <w:vAlign w:val="bottom"/>
            <w:gridSpan w:val="2"/>
            <w:shd w:val="clear" w:color="auto" w:fill="CCEEFF"/>
          </w:tcPr>
          <w:p>
            <w:pPr>
              <w:jc w:val="right"/>
              <w:ind w:right="1940"/>
              <w:spacing w:after="0"/>
              <w:rPr>
                <w:sz w:val="20"/>
                <w:szCs w:val="20"/>
                <w:color w:val="auto"/>
              </w:rPr>
            </w:pPr>
            <w:r>
              <w:rPr>
                <w:rFonts w:ascii="Arial" w:cs="Arial" w:eastAsia="Arial" w:hAnsi="Arial"/>
                <w:sz w:val="18"/>
                <w:szCs w:val="18"/>
                <w:color w:val="auto"/>
              </w:rPr>
              <w:t>13.3%</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13.7%</w:t>
            </w:r>
          </w:p>
        </w:tc>
        <w:tc>
          <w:tcPr>
            <w:tcW w:w="2820" w:type="dxa"/>
            <w:vAlign w:val="bottom"/>
            <w:gridSpan w:val="2"/>
            <w:shd w:val="clear" w:color="auto" w:fill="CCEEFF"/>
          </w:tcPr>
          <w:p>
            <w:pPr>
              <w:jc w:val="right"/>
              <w:ind w:right="1960"/>
              <w:spacing w:after="0"/>
              <w:rPr>
                <w:sz w:val="20"/>
                <w:szCs w:val="20"/>
                <w:color w:val="auto"/>
              </w:rPr>
            </w:pPr>
            <w:r>
              <w:rPr>
                <w:rFonts w:ascii="Arial" w:cs="Arial" w:eastAsia="Arial" w:hAnsi="Arial"/>
                <w:sz w:val="18"/>
                <w:szCs w:val="18"/>
                <w:color w:val="auto"/>
              </w:rPr>
              <w:t>14.5%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r>
      <w:tr>
        <w:trPr>
          <w:trHeight w:val="20"/>
        </w:trPr>
        <w:tc>
          <w:tcPr>
            <w:tcW w:w="3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3600" w:type="dxa"/>
            <w:vAlign w:val="bottom"/>
          </w:tcPr>
          <w:p>
            <w:pPr>
              <w:spacing w:after="0"/>
              <w:rPr>
                <w:sz w:val="19"/>
                <w:szCs w:val="19"/>
                <w:color w:val="auto"/>
              </w:rPr>
            </w:pPr>
          </w:p>
        </w:tc>
        <w:tc>
          <w:tcPr>
            <w:tcW w:w="2760" w:type="dxa"/>
            <w:vAlign w:val="bottom"/>
            <w:gridSpan w:val="2"/>
          </w:tcPr>
          <w:p>
            <w:pPr>
              <w:jc w:val="right"/>
              <w:ind w:right="1940"/>
              <w:spacing w:after="0"/>
              <w:rPr>
                <w:sz w:val="20"/>
                <w:szCs w:val="20"/>
                <w:color w:val="auto"/>
              </w:rPr>
            </w:pPr>
            <w:r>
              <w:rPr>
                <w:rFonts w:ascii="Arial" w:cs="Arial" w:eastAsia="Arial" w:hAnsi="Arial"/>
                <w:sz w:val="18"/>
                <w:szCs w:val="18"/>
                <w:color w:val="auto"/>
              </w:rPr>
              <w:t>100.0%</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2820" w:type="dxa"/>
            <w:vAlign w:val="bottom"/>
            <w:gridSpan w:val="2"/>
          </w:tcPr>
          <w:p>
            <w:pPr>
              <w:jc w:val="right"/>
              <w:ind w:right="1960"/>
              <w:spacing w:after="0"/>
              <w:rPr>
                <w:sz w:val="20"/>
                <w:szCs w:val="20"/>
                <w:color w:val="auto"/>
              </w:rPr>
            </w:pPr>
            <w:r>
              <w:rPr>
                <w:rFonts w:ascii="Arial" w:cs="Arial" w:eastAsia="Arial" w:hAnsi="Arial"/>
                <w:sz w:val="18"/>
                <w:szCs w:val="18"/>
                <w:color w:val="auto"/>
              </w:rPr>
              <w:t>100.0%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54" w:lineRule="auto"/>
        <w:rPr>
          <w:sz w:val="20"/>
          <w:szCs w:val="20"/>
          <w:color w:val="auto"/>
        </w:rPr>
      </w:pPr>
      <w:r>
        <w:rPr>
          <w:rFonts w:ascii="Arial" w:cs="Arial" w:eastAsia="Arial" w:hAnsi="Arial"/>
          <w:sz w:val="18"/>
          <w:szCs w:val="18"/>
          <w:color w:val="auto"/>
        </w:rPr>
        <w:t>Net sales for the second quarter of fiscal 2007, compared to fiscal 2006, increased by $1.8 million, or 2.6%; whereas net sales for the six months ended April 30, 2007, compared to fiscal 2006, increased by $8.4 million, or 7.1%. The increase in fresh product sales during the second quarter of fiscal 2007 was primarily related to increased sales in Mexican and Chilean sourced avocados, partially offset by a decrease in sales from California sourced avocados. The increase in fresh product sales during the six months ended April 30, 2007 was primarily driven by increased sales related to Chilean and Mexican sourced avocados, partially offset by decreased sales related to avocados sourced from California. While the procurement of fresh avocados related to our fresh products segment is seasonal, our processed products business is generally not subject to a seasonal effect. For the related six-month period, the increase in net sales delivered by our processed products business was due primarily to an increase in total pounds of product sold, as well as a marginal increase in the net sales price.</w:t>
      </w:r>
    </w:p>
    <w:p>
      <w:pPr>
        <w:spacing w:after="0" w:line="84"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Net sales to third parties by segment exclude value-added services billed by our Uruapan packinghouse and our Uruapan processing plant to the parent company. All intercompany sales are eliminated in our consolidated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products</w:t>
      </w:r>
    </w:p>
    <w:p>
      <w:pPr>
        <w:spacing w:after="0" w:line="117" w:lineRule="exact"/>
        <w:rPr>
          <w:sz w:val="20"/>
          <w:szCs w:val="20"/>
          <w:color w:val="auto"/>
        </w:rPr>
      </w:pPr>
    </w:p>
    <w:p>
      <w:pPr>
        <w:ind w:right="140" w:firstLine="225"/>
        <w:spacing w:after="0" w:line="287" w:lineRule="auto"/>
        <w:rPr>
          <w:sz w:val="20"/>
          <w:szCs w:val="20"/>
          <w:color w:val="auto"/>
        </w:rPr>
      </w:pPr>
      <w:r>
        <w:rPr>
          <w:rFonts w:ascii="Arial" w:cs="Arial" w:eastAsia="Arial" w:hAnsi="Arial"/>
          <w:sz w:val="16"/>
          <w:szCs w:val="16"/>
          <w:color w:val="auto"/>
        </w:rPr>
        <w:t>Net sales delivered by the business increased by approximately $1.7 million, or 3.0%, for the second quarter of fiscal 2007, when compared to the same period for fiscal 2006. This increase was primarily related to an increase in sales of Mexican and Chilean grown avocados, as well as tomatoes, in the U.S. marketplaces. The volume of Mexican fruit sold increased by approximately 21.9 million pounds, or 147.7%, when compared to the same prior year period. This increase was primarily in the U.S. marketplace and was substantially related to an increased emphasis in the Mexican avocado crop certified for export to the U.S., which principally stemmed from the expected, and ultimately, realized smaller California avocado crop. The volume of Chilean fruit sold increased by approximately 3.0 million pounds, or 100.0%, when compared to the same prior year period. This increase is primarily related to the size of the Chilean avocado crop, as well as the timing of the delivery to the United States. Additionally, the average selling price, on a per carton basis, of Mexican avocados sold increased approximately 13.3% when compared to the same prior year period. We attribute some of this increase to the smaller California avocado crop in the marketplace during our second fiscal quarter, as well as the premium pricing related to our ProRipeVIP</w:t>
      </w:r>
      <w:r>
        <w:rPr>
          <w:rFonts w:ascii="Arial" w:cs="Arial" w:eastAsia="Arial" w:hAnsi="Arial"/>
          <w:sz w:val="13"/>
          <w:szCs w:val="13"/>
          <w:color w:val="auto"/>
        </w:rPr>
        <w:t>TM</w:t>
      </w:r>
      <w:r>
        <w:rPr>
          <w:rFonts w:ascii="Arial" w:cs="Arial" w:eastAsia="Arial" w:hAnsi="Arial"/>
          <w:sz w:val="16"/>
          <w:szCs w:val="16"/>
          <w:color w:val="auto"/>
        </w:rPr>
        <w:t xml:space="preserve"> avocado ripening program. The volume of non-brokered tomatoes increased by approximately 15.7 million pounds when compared to the same prior year period. This increase, which accounted for the majority of the fluctuation, was primarily related to a new supplier relationship.</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2"/>
        <w:spacing w:after="0" w:line="273" w:lineRule="auto"/>
        <w:rPr>
          <w:sz w:val="20"/>
          <w:szCs w:val="20"/>
          <w:color w:val="auto"/>
        </w:rPr>
      </w:pPr>
      <w:r>
        <w:rPr>
          <w:rFonts w:ascii="Arial" w:cs="Arial" w:eastAsia="Arial" w:hAnsi="Arial"/>
          <w:sz w:val="17"/>
          <w:szCs w:val="17"/>
          <w:color w:val="auto"/>
        </w:rPr>
        <w:t>The increased sales discussed above was partially offset by a decrease in sales related to avocados sourced from California. California avocados sales reflect a 74.0% decrease in pounds of avocados sold, when compared to the same prior year period. The decrease in pounds is consistent with the expected decrease in the overall harvest of the California avocado crop for the 2006/2007 season. Our market share of California avocados decreased to 30.5% in the second quarter of fiscal 2007, when compared to a 33.5% market share for the same prior year period. The average selling price, on a per carton basis, of California avocados sold, however, increased approximately 39.7% when compared to the same prior year period. We attribute some of this increase to the aforementioned smaller California avocado crop for the 2006/2007 season.</w:t>
      </w:r>
    </w:p>
    <w:p>
      <w:pPr>
        <w:spacing w:after="0" w:line="70"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Net sales delivered by the business increased by approximately $7.1 million, or 7.0%, for the six months ended April 30, 2007, when compared to the same period for fiscal 2006. This increase was primarily related to an increase in sales of Mexican and Chilean grown avocados, as well as tomatoes, in the U.S. marketplaces. The volume of Mexican fruit sold increased by approximately 27.8 million pounds, or 71.8%, when compared to the same prior year period. This increase was primarily in the U.S. marketplace and was substantially related to an increased emphasis in the Mexican avocado crop certified for export to the U.S., which principally stemmed from the expected, and ultimately, realized smaller California avocado crop. The volume of Chilean fruit sold increased by approximately 6.3 million pounds, or 90.5%, when compared to the same prior year period. This increase is primarily related to the size of the Chilean avocado crop, as well as the timing of the delivery to the United States. Additionally, the average selling price, on a per carton basis, of Mexican avocados sold increased approximately 9.7% when compared to the same prior year period. The average selling price of Chilean avocados sold, on a per carton basis, however, decreased approximately 22.2% when compared to the same prior year period. We attribute some of these price fluctuations to the size and/or timing of delivery of the Chilean and California avocado crop in the marketplace during the six month period ending April 30, 2007. The volume of non-brokered tomatoes increased by approximately 19.9 million pounds when compared to the same prior year period. This increase, which accounted for the majority of the fluctuation, was primarily related to a new supplier relationship.</w:t>
      </w:r>
    </w:p>
    <w:p>
      <w:pPr>
        <w:spacing w:after="0" w:line="72"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increased sales discussed above was partially offset by a decrease in sales related to avocados sourced from California. California avocados sales reflect a 60.2% decrease in pounds of avocados sold, when compared to the same prior year period. The decrease in pounds is consistent with the expected decrease in the overall harvest of the California avocado crop for the 2006/2007 season. Our market share of California avocados remained fairly consistent at 35.1% for the six month period ending April 30, 2007, when compared to a 34.5% market share for the same prior year period. The average selling price, on a per carton basis, of California avocados sold, however, increased approximately 21.9% when compared to the same prior year period. We attribute some of this increase to the aforementioned smaller California avocado crop for the 2006/2007 season.</w:t>
      </w:r>
    </w:p>
    <w:p>
      <w:pPr>
        <w:spacing w:after="0" w:line="70" w:lineRule="exact"/>
        <w:rPr>
          <w:sz w:val="20"/>
          <w:szCs w:val="20"/>
          <w:color w:val="auto"/>
        </w:rPr>
      </w:pPr>
    </w:p>
    <w:p>
      <w:pPr>
        <w:ind w:right="280" w:firstLine="222"/>
        <w:spacing w:after="0" w:line="257" w:lineRule="auto"/>
        <w:rPr>
          <w:sz w:val="20"/>
          <w:szCs w:val="20"/>
          <w:color w:val="auto"/>
        </w:rPr>
      </w:pPr>
      <w:r>
        <w:rPr>
          <w:rFonts w:ascii="Arial" w:cs="Arial" w:eastAsia="Arial" w:hAnsi="Arial"/>
          <w:sz w:val="18"/>
          <w:szCs w:val="18"/>
          <w:color w:val="auto"/>
        </w:rPr>
        <w:t>We anticipate that California avocado sales will experience a seasonal increase during our third fiscal quarter of 2007, as compared to the second fiscal quarter of 2007. Based on the expected smaller California avocado crop for fiscal 2007, which was further impacted by adverse weather conditions that primarily struck California crops during our first quarter, we do not expect sales from California sourced avocados to meet or exceed sales from California sourced avocados generated in the prior year. We intend to leverage our position as the largest packer of Mexican grown avocados for export markets to improve our overall sales performance.</w:t>
      </w:r>
    </w:p>
    <w:p>
      <w:pPr>
        <w:spacing w:after="0" w:line="80"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We anticipate that net sales related to non-California sourced avocados to experience a seasonal decrease in the third fiscal quarter of 2007, as compared to the second fiscal quarter of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Processed products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quarter ended April 30, 2007, when compared to the same period for fiscal 2006, sales to third-party customers remained consistent at $9.2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While we experienced a 3.7% increase in total pounds sold, such was substantially offset by a 3.7% decrease in our average net selling prices.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For the first six months of fiscal 2007, when compared to the same period for fiscal 2006, sales to third-party customers increased by approximately $1.3 million, or 7.6%. This increase is primarily related to a 6.2% increase in total pounds sold, as our ultra high pressure products have experienced widespread acceptance in both the retail and foodservice sectors. Our average net selling prices remained fairly consistent during the first six months ended April 30, 2007, when compared to the same prior year period.</w:t>
      </w:r>
    </w:p>
    <w:p>
      <w:pPr>
        <w:spacing w:after="0" w:line="79"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Our ultra high pressure products continue to experience solid demand. During the six months ended April 30, 2007, sales of high pressure product totaled approximately $7.3 million, as compared to $6.2 million for the same prior year period. We believe that these fresh guacamole products are successfully addressing a growing market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our gross margins and gross profit percentages by business segment for each of the three and six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2007 and 2006: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8"/>
              </w:rPr>
              <w:t>Three months ended April 30,</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Six months ended April 30,</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2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720" w:type="dxa"/>
            <w:vAlign w:val="bottom"/>
          </w:tcPr>
          <w:p>
            <w:pPr>
              <w:spacing w:after="0"/>
              <w:rPr>
                <w:sz w:val="12"/>
                <w:szCs w:val="12"/>
                <w:color w:val="auto"/>
              </w:rPr>
            </w:pPr>
          </w:p>
        </w:tc>
        <w:tc>
          <w:tcPr>
            <w:tcW w:w="128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margins: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6,214</w:t>
            </w:r>
          </w:p>
        </w:tc>
        <w:tc>
          <w:tcPr>
            <w:tcW w:w="2100" w:type="dxa"/>
            <w:vAlign w:val="bottom"/>
            <w:gridSpan w:val="3"/>
          </w:tcPr>
          <w:p>
            <w:pPr>
              <w:jc w:val="right"/>
              <w:ind w:right="600"/>
              <w:spacing w:after="0"/>
              <w:rPr>
                <w:sz w:val="20"/>
                <w:szCs w:val="20"/>
                <w:color w:val="auto"/>
              </w:rPr>
            </w:pPr>
            <w:r>
              <w:rPr>
                <w:rFonts w:ascii="Arial" w:cs="Arial" w:eastAsia="Arial" w:hAnsi="Arial"/>
                <w:sz w:val="18"/>
                <w:szCs w:val="18"/>
                <w:color w:val="auto"/>
              </w:rPr>
              <w:t>11.0%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5,600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9,940</w:t>
            </w:r>
          </w:p>
        </w:tc>
        <w:tc>
          <w:tcPr>
            <w:tcW w:w="2000" w:type="dxa"/>
            <w:vAlign w:val="bottom"/>
            <w:gridSpan w:val="3"/>
          </w:tcPr>
          <w:p>
            <w:pPr>
              <w:jc w:val="right"/>
              <w:ind w:right="460"/>
              <w:spacing w:after="0"/>
              <w:rPr>
                <w:sz w:val="20"/>
                <w:szCs w:val="20"/>
                <w:color w:val="auto"/>
              </w:rPr>
            </w:pPr>
            <w:r>
              <w:rPr>
                <w:rFonts w:ascii="Arial" w:cs="Arial" w:eastAsia="Arial" w:hAnsi="Arial"/>
                <w:sz w:val="18"/>
                <w:szCs w:val="18"/>
                <w:color w:val="auto"/>
              </w:rPr>
              <w:t>40.5%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Processed products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2,977</w:t>
            </w:r>
          </w:p>
        </w:tc>
        <w:tc>
          <w:tcPr>
            <w:tcW w:w="2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2,995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ind w:left="400"/>
              <w:spacing w:after="0"/>
              <w:rPr>
                <w:sz w:val="20"/>
                <w:szCs w:val="20"/>
                <w:color w:val="auto"/>
              </w:rPr>
            </w:pPr>
            <w:r>
              <w:rPr>
                <w:rFonts w:ascii="Arial" w:cs="Arial" w:eastAsia="Arial" w:hAnsi="Arial"/>
                <w:sz w:val="18"/>
                <w:szCs w:val="18"/>
                <w:color w:val="auto"/>
              </w:rPr>
              <w:t>Total gross margins</w:t>
            </w: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9,191</w:t>
            </w:r>
          </w:p>
        </w:tc>
        <w:tc>
          <w:tcPr>
            <w:tcW w:w="20" w:type="dxa"/>
            <w:vAlign w:val="bottom"/>
            <w:tcBorders>
              <w:bottom w:val="single" w:sz="8" w:color="auto"/>
            </w:tcBorders>
          </w:tcPr>
          <w:p>
            <w:pPr>
              <w:spacing w:after="0"/>
              <w:rPr>
                <w:sz w:val="19"/>
                <w:szCs w:val="19"/>
                <w:color w:val="auto"/>
              </w:rPr>
            </w:pPr>
          </w:p>
        </w:tc>
        <w:tc>
          <w:tcPr>
            <w:tcW w:w="2100" w:type="dxa"/>
            <w:vAlign w:val="bottom"/>
            <w:gridSpan w:val="3"/>
          </w:tcPr>
          <w:p>
            <w:pPr>
              <w:jc w:val="right"/>
              <w:ind w:right="600"/>
              <w:spacing w:after="0"/>
              <w:rPr>
                <w:sz w:val="20"/>
                <w:szCs w:val="20"/>
                <w:color w:val="auto"/>
              </w:rPr>
            </w:pPr>
            <w:r>
              <w:rPr>
                <w:rFonts w:ascii="Arial" w:cs="Arial" w:eastAsia="Arial" w:hAnsi="Arial"/>
                <w:sz w:val="18"/>
                <w:szCs w:val="18"/>
                <w:color w:val="auto"/>
              </w:rPr>
              <w:t>6.9%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8,595</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16,159</w:t>
            </w:r>
          </w:p>
        </w:tc>
        <w:tc>
          <w:tcPr>
            <w:tcW w:w="2000" w:type="dxa"/>
            <w:vAlign w:val="bottom"/>
            <w:gridSpan w:val="3"/>
          </w:tcPr>
          <w:p>
            <w:pPr>
              <w:jc w:val="right"/>
              <w:ind w:right="46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11,967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percentages:</w:t>
            </w:r>
          </w:p>
        </w:tc>
        <w:tc>
          <w:tcPr>
            <w:tcW w:w="27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2720" w:type="dxa"/>
            <w:vAlign w:val="bottom"/>
          </w:tcPr>
          <w:p>
            <w:pPr>
              <w:jc w:val="right"/>
              <w:ind w:right="1090"/>
              <w:spacing w:after="0"/>
              <w:rPr>
                <w:sz w:val="20"/>
                <w:szCs w:val="20"/>
                <w:color w:val="auto"/>
              </w:rPr>
            </w:pPr>
            <w:r>
              <w:rPr>
                <w:rFonts w:ascii="Arial" w:cs="Arial" w:eastAsia="Arial" w:hAnsi="Arial"/>
                <w:sz w:val="18"/>
                <w:szCs w:val="18"/>
                <w:color w:val="auto"/>
              </w:rPr>
              <w:t>10.4%</w:t>
            </w:r>
          </w:p>
        </w:tc>
        <w:tc>
          <w:tcPr>
            <w:tcW w:w="2100" w:type="dxa"/>
            <w:vAlign w:val="bottom"/>
          </w:tcPr>
          <w:p>
            <w:pPr>
              <w:jc w:val="right"/>
              <w:ind w:right="370"/>
              <w:spacing w:after="0"/>
              <w:rPr>
                <w:sz w:val="20"/>
                <w:szCs w:val="20"/>
                <w:color w:val="auto"/>
              </w:rPr>
            </w:pPr>
            <w:r>
              <w:rPr>
                <w:rFonts w:ascii="Arial" w:cs="Arial" w:eastAsia="Arial" w:hAnsi="Arial"/>
                <w:sz w:val="18"/>
                <w:szCs w:val="18"/>
                <w:color w:val="auto"/>
              </w:rPr>
              <w:t>9.6%</w:t>
            </w:r>
          </w:p>
        </w:tc>
        <w:tc>
          <w:tcPr>
            <w:tcW w:w="2080" w:type="dxa"/>
            <w:vAlign w:val="bottom"/>
          </w:tcPr>
          <w:p>
            <w:pPr>
              <w:jc w:val="right"/>
              <w:ind w:right="1070"/>
              <w:spacing w:after="0"/>
              <w:rPr>
                <w:sz w:val="20"/>
                <w:szCs w:val="20"/>
                <w:color w:val="auto"/>
              </w:rPr>
            </w:pPr>
            <w:r>
              <w:rPr>
                <w:rFonts w:ascii="Arial" w:cs="Arial" w:eastAsia="Arial" w:hAnsi="Arial"/>
                <w:sz w:val="18"/>
                <w:szCs w:val="18"/>
                <w:color w:val="auto"/>
              </w:rPr>
              <w:t>9.2%</w:t>
            </w:r>
          </w:p>
        </w:tc>
        <w:tc>
          <w:tcPr>
            <w:tcW w:w="16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Processed products</w:t>
            </w:r>
          </w:p>
        </w:tc>
        <w:tc>
          <w:tcPr>
            <w:tcW w:w="272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32.3%</w:t>
            </w:r>
          </w:p>
        </w:tc>
        <w:tc>
          <w:tcPr>
            <w:tcW w:w="2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32.5%</w:t>
            </w:r>
          </w:p>
        </w:tc>
        <w:tc>
          <w:tcPr>
            <w:tcW w:w="20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33.8%</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288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2720" w:type="dxa"/>
            <w:vAlign w:val="bottom"/>
          </w:tcPr>
          <w:p>
            <w:pPr>
              <w:jc w:val="right"/>
              <w:ind w:right="1090"/>
              <w:spacing w:after="0"/>
              <w:rPr>
                <w:sz w:val="20"/>
                <w:szCs w:val="20"/>
                <w:color w:val="auto"/>
              </w:rPr>
            </w:pPr>
            <w:r>
              <w:rPr>
                <w:rFonts w:ascii="Arial" w:cs="Arial" w:eastAsia="Arial" w:hAnsi="Arial"/>
                <w:sz w:val="18"/>
                <w:szCs w:val="18"/>
                <w:color w:val="auto"/>
              </w:rPr>
              <w:t>13.3%</w:t>
            </w:r>
          </w:p>
        </w:tc>
        <w:tc>
          <w:tcPr>
            <w:tcW w:w="2100" w:type="dxa"/>
            <w:vAlign w:val="bottom"/>
          </w:tcPr>
          <w:p>
            <w:pPr>
              <w:jc w:val="right"/>
              <w:ind w:right="370"/>
              <w:spacing w:after="0"/>
              <w:rPr>
                <w:sz w:val="20"/>
                <w:szCs w:val="20"/>
                <w:color w:val="auto"/>
              </w:rPr>
            </w:pPr>
            <w:r>
              <w:rPr>
                <w:rFonts w:ascii="Arial" w:cs="Arial" w:eastAsia="Arial" w:hAnsi="Arial"/>
                <w:sz w:val="18"/>
                <w:szCs w:val="18"/>
                <w:color w:val="auto"/>
              </w:rPr>
              <w:t>12.7%</w:t>
            </w:r>
          </w:p>
        </w:tc>
        <w:tc>
          <w:tcPr>
            <w:tcW w:w="2080" w:type="dxa"/>
            <w:vAlign w:val="bottom"/>
          </w:tcPr>
          <w:p>
            <w:pPr>
              <w:jc w:val="right"/>
              <w:ind w:right="1070"/>
              <w:spacing w:after="0"/>
              <w:rPr>
                <w:sz w:val="20"/>
                <w:szCs w:val="20"/>
                <w:color w:val="auto"/>
              </w:rPr>
            </w:pPr>
            <w:r>
              <w:rPr>
                <w:rFonts w:ascii="Arial" w:cs="Arial" w:eastAsia="Arial" w:hAnsi="Arial"/>
                <w:sz w:val="18"/>
                <w:szCs w:val="18"/>
                <w:color w:val="auto"/>
              </w:rPr>
              <w:t>12.8%</w:t>
            </w:r>
          </w:p>
        </w:tc>
        <w:tc>
          <w:tcPr>
            <w:tcW w:w="164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79" w:lineRule="exact"/>
        <w:rPr>
          <w:sz w:val="20"/>
          <w:szCs w:val="20"/>
          <w:color w:val="auto"/>
        </w:rPr>
      </w:pPr>
    </w:p>
    <w:p>
      <w:pPr>
        <w:ind w:right="360" w:firstLine="225"/>
        <w:spacing w:after="0" w:line="279" w:lineRule="auto"/>
        <w:rPr>
          <w:sz w:val="20"/>
          <w:szCs w:val="20"/>
          <w:color w:val="auto"/>
        </w:rPr>
      </w:pPr>
      <w:r>
        <w:rPr>
          <w:rFonts w:ascii="Arial" w:cs="Arial" w:eastAsia="Arial" w:hAnsi="Arial"/>
          <w:sz w:val="17"/>
          <w:szCs w:val="17"/>
          <w:color w:val="auto"/>
        </w:rPr>
        <w:t>Our cost of goods sold consists predominantly of fruit costs, packing materials, freight and handling, labor and overhead (including depreciation) associated with preparing food products and other direct expenses pertaining to products sold. Gross margins increased by approximately $0.6 million, or 6.9%, and $4.2 million, or 35.0%, for the second quarter and first six months of fiscal 2007, when compared to the same periods for fiscal 2006. These increases were primarily attributable to improvements in both our fresh products and/or processed products segments.</w:t>
      </w:r>
    </w:p>
    <w:p>
      <w:pPr>
        <w:spacing w:after="0" w:line="63"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For the second quarter and first six months of fiscal 2007, as compared to the same prior year periods, gross margins related to our fresh products segment increased. Such increases were primarily driven by a significant increase in pounds of Mexican and Chilean fruit sold, a decrease in Mexican fruit costs, and/or higher sales prices. For the second quarter and first six months of fiscal 2007, we experienced a 147.7% and 71.8% increase in fruit sold related to Mexican sourced fruit. Additionally, for the second quarter and first six months of fiscal 2007, we experienced a 100.0% and 90.5% increase in fruit sold related to Chilean sourced fruit. This had the effect of decreasing our per pound production costs, which, as a result, positively impacted gross margins. Additionally, the significant increase in tomato volume positively impacted gross margins as well. The resulting higher gross margins described above were partially offset, however, by decreases in California sourced fruit and the lower gross margins resulting therefrom. For the second quarter and first six months of fiscal 2007, the volume of California fruit decreased 74.0% and 60.2%, when compared to the same prior year periods.</w:t>
      </w:r>
    </w:p>
    <w:p>
      <w:pPr>
        <w:spacing w:after="0" w:line="58"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processed products gross profit percentages for the first six months of fiscal 2007, increased primarily as a result of lower fruit costs and increases in total pounds produced, which had the effect of reducing our per pound costs. We anticipate that the gross profit percentage for our processed product segment will continue to experience significant fluctuations during the next fiscal quarter primarily due to the uncertainty of the cost of fruit that will be used in the production process.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April 30,</w:t>
            </w:r>
          </w:p>
        </w:tc>
        <w:tc>
          <w:tcPr>
            <w:tcW w:w="10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Six months ended April 30,</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gridSpan w:val="3"/>
            <w:vMerge w:val="continue"/>
          </w:tcPr>
          <w:p>
            <w:pPr>
              <w:spacing w:after="0"/>
              <w:rPr>
                <w:sz w:val="12"/>
                <w:szCs w:val="12"/>
                <w:color w:val="auto"/>
              </w:rPr>
            </w:pPr>
          </w:p>
        </w:tc>
        <w:tc>
          <w:tcPr>
            <w:tcW w:w="102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138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3"/>
              </w:rPr>
              <w:t>Change</w:t>
            </w:r>
          </w:p>
        </w:tc>
        <w:tc>
          <w:tcPr>
            <w:tcW w:w="102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100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134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3"/>
              </w:rPr>
              <w:t>Change</w:t>
            </w:r>
          </w:p>
        </w:tc>
        <w:tc>
          <w:tcPr>
            <w:tcW w:w="102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Selling, general and administrative</w:t>
            </w:r>
          </w:p>
        </w:tc>
        <w:tc>
          <w:tcPr>
            <w:tcW w:w="460" w:type="dxa"/>
            <w:vAlign w:val="bottom"/>
          </w:tcPr>
          <w:p>
            <w:pPr>
              <w:spacing w:after="0"/>
              <w:rPr>
                <w:sz w:val="16"/>
                <w:szCs w:val="16"/>
                <w:color w:val="auto"/>
              </w:rPr>
            </w:pPr>
          </w:p>
        </w:tc>
        <w:tc>
          <w:tcPr>
            <w:tcW w:w="1020" w:type="dxa"/>
            <w:vAlign w:val="bottom"/>
            <w:tcBorders>
              <w:top w:val="single" w:sz="8" w:color="auto"/>
            </w:tcBorders>
          </w:tcPr>
          <w:p>
            <w:pPr>
              <w:jc w:val="right"/>
              <w:ind w:right="236"/>
              <w:spacing w:after="0" w:line="195" w:lineRule="exact"/>
              <w:rPr>
                <w:sz w:val="20"/>
                <w:szCs w:val="20"/>
                <w:color w:val="auto"/>
              </w:rPr>
            </w:pPr>
            <w:r>
              <w:rPr>
                <w:rFonts w:ascii="Arial" w:cs="Arial" w:eastAsia="Arial" w:hAnsi="Arial"/>
                <w:sz w:val="18"/>
                <w:szCs w:val="18"/>
                <w:color w:val="auto"/>
              </w:rPr>
              <w:t>$4,812</w:t>
            </w:r>
          </w:p>
        </w:tc>
        <w:tc>
          <w:tcPr>
            <w:tcW w:w="460" w:type="dxa"/>
            <w:vAlign w:val="bottom"/>
          </w:tcPr>
          <w:p>
            <w:pPr>
              <w:spacing w:after="0"/>
              <w:rPr>
                <w:sz w:val="16"/>
                <w:szCs w:val="16"/>
                <w:color w:val="auto"/>
              </w:rPr>
            </w:pPr>
          </w:p>
        </w:tc>
        <w:tc>
          <w:tcPr>
            <w:tcW w:w="920" w:type="dxa"/>
            <w:vAlign w:val="bottom"/>
            <w:tcBorders>
              <w:top w:val="single" w:sz="8" w:color="auto"/>
            </w:tcBorders>
          </w:tcPr>
          <w:p>
            <w:pPr>
              <w:jc w:val="right"/>
              <w:ind w:right="39"/>
              <w:spacing w:after="0" w:line="195" w:lineRule="exact"/>
              <w:rPr>
                <w:sz w:val="20"/>
                <w:szCs w:val="20"/>
                <w:color w:val="auto"/>
              </w:rPr>
            </w:pPr>
            <w:r>
              <w:rPr>
                <w:rFonts w:ascii="Arial" w:cs="Arial" w:eastAsia="Arial" w:hAnsi="Arial"/>
                <w:sz w:val="18"/>
                <w:szCs w:val="18"/>
                <w:color w:val="auto"/>
              </w:rPr>
              <w:t>(3.7%)</w:t>
            </w:r>
          </w:p>
        </w:tc>
        <w:tc>
          <w:tcPr>
            <w:tcW w:w="460" w:type="dxa"/>
            <w:vAlign w:val="bottom"/>
          </w:tcPr>
          <w:p>
            <w:pPr>
              <w:spacing w:after="0"/>
              <w:rPr>
                <w:sz w:val="16"/>
                <w:szCs w:val="16"/>
                <w:color w:val="auto"/>
              </w:rPr>
            </w:pPr>
          </w:p>
        </w:tc>
        <w:tc>
          <w:tcPr>
            <w:tcW w:w="1020" w:type="dxa"/>
            <w:vAlign w:val="bottom"/>
            <w:tcBorders>
              <w:top w:val="single" w:sz="8" w:color="auto"/>
            </w:tcBorders>
          </w:tcPr>
          <w:p>
            <w:pPr>
              <w:jc w:val="right"/>
              <w:ind w:right="236"/>
              <w:spacing w:after="0" w:line="195" w:lineRule="exact"/>
              <w:rPr>
                <w:sz w:val="20"/>
                <w:szCs w:val="20"/>
                <w:color w:val="auto"/>
              </w:rPr>
            </w:pPr>
            <w:r>
              <w:rPr>
                <w:rFonts w:ascii="Arial" w:cs="Arial" w:eastAsia="Arial" w:hAnsi="Arial"/>
                <w:sz w:val="18"/>
                <w:szCs w:val="18"/>
                <w:color w:val="auto"/>
              </w:rPr>
              <w:t>$4,997</w:t>
            </w:r>
          </w:p>
        </w:tc>
        <w:tc>
          <w:tcPr>
            <w:tcW w:w="480" w:type="dxa"/>
            <w:vAlign w:val="bottom"/>
          </w:tcPr>
          <w:p>
            <w:pPr>
              <w:spacing w:after="0"/>
              <w:rPr>
                <w:sz w:val="16"/>
                <w:szCs w:val="16"/>
                <w:color w:val="auto"/>
              </w:rPr>
            </w:pPr>
          </w:p>
        </w:tc>
        <w:tc>
          <w:tcPr>
            <w:tcW w:w="1000" w:type="dxa"/>
            <w:vAlign w:val="bottom"/>
            <w:tcBorders>
              <w:top w:val="single" w:sz="8" w:color="auto"/>
            </w:tcBorders>
          </w:tcPr>
          <w:p>
            <w:pPr>
              <w:jc w:val="right"/>
              <w:ind w:right="219"/>
              <w:spacing w:after="0" w:line="195" w:lineRule="exact"/>
              <w:rPr>
                <w:sz w:val="20"/>
                <w:szCs w:val="20"/>
                <w:color w:val="auto"/>
              </w:rPr>
            </w:pPr>
            <w:r>
              <w:rPr>
                <w:rFonts w:ascii="Arial" w:cs="Arial" w:eastAsia="Arial" w:hAnsi="Arial"/>
                <w:sz w:val="18"/>
                <w:szCs w:val="18"/>
                <w:color w:val="auto"/>
              </w:rPr>
              <w:t>$9,443</w:t>
            </w:r>
          </w:p>
        </w:tc>
        <w:tc>
          <w:tcPr>
            <w:tcW w:w="480" w:type="dxa"/>
            <w:vAlign w:val="bottom"/>
          </w:tcPr>
          <w:p>
            <w:pPr>
              <w:spacing w:after="0"/>
              <w:rPr>
                <w:sz w:val="16"/>
                <w:szCs w:val="16"/>
                <w:color w:val="auto"/>
              </w:rPr>
            </w:pPr>
          </w:p>
        </w:tc>
        <w:tc>
          <w:tcPr>
            <w:tcW w:w="880" w:type="dxa"/>
            <w:vAlign w:val="bottom"/>
            <w:tcBorders>
              <w:top w:val="single" w:sz="8" w:color="auto"/>
            </w:tcBorders>
          </w:tcPr>
          <w:p>
            <w:pPr>
              <w:jc w:val="right"/>
              <w:ind w:right="99"/>
              <w:spacing w:after="0" w:line="195" w:lineRule="exact"/>
              <w:rPr>
                <w:sz w:val="20"/>
                <w:szCs w:val="20"/>
                <w:color w:val="auto"/>
              </w:rPr>
            </w:pPr>
            <w:r>
              <w:rPr>
                <w:rFonts w:ascii="Arial" w:cs="Arial" w:eastAsia="Arial" w:hAnsi="Arial"/>
                <w:sz w:val="18"/>
                <w:szCs w:val="18"/>
                <w:color w:val="auto"/>
              </w:rPr>
              <w:t>0.4%</w:t>
            </w:r>
          </w:p>
        </w:tc>
        <w:tc>
          <w:tcPr>
            <w:tcW w:w="460" w:type="dxa"/>
            <w:vAlign w:val="bottom"/>
          </w:tcPr>
          <w:p>
            <w:pPr>
              <w:spacing w:after="0"/>
              <w:rPr>
                <w:sz w:val="16"/>
                <w:szCs w:val="16"/>
                <w:color w:val="auto"/>
              </w:rPr>
            </w:pPr>
          </w:p>
        </w:tc>
        <w:tc>
          <w:tcPr>
            <w:tcW w:w="1020" w:type="dxa"/>
            <w:vAlign w:val="bottom"/>
            <w:tcBorders>
              <w:top w:val="single" w:sz="8" w:color="auto"/>
            </w:tcBorders>
          </w:tcPr>
          <w:p>
            <w:pPr>
              <w:jc w:val="right"/>
              <w:ind w:right="236"/>
              <w:spacing w:after="0" w:line="195" w:lineRule="exact"/>
              <w:rPr>
                <w:sz w:val="20"/>
                <w:szCs w:val="20"/>
                <w:color w:val="auto"/>
              </w:rPr>
            </w:pPr>
            <w:r>
              <w:rPr>
                <w:rFonts w:ascii="Arial" w:cs="Arial" w:eastAsia="Arial" w:hAnsi="Arial"/>
                <w:sz w:val="18"/>
                <w:szCs w:val="18"/>
                <w:color w:val="auto"/>
              </w:rPr>
              <w:t>$9.403</w:t>
            </w:r>
          </w:p>
        </w:tc>
        <w:tc>
          <w:tcPr>
            <w:tcW w:w="0" w:type="dxa"/>
            <w:vAlign w:val="bottom"/>
          </w:tcPr>
          <w:p>
            <w:pPr>
              <w:spacing w:after="0"/>
              <w:rPr>
                <w:sz w:val="1"/>
                <w:szCs w:val="1"/>
                <w:color w:val="auto"/>
              </w:rPr>
            </w:pPr>
          </w:p>
        </w:tc>
      </w:tr>
      <w:tr>
        <w:trPr>
          <w:trHeight w:val="230"/>
        </w:trPr>
        <w:tc>
          <w:tcPr>
            <w:tcW w:w="3220" w:type="dxa"/>
            <w:vAlign w:val="bottom"/>
            <w:gridSpan w:val="3"/>
          </w:tcPr>
          <w:p>
            <w:pPr>
              <w:spacing w:after="0"/>
              <w:rPr>
                <w:sz w:val="20"/>
                <w:szCs w:val="20"/>
                <w:color w:val="auto"/>
              </w:rPr>
            </w:pPr>
            <w:r>
              <w:rPr>
                <w:rFonts w:ascii="Arial" w:cs="Arial" w:eastAsia="Arial" w:hAnsi="Arial"/>
                <w:sz w:val="18"/>
                <w:szCs w:val="18"/>
                <w:color w:val="auto"/>
              </w:rPr>
              <w:t>Percentage of net sales</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7.4%</w:t>
            </w:r>
          </w:p>
        </w:tc>
        <w:tc>
          <w:tcPr>
            <w:tcW w:w="1480" w:type="dxa"/>
            <w:vAlign w:val="bottom"/>
            <w:gridSpan w:val="2"/>
          </w:tcPr>
          <w:p>
            <w:pPr>
              <w:jc w:val="right"/>
              <w:ind w:right="79"/>
              <w:spacing w:after="0"/>
              <w:rPr>
                <w:sz w:val="20"/>
                <w:szCs w:val="20"/>
                <w:color w:val="auto"/>
              </w:rPr>
            </w:pPr>
            <w:r>
              <w:rPr>
                <w:rFonts w:ascii="Arial" w:cs="Arial" w:eastAsia="Arial" w:hAnsi="Arial"/>
                <w:sz w:val="18"/>
                <w:szCs w:val="18"/>
                <w:color w:val="auto"/>
              </w:rPr>
              <w:t>7.5%</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Selling, general and administrative expenses include costs of marketing and advertising, sales expenses and other general and administrative costs. Selling, general and administrative expenses decreased $0.2 million, or 3.7%, for the three months ended April 30, 2007, when compared to the same period for fiscal 2006. This decrease was primarily related to lower corporate costs, including, but not limited to, consulting expenses, including those related to implementing provisions required under section 404 of the Sarbanes-Oxley Act (totaling approximately $0.4 million), a decrease in stock based compensation (totaling approximately $0.2 million), and a decrease in general insurance expense (totaling approximately $0.1 million). Such decreases were partially offset, however, by higher employee compensation costs (totaling approximately $0.4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 April 30,</w:t>
            </w:r>
          </w:p>
        </w:tc>
        <w:tc>
          <w:tcPr>
            <w:tcW w:w="8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Six months ended April 30,</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gridSpan w:val="3"/>
            <w:vMerge w:val="continue"/>
          </w:tcPr>
          <w:p>
            <w:pPr>
              <w:spacing w:after="0"/>
              <w:rPr>
                <w:sz w:val="12"/>
                <w:szCs w:val="12"/>
                <w:color w:val="auto"/>
              </w:rPr>
            </w:pPr>
          </w:p>
        </w:tc>
        <w:tc>
          <w:tcPr>
            <w:tcW w:w="96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1680" w:type="dxa"/>
            <w:vAlign w:val="bottom"/>
            <w:gridSpan w:val="2"/>
          </w:tcPr>
          <w:p>
            <w:pPr>
              <w:ind w:left="380"/>
              <w:spacing w:after="0" w:line="142" w:lineRule="exact"/>
              <w:rPr>
                <w:sz w:val="20"/>
                <w:szCs w:val="20"/>
                <w:color w:val="auto"/>
              </w:rPr>
            </w:pPr>
            <w:r>
              <w:rPr>
                <w:rFonts w:ascii="Arial" w:cs="Arial" w:eastAsia="Arial" w:hAnsi="Arial"/>
                <w:sz w:val="14"/>
                <w:szCs w:val="14"/>
                <w:b w:val="1"/>
                <w:bCs w:val="1"/>
                <w:color w:val="auto"/>
              </w:rPr>
              <w:t>Change</w:t>
            </w:r>
          </w:p>
        </w:tc>
        <w:tc>
          <w:tcPr>
            <w:tcW w:w="84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9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148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9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Other income (expense), net</w:t>
            </w:r>
          </w:p>
        </w:tc>
        <w:tc>
          <w:tcPr>
            <w:tcW w:w="460" w:type="dxa"/>
            <w:vAlign w:val="bottom"/>
          </w:tcPr>
          <w:p>
            <w:pPr>
              <w:spacing w:after="0"/>
              <w:rPr>
                <w:sz w:val="16"/>
                <w:szCs w:val="16"/>
                <w:color w:val="auto"/>
              </w:rPr>
            </w:pPr>
          </w:p>
        </w:tc>
        <w:tc>
          <w:tcPr>
            <w:tcW w:w="960" w:type="dxa"/>
            <w:vAlign w:val="bottom"/>
            <w:tcBorders>
              <w:top w:val="single" w:sz="8" w:color="auto"/>
            </w:tcBorders>
          </w:tcPr>
          <w:p>
            <w:pPr>
              <w:jc w:val="right"/>
              <w:ind w:right="176"/>
              <w:spacing w:after="0" w:line="195" w:lineRule="exact"/>
              <w:rPr>
                <w:sz w:val="20"/>
                <w:szCs w:val="20"/>
                <w:color w:val="auto"/>
              </w:rPr>
            </w:pPr>
            <w:r>
              <w:rPr>
                <w:rFonts w:ascii="Arial" w:cs="Arial" w:eastAsia="Arial" w:hAnsi="Arial"/>
                <w:sz w:val="18"/>
                <w:szCs w:val="18"/>
                <w:color w:val="auto"/>
              </w:rPr>
              <w:t>$(137)</w:t>
            </w:r>
          </w:p>
        </w:tc>
        <w:tc>
          <w:tcPr>
            <w:tcW w:w="480" w:type="dxa"/>
            <w:vAlign w:val="bottom"/>
          </w:tcPr>
          <w:p>
            <w:pPr>
              <w:spacing w:after="0"/>
              <w:rPr>
                <w:sz w:val="16"/>
                <w:szCs w:val="16"/>
                <w:color w:val="auto"/>
              </w:rPr>
            </w:pPr>
          </w:p>
        </w:tc>
        <w:tc>
          <w:tcPr>
            <w:tcW w:w="1220" w:type="dxa"/>
            <w:vAlign w:val="bottom"/>
            <w:tcBorders>
              <w:top w:val="single" w:sz="8" w:color="auto"/>
            </w:tcBorders>
          </w:tcPr>
          <w:p>
            <w:pPr>
              <w:jc w:val="right"/>
              <w:ind w:right="39"/>
              <w:spacing w:after="0" w:line="195" w:lineRule="exact"/>
              <w:rPr>
                <w:sz w:val="20"/>
                <w:szCs w:val="20"/>
                <w:color w:val="auto"/>
              </w:rPr>
            </w:pPr>
            <w:r>
              <w:rPr>
                <w:rFonts w:ascii="Arial" w:cs="Arial" w:eastAsia="Arial" w:hAnsi="Arial"/>
                <w:sz w:val="18"/>
                <w:szCs w:val="18"/>
                <w:color w:val="auto"/>
              </w:rPr>
              <w:t>(1,470.0%)</w:t>
            </w:r>
          </w:p>
        </w:tc>
        <w:tc>
          <w:tcPr>
            <w:tcW w:w="460" w:type="dxa"/>
            <w:vAlign w:val="bottom"/>
          </w:tcPr>
          <w:p>
            <w:pPr>
              <w:spacing w:after="0"/>
              <w:rPr>
                <w:sz w:val="16"/>
                <w:szCs w:val="16"/>
                <w:color w:val="auto"/>
              </w:rPr>
            </w:pPr>
          </w:p>
        </w:tc>
        <w:tc>
          <w:tcPr>
            <w:tcW w:w="840" w:type="dxa"/>
            <w:vAlign w:val="bottom"/>
            <w:tcBorders>
              <w:top w:val="single" w:sz="8" w:color="auto"/>
            </w:tcBorders>
          </w:tcPr>
          <w:p>
            <w:pPr>
              <w:jc w:val="right"/>
              <w:ind w:right="216"/>
              <w:spacing w:after="0" w:line="195" w:lineRule="exact"/>
              <w:rPr>
                <w:sz w:val="20"/>
                <w:szCs w:val="20"/>
                <w:color w:val="auto"/>
              </w:rPr>
            </w:pPr>
            <w:r>
              <w:rPr>
                <w:rFonts w:ascii="Arial" w:cs="Arial" w:eastAsia="Arial" w:hAnsi="Arial"/>
                <w:sz w:val="18"/>
                <w:szCs w:val="18"/>
                <w:color w:val="auto"/>
              </w:rPr>
              <w:t>$ 10</w:t>
            </w:r>
          </w:p>
        </w:tc>
        <w:tc>
          <w:tcPr>
            <w:tcW w:w="480" w:type="dxa"/>
            <w:vAlign w:val="bottom"/>
          </w:tcPr>
          <w:p>
            <w:pPr>
              <w:spacing w:after="0"/>
              <w:rPr>
                <w:sz w:val="16"/>
                <w:szCs w:val="16"/>
                <w:color w:val="auto"/>
              </w:rPr>
            </w:pPr>
          </w:p>
        </w:tc>
        <w:tc>
          <w:tcPr>
            <w:tcW w:w="960" w:type="dxa"/>
            <w:vAlign w:val="bottom"/>
            <w:tcBorders>
              <w:top w:val="single" w:sz="8" w:color="auto"/>
            </w:tcBorders>
          </w:tcPr>
          <w:p>
            <w:pPr>
              <w:jc w:val="right"/>
              <w:ind w:right="179"/>
              <w:spacing w:after="0" w:line="195" w:lineRule="exact"/>
              <w:rPr>
                <w:sz w:val="20"/>
                <w:szCs w:val="20"/>
                <w:color w:val="auto"/>
              </w:rPr>
            </w:pPr>
            <w:r>
              <w:rPr>
                <w:rFonts w:ascii="Arial" w:cs="Arial" w:eastAsia="Arial" w:hAnsi="Arial"/>
                <w:sz w:val="18"/>
                <w:szCs w:val="18"/>
                <w:color w:val="auto"/>
              </w:rPr>
              <w:t>$(293)</w:t>
            </w:r>
          </w:p>
        </w:tc>
        <w:tc>
          <w:tcPr>
            <w:tcW w:w="460" w:type="dxa"/>
            <w:vAlign w:val="bottom"/>
          </w:tcPr>
          <w:p>
            <w:pPr>
              <w:spacing w:after="0"/>
              <w:rPr>
                <w:sz w:val="16"/>
                <w:szCs w:val="16"/>
                <w:color w:val="auto"/>
              </w:rPr>
            </w:pPr>
          </w:p>
        </w:tc>
        <w:tc>
          <w:tcPr>
            <w:tcW w:w="100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350.8%</w:t>
            </w:r>
          </w:p>
        </w:tc>
        <w:tc>
          <w:tcPr>
            <w:tcW w:w="480" w:type="dxa"/>
            <w:vAlign w:val="bottom"/>
          </w:tcPr>
          <w:p>
            <w:pPr>
              <w:spacing w:after="0"/>
              <w:rPr>
                <w:sz w:val="16"/>
                <w:szCs w:val="16"/>
                <w:color w:val="auto"/>
              </w:rPr>
            </w:pPr>
          </w:p>
        </w:tc>
        <w:tc>
          <w:tcPr>
            <w:tcW w:w="920" w:type="dxa"/>
            <w:vAlign w:val="bottom"/>
            <w:tcBorders>
              <w:top w:val="single" w:sz="8" w:color="auto"/>
            </w:tcBorders>
          </w:tcPr>
          <w:p>
            <w:pPr>
              <w:jc w:val="right"/>
              <w:ind w:right="176"/>
              <w:spacing w:after="0" w:line="195" w:lineRule="exact"/>
              <w:rPr>
                <w:sz w:val="20"/>
                <w:szCs w:val="20"/>
                <w:color w:val="auto"/>
              </w:rPr>
            </w:pPr>
            <w:r>
              <w:rPr>
                <w:rFonts w:ascii="Arial" w:cs="Arial" w:eastAsia="Arial" w:hAnsi="Arial"/>
                <w:sz w:val="18"/>
                <w:szCs w:val="18"/>
                <w:color w:val="auto"/>
              </w:rPr>
              <w:t>$ (65)</w:t>
            </w:r>
          </w:p>
        </w:tc>
        <w:tc>
          <w:tcPr>
            <w:tcW w:w="0" w:type="dxa"/>
            <w:vAlign w:val="bottom"/>
          </w:tcPr>
          <w:p>
            <w:pPr>
              <w:spacing w:after="0"/>
              <w:rPr>
                <w:sz w:val="1"/>
                <w:szCs w:val="1"/>
                <w:color w:val="auto"/>
              </w:rPr>
            </w:pPr>
          </w:p>
        </w:tc>
      </w:tr>
      <w:tr>
        <w:trPr>
          <w:trHeight w:val="230"/>
        </w:trPr>
        <w:tc>
          <w:tcPr>
            <w:tcW w:w="3160" w:type="dxa"/>
            <w:vAlign w:val="bottom"/>
            <w:gridSpan w:val="3"/>
          </w:tcPr>
          <w:p>
            <w:pPr>
              <w:spacing w:after="0"/>
              <w:rPr>
                <w:sz w:val="20"/>
                <w:szCs w:val="20"/>
                <w:color w:val="auto"/>
              </w:rPr>
            </w:pPr>
            <w:r>
              <w:rPr>
                <w:rFonts w:ascii="Arial" w:cs="Arial" w:eastAsia="Arial" w:hAnsi="Arial"/>
                <w:sz w:val="18"/>
                <w:szCs w:val="18"/>
                <w:color w:val="auto"/>
              </w:rPr>
              <w:t>Percentage of net sales</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39"/>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Other income, net, includes interest income and expense generated in connection with our financing and operating activities, as well as certain other transactions that are outside of the course of normal operations. For the three and six months ended April 30, 2007, other income, net, includes dividend income of $0.1 million from Limoneira Company. For the six months ended April 30, 2007, other income, net, includes $0.1 million of income from Maui Fresh, LLC.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April 30,</w:t>
            </w:r>
          </w:p>
        </w:tc>
        <w:tc>
          <w:tcPr>
            <w:tcW w:w="10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Six months ended April 30,</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gridSpan w:val="3"/>
            <w:vMerge w:val="continue"/>
          </w:tcPr>
          <w:p>
            <w:pPr>
              <w:spacing w:after="0"/>
              <w:rPr>
                <w:sz w:val="12"/>
                <w:szCs w:val="12"/>
                <w:color w:val="auto"/>
              </w:rPr>
            </w:pPr>
          </w:p>
        </w:tc>
        <w:tc>
          <w:tcPr>
            <w:tcW w:w="102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138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89"/>
              </w:rPr>
              <w:t>Change</w:t>
            </w:r>
          </w:p>
        </w:tc>
        <w:tc>
          <w:tcPr>
            <w:tcW w:w="102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100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146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Change</w:t>
            </w:r>
          </w:p>
        </w:tc>
        <w:tc>
          <w:tcPr>
            <w:tcW w:w="94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16"/>
                <w:szCs w:val="16"/>
                <w:color w:val="auto"/>
              </w:rPr>
            </w:pPr>
          </w:p>
        </w:tc>
        <w:tc>
          <w:tcPr>
            <w:tcW w:w="1020" w:type="dxa"/>
            <w:vAlign w:val="bottom"/>
            <w:tcBorders>
              <w:top w:val="single" w:sz="8" w:color="auto"/>
            </w:tcBorders>
          </w:tcPr>
          <w:p>
            <w:pPr>
              <w:jc w:val="right"/>
              <w:ind w:right="216"/>
              <w:spacing w:after="0" w:line="195" w:lineRule="exact"/>
              <w:rPr>
                <w:sz w:val="20"/>
                <w:szCs w:val="20"/>
                <w:color w:val="auto"/>
              </w:rPr>
            </w:pPr>
            <w:r>
              <w:rPr>
                <w:rFonts w:ascii="Arial" w:cs="Arial" w:eastAsia="Arial" w:hAnsi="Arial"/>
                <w:sz w:val="18"/>
                <w:szCs w:val="18"/>
                <w:color w:val="auto"/>
              </w:rPr>
              <w:t>$1,655</w:t>
            </w:r>
          </w:p>
        </w:tc>
        <w:tc>
          <w:tcPr>
            <w:tcW w:w="480" w:type="dxa"/>
            <w:vAlign w:val="bottom"/>
          </w:tcPr>
          <w:p>
            <w:pPr>
              <w:spacing w:after="0"/>
              <w:rPr>
                <w:sz w:val="16"/>
                <w:szCs w:val="16"/>
                <w:color w:val="auto"/>
              </w:rPr>
            </w:pPr>
          </w:p>
        </w:tc>
        <w:tc>
          <w:tcPr>
            <w:tcW w:w="920" w:type="dxa"/>
            <w:vAlign w:val="bottom"/>
            <w:tcBorders>
              <w:top w:val="single" w:sz="8" w:color="auto"/>
            </w:tcBorders>
          </w:tcPr>
          <w:p>
            <w:pPr>
              <w:jc w:val="right"/>
              <w:ind w:right="79"/>
              <w:spacing w:after="0" w:line="195" w:lineRule="exact"/>
              <w:rPr>
                <w:sz w:val="20"/>
                <w:szCs w:val="20"/>
                <w:color w:val="auto"/>
              </w:rPr>
            </w:pPr>
            <w:r>
              <w:rPr>
                <w:rFonts w:ascii="Arial" w:cs="Arial" w:eastAsia="Arial" w:hAnsi="Arial"/>
                <w:sz w:val="18"/>
                <w:szCs w:val="18"/>
                <w:color w:val="auto"/>
              </w:rPr>
              <w:t>16.6%</w:t>
            </w:r>
          </w:p>
        </w:tc>
        <w:tc>
          <w:tcPr>
            <w:tcW w:w="460" w:type="dxa"/>
            <w:vAlign w:val="bottom"/>
          </w:tcPr>
          <w:p>
            <w:pPr>
              <w:spacing w:after="0"/>
              <w:rPr>
                <w:sz w:val="16"/>
                <w:szCs w:val="16"/>
                <w:color w:val="auto"/>
              </w:rPr>
            </w:pPr>
          </w:p>
        </w:tc>
        <w:tc>
          <w:tcPr>
            <w:tcW w:w="1020" w:type="dxa"/>
            <w:vAlign w:val="bottom"/>
            <w:tcBorders>
              <w:top w:val="single" w:sz="8" w:color="auto"/>
            </w:tcBorders>
          </w:tcPr>
          <w:p>
            <w:pPr>
              <w:jc w:val="right"/>
              <w:ind w:right="236"/>
              <w:spacing w:after="0" w:line="195" w:lineRule="exact"/>
              <w:rPr>
                <w:sz w:val="20"/>
                <w:szCs w:val="20"/>
                <w:color w:val="auto"/>
              </w:rPr>
            </w:pPr>
            <w:r>
              <w:rPr>
                <w:rFonts w:ascii="Arial" w:cs="Arial" w:eastAsia="Arial" w:hAnsi="Arial"/>
                <w:sz w:val="18"/>
                <w:szCs w:val="18"/>
                <w:color w:val="auto"/>
              </w:rPr>
              <w:t>$1,419</w:t>
            </w:r>
          </w:p>
        </w:tc>
        <w:tc>
          <w:tcPr>
            <w:tcW w:w="480" w:type="dxa"/>
            <w:vAlign w:val="bottom"/>
          </w:tcPr>
          <w:p>
            <w:pPr>
              <w:spacing w:after="0"/>
              <w:rPr>
                <w:sz w:val="16"/>
                <w:szCs w:val="16"/>
                <w:color w:val="auto"/>
              </w:rPr>
            </w:pPr>
          </w:p>
        </w:tc>
        <w:tc>
          <w:tcPr>
            <w:tcW w:w="1000" w:type="dxa"/>
            <w:vAlign w:val="bottom"/>
            <w:tcBorders>
              <w:top w:val="single" w:sz="8" w:color="auto"/>
            </w:tcBorders>
          </w:tcPr>
          <w:p>
            <w:pPr>
              <w:jc w:val="right"/>
              <w:ind w:right="219"/>
              <w:spacing w:after="0" w:line="195" w:lineRule="exact"/>
              <w:rPr>
                <w:sz w:val="20"/>
                <w:szCs w:val="20"/>
                <w:color w:val="auto"/>
              </w:rPr>
            </w:pPr>
            <w:r>
              <w:rPr>
                <w:rFonts w:ascii="Arial" w:cs="Arial" w:eastAsia="Arial" w:hAnsi="Arial"/>
                <w:sz w:val="18"/>
                <w:szCs w:val="18"/>
                <w:color w:val="auto"/>
              </w:rPr>
              <w:t>$2,505</w:t>
            </w:r>
          </w:p>
        </w:tc>
        <w:tc>
          <w:tcPr>
            <w:tcW w:w="480" w:type="dxa"/>
            <w:vAlign w:val="bottom"/>
          </w:tcPr>
          <w:p>
            <w:pPr>
              <w:spacing w:after="0"/>
              <w:rPr>
                <w:sz w:val="16"/>
                <w:szCs w:val="16"/>
                <w:color w:val="auto"/>
              </w:rPr>
            </w:pPr>
          </w:p>
        </w:tc>
        <w:tc>
          <w:tcPr>
            <w:tcW w:w="100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rPr>
              <w:t>156.9%</w:t>
            </w:r>
          </w:p>
        </w:tc>
        <w:tc>
          <w:tcPr>
            <w:tcW w:w="460" w:type="dxa"/>
            <w:vAlign w:val="bottom"/>
          </w:tcPr>
          <w:p>
            <w:pPr>
              <w:spacing w:after="0"/>
              <w:rPr>
                <w:sz w:val="16"/>
                <w:szCs w:val="16"/>
                <w:color w:val="auto"/>
              </w:rPr>
            </w:pPr>
          </w:p>
        </w:tc>
        <w:tc>
          <w:tcPr>
            <w:tcW w:w="940" w:type="dxa"/>
            <w:vAlign w:val="bottom"/>
            <w:tcBorders>
              <w:top w:val="single" w:sz="8" w:color="auto"/>
            </w:tcBorders>
          </w:tcPr>
          <w:p>
            <w:pPr>
              <w:jc w:val="right"/>
              <w:ind w:right="236"/>
              <w:spacing w:after="0" w:line="195" w:lineRule="exact"/>
              <w:rPr>
                <w:sz w:val="20"/>
                <w:szCs w:val="20"/>
                <w:color w:val="auto"/>
              </w:rPr>
            </w:pPr>
            <w:r>
              <w:rPr>
                <w:rFonts w:ascii="Arial" w:cs="Arial" w:eastAsia="Arial" w:hAnsi="Arial"/>
                <w:sz w:val="18"/>
                <w:szCs w:val="18"/>
                <w:color w:val="auto"/>
              </w:rPr>
              <w:t>$ 975</w:t>
            </w: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Arial" w:cs="Arial" w:eastAsia="Arial" w:hAnsi="Arial"/>
                <w:sz w:val="18"/>
                <w:szCs w:val="18"/>
                <w:color w:val="auto"/>
              </w:rPr>
              <w:t>Percentage of income before</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provision for income taxes</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39.0%</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39.3%</w:t>
            </w:r>
          </w:p>
        </w:tc>
        <w:tc>
          <w:tcPr>
            <w:tcW w:w="1480" w:type="dxa"/>
            <w:vAlign w:val="bottom"/>
            <w:gridSpan w:val="2"/>
          </w:tcPr>
          <w:p>
            <w:pPr>
              <w:jc w:val="right"/>
              <w:ind w:right="79"/>
              <w:spacing w:after="0"/>
              <w:rPr>
                <w:sz w:val="20"/>
                <w:szCs w:val="20"/>
                <w:color w:val="auto"/>
              </w:rPr>
            </w:pPr>
            <w:r>
              <w:rPr>
                <w:rFonts w:ascii="Arial" w:cs="Arial" w:eastAsia="Arial" w:hAnsi="Arial"/>
                <w:sz w:val="18"/>
                <w:szCs w:val="18"/>
                <w:color w:val="auto"/>
              </w:rPr>
              <w:t>39.0%</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For the first six months of fiscal 2007, our provision for income taxes was $1.7 million, as compared to $1.4 million recorded for the comparable prior year period. We expect our effective tax rate to approximate 39.0% during fiscal 2007.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Cash provided by operating activities was $0.3 million for the six months ended April 30, 2007, compared to $3.3 million for the similar period in fiscal 2006. Operating cash flows for the six months ended April 30, 2007 reflect our net income of $3.9 million, net non-cash items (depreciation and amortization, stock compensation expense, income from Maui Fresh, LLC, and provision for losses on accounts receivable) of $1.1 million and a net decrease in the noncash components of our working capital of approximately $4.7 million.</w:t>
      </w:r>
    </w:p>
    <w:p>
      <w:pPr>
        <w:spacing w:after="0" w:line="79"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These working capital decreases include an increase in accounts receivable of $5.1 million, an increase in advances to suppliers of $4.6 million, an increase in inventory of $4.4 million, and an increase in prepaid expenses and other current assets of $0.8 million. These decreases were partially offset by an increase in trade accounts payable and accrued expenses of $7.3 million, a decrease in income tax receivable of $2.3 million, an increase in payable to growers of $0.4 million, and an increase in income tax payable of $0.2 million.</w:t>
      </w:r>
    </w:p>
    <w:p>
      <w:pPr>
        <w:spacing w:after="0" w:line="79" w:lineRule="exact"/>
        <w:rPr>
          <w:sz w:val="20"/>
          <w:szCs w:val="20"/>
          <w:color w:val="auto"/>
        </w:rPr>
      </w:pPr>
    </w:p>
    <w:p>
      <w:pPr>
        <w:ind w:right="120" w:firstLine="222"/>
        <w:spacing w:after="0" w:line="272" w:lineRule="auto"/>
        <w:rPr>
          <w:sz w:val="20"/>
          <w:szCs w:val="20"/>
          <w:color w:val="auto"/>
        </w:rPr>
      </w:pPr>
      <w:r>
        <w:rPr>
          <w:rFonts w:ascii="Arial" w:cs="Arial" w:eastAsia="Arial" w:hAnsi="Arial"/>
          <w:sz w:val="17"/>
          <w:szCs w:val="17"/>
          <w:color w:val="auto"/>
        </w:rPr>
        <w:t>The increase in our accounts receivable balance, as of April 30, 2007, when compared to October 31, 2006, primarily reflects higher sales recorded in the month of April 2007, as compared to October 2006. The increase in advances to suppliers is primarily related to outstanding advances to foreign tomato suppliers as of April 30, 2007, as compared to October 31, 2006. The increase in inventory is primarily related to an increase in California fruit delivered in the month of April 2007, as compared to October 2006, an increase in purchased foreign fruit, as well as an increase in finished processed foods, primarily driven by production exceeding sales during such time period. The increase in trade accounts payable and accrued expenses primarily reflects an increase in payables to foreign tomato suppliers as of April 2007, as compared to October 2006. The decrease in income tax receivable primarily relates to income from operations through the six months ended April 30, 2007.</w:t>
      </w:r>
    </w:p>
    <w:p>
      <w:pPr>
        <w:spacing w:after="0" w:line="70"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Cash used in investing activities was $2.1 million for the six months ended April 30, 2007 and related principally to the purchase of property, plant and equipment items.</w:t>
      </w:r>
    </w:p>
    <w:p>
      <w:pPr>
        <w:spacing w:after="0" w:line="62"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Cash provided by financing activities was $3.3 million for the six months ended April 30, 2007, which related principally to $5.4 million of borrowings from our lines of credit, as well as $2.4 million from the collection of our notes receivable from shareholders. Such proceeds were partially offset, however, by the payment of a $4.6 million dividend.</w:t>
      </w:r>
    </w:p>
    <w:p>
      <w:pPr>
        <w:spacing w:after="0" w:line="73"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Our principal sources of liquidity are our existing cash reserves, cash generated from operations and amounts available for borrowing under our existing credit facilities. Cash and cash equivalents as of April 30, 2007 and October 31, 2006 totaled $1.6 million and $0.1 million. Our working capital at April 30, 2007 was $20.5 million, compared to $12.0 million at October 31, 2006. The overall working capital increase primarily reflects increases in our accounts receivable, inventory and advances to suppliers balances, partially offset by an increase in our accrued expenses balance.</w:t>
      </w:r>
    </w:p>
    <w:p>
      <w:pPr>
        <w:spacing w:after="0" w:line="63"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We believe that cash flows from operations, available credit facilities, and long-term credit facilities will be sufficient to satisfy our future capital expenditures, grower recruitment efforts, working capital and other financing requirements. We will continue to evaluate grower recruitment opportunities and exclusivity arrangements with food service companies to fuel growth in each of our business segments. We have one short-term and one long-term, non-collateralized, revolving credit facilities. These credit facilities expire in February 2012 and April 2008 and are with separate banks. Under the terms of these agreements, we are advanced funds for both working capital and long-term productive asset purchases. Total credit available under the combined short-term borrowing agreements was $27 million, with a weighted-average interest rate of 6.0% and 6.2% at April 30, 2007 and October 31, 2006. Under these credit facilities, we had $9.3 million and $3.8 million outstanding as of April 30, 2007 and October 31, 2006. The credit facilities contain various financial covenants with which we were in compliance at April 30, 2007. The most significant financial covenants relate to working capital, tangible net worth (as defined), and Earnings Before Interest, Taxes, Depreciation and Amortization (EBITDA) (as defined) requirements. We have no significant commitments for capital expenditures as of April 30,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See footnote 1 to the consolidated condensed financial statements that are included in this Quarterly Report on Form 10-Q.</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April 30, 2007.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20" w:type="dxa"/>
            <w:vAlign w:val="bottom"/>
            <w:gridSpan w:val="3"/>
            <w:vMerge w:val="restart"/>
          </w:tcPr>
          <w:p>
            <w:pPr>
              <w:spacing w:after="0"/>
              <w:rPr>
                <w:sz w:val="20"/>
                <w:szCs w:val="20"/>
                <w:color w:val="auto"/>
              </w:rPr>
            </w:pPr>
            <w:r>
              <w:rPr>
                <w:rFonts w:ascii="Arial" w:cs="Arial" w:eastAsia="Arial" w:hAnsi="Arial"/>
                <w:sz w:val="14"/>
                <w:szCs w:val="14"/>
                <w:color w:val="auto"/>
              </w:rPr>
              <w:t>(All amounts in thousands)</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color w:val="auto"/>
              </w:rPr>
              <w:t>Expected maturity date April 30,</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2007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2008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2009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232"/>
              <w:spacing w:after="0" w:line="142" w:lineRule="exact"/>
              <w:rPr>
                <w:sz w:val="20"/>
                <w:szCs w:val="20"/>
                <w:color w:val="auto"/>
              </w:rPr>
            </w:pPr>
            <w:r>
              <w:rPr>
                <w:rFonts w:ascii="Arial" w:cs="Arial" w:eastAsia="Arial" w:hAnsi="Arial"/>
                <w:sz w:val="14"/>
                <w:szCs w:val="14"/>
                <w:color w:val="auto"/>
                <w:w w:val="96"/>
              </w:rPr>
              <w:t>2010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2011</w:t>
            </w:r>
          </w:p>
        </w:tc>
        <w:tc>
          <w:tcPr>
            <w:tcW w:w="240" w:type="dxa"/>
            <w:vAlign w:val="bottom"/>
          </w:tcPr>
          <w:p>
            <w:pPr>
              <w:spacing w:after="0"/>
              <w:rPr>
                <w:sz w:val="12"/>
                <w:szCs w:val="12"/>
                <w:color w:val="auto"/>
              </w:rPr>
            </w:pPr>
          </w:p>
        </w:tc>
        <w:tc>
          <w:tcPr>
            <w:tcW w:w="1040" w:type="dxa"/>
            <w:vAlign w:val="bottom"/>
            <w:gridSpan w:val="2"/>
          </w:tcPr>
          <w:p>
            <w:pPr>
              <w:ind w:left="220"/>
              <w:spacing w:after="0" w:line="142" w:lineRule="exact"/>
              <w:rPr>
                <w:sz w:val="20"/>
                <w:szCs w:val="20"/>
                <w:color w:val="auto"/>
              </w:rPr>
            </w:pPr>
            <w:r>
              <w:rPr>
                <w:rFonts w:ascii="Arial" w:cs="Arial" w:eastAsia="Arial" w:hAnsi="Arial"/>
                <w:sz w:val="14"/>
                <w:szCs w:val="14"/>
                <w:color w:val="auto"/>
              </w:rPr>
              <w:t>Thereafter</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Total</w:t>
            </w:r>
          </w:p>
        </w:tc>
        <w:tc>
          <w:tcPr>
            <w:tcW w:w="240" w:type="dxa"/>
            <w:vAlign w:val="bottom"/>
          </w:tcPr>
          <w:p>
            <w:pPr>
              <w:spacing w:after="0"/>
              <w:rPr>
                <w:sz w:val="12"/>
                <w:szCs w:val="12"/>
                <w:color w:val="auto"/>
              </w:rPr>
            </w:pPr>
          </w:p>
        </w:tc>
        <w:tc>
          <w:tcPr>
            <w:tcW w:w="1000" w:type="dxa"/>
            <w:vAlign w:val="bottom"/>
            <w:gridSpan w:val="2"/>
          </w:tcPr>
          <w:p>
            <w:pPr>
              <w:jc w:val="right"/>
              <w:ind w:right="110"/>
              <w:spacing w:after="0" w:line="142"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1,568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1,568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3"/>
              </w:rPr>
              <w:t>29,114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7"/>
              </w:rPr>
              <w:t>29,114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29,114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growers (1)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6,715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6,715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Accounts payable (1)</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2,222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2,222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Current borrowings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pursuant to credit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facilities (1)</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6,250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6,250</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Long-term borrowings</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pursuant to credit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facilities (2)</w:t>
            </w:r>
          </w:p>
        </w:tc>
        <w:tc>
          <w:tcPr>
            <w:tcW w:w="26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3,000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Fixed-rate long-term</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obligations (3).</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1,308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1,306</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4"/>
              </w:rPr>
              <w:t>1,300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4"/>
              </w:rPr>
              <w:t>1,300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4"/>
              </w:rPr>
              <w:t>1,300</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4"/>
              </w:rPr>
              <w:t>5,200</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7"/>
              </w:rPr>
              <w:t>11,714</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10,754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4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believe the carrying amounts of cash and cash equivalents, accounts receivable, payable to growers, accounts payable, and current borrowings pursuant to credit facilities approximate their fair value due to the short maturity of these financial instruments.</w:t>
      </w:r>
    </w:p>
    <w:p>
      <w:pPr>
        <w:spacing w:after="0" w:line="21" w:lineRule="exact"/>
        <w:rPr>
          <w:rFonts w:ascii="Arial" w:cs="Arial" w:eastAsia="Arial" w:hAnsi="Arial"/>
          <w:sz w:val="18"/>
          <w:szCs w:val="18"/>
          <w:color w:val="auto"/>
        </w:rPr>
      </w:pPr>
    </w:p>
    <w:p>
      <w:pPr>
        <w:ind w:left="460" w:right="6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Long-term borrowings pursuant to credit facilities bear interest at 6.3% at April 30, 2007. We believe that a portfolio of loans with a similar risk profile would currently yield a similar return. We project the impact of an increase or decrease in interest rates of 100 basis points would result in a change of fair value of approximately $110,000.</w:t>
      </w:r>
    </w:p>
    <w:p>
      <w:pPr>
        <w:spacing w:after="0" w:line="32" w:lineRule="exact"/>
        <w:rPr>
          <w:rFonts w:ascii="Arial" w:cs="Arial" w:eastAsia="Arial" w:hAnsi="Arial"/>
          <w:sz w:val="18"/>
          <w:szCs w:val="18"/>
          <w:color w:val="auto"/>
        </w:rPr>
      </w:pPr>
    </w:p>
    <w:p>
      <w:pPr>
        <w:ind w:left="460" w:right="20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Fixed-rate long-term obligations bear interest rates ranging from 3.3% to 8.2% with a weighted-average interest rate of 5.7%. We believe that loans with a similar risk profile would currently yield a return of 7.2%. We project the impact of an increase or decrease in interest rates of 100 basis points would result in a change of fair value of approximately $434,000.</w:t>
      </w:r>
    </w:p>
    <w:p>
      <w:pPr>
        <w:spacing w:after="0" w:line="73"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Our Mexican-based operations transact business in Mexican pesos. Funds are transferred by our corporate office to Mexico on a weekly basis to satisfy domestic cash needs. Consequently, the spot rate for the Mexican peso has a moderate impact on our operating results. However, we do not believe that this impact is sufficient to warrant the use of derivative instruments to hedge the fluctuation in the Mexican peso. Total foreign currency gains and losses for each of the three years in the period ended October 31, 2006 do not exceed $0.1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79"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There were no substantial changes in the Company’s internal control over financial reporting during the quarter ended April 30, 2007 that have materially affected, or are reasonably likely to materially affect, the Company’s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We are involved in litigation in the ordinary course of business, none of which we believe will have a material adverse impact on our financial position or results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On April 25, 2007, we held the annual meeting of shareholders of Calavo Growers, Inc. at 15765 W. Telegraph Road, Santa Paula, California, 93060. At the meeting, the holders of our outstanding common stock acted on the following matters: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 The shareholders voted on a cumulative basis for 13 directors, each to serve for a term of one year. Each nominee received the following votes: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Nominee</w:t>
            </w:r>
          </w:p>
        </w:tc>
        <w:tc>
          <w:tcPr>
            <w:tcW w:w="520" w:type="dxa"/>
            <w:vAlign w:val="bottom"/>
          </w:tcPr>
          <w:p>
            <w:pPr>
              <w:spacing w:after="0"/>
              <w:rPr>
                <w:sz w:val="14"/>
                <w:szCs w:val="14"/>
                <w:color w:val="auto"/>
              </w:rPr>
            </w:pPr>
          </w:p>
        </w:tc>
        <w:tc>
          <w:tcPr>
            <w:tcW w:w="1440" w:type="dxa"/>
            <w:vAlign w:val="bottom"/>
          </w:tcPr>
          <w:p>
            <w:pPr>
              <w:jc w:val="right"/>
              <w:ind w:right="482"/>
              <w:spacing w:after="0"/>
              <w:rPr>
                <w:sz w:val="20"/>
                <w:szCs w:val="20"/>
                <w:color w:val="auto"/>
              </w:rPr>
            </w:pPr>
            <w:r>
              <w:rPr>
                <w:rFonts w:ascii="Arial" w:cs="Arial" w:eastAsia="Arial" w:hAnsi="Arial"/>
                <w:sz w:val="14"/>
                <w:szCs w:val="14"/>
                <w:b w:val="1"/>
                <w:bCs w:val="1"/>
                <w:color w:val="auto"/>
              </w:rPr>
              <w:t>Votes</w:t>
            </w:r>
          </w:p>
        </w:tc>
        <w:tc>
          <w:tcPr>
            <w:tcW w:w="500" w:type="dxa"/>
            <w:vAlign w:val="bottom"/>
          </w:tcPr>
          <w:p>
            <w:pPr>
              <w:spacing w:after="0"/>
              <w:rPr>
                <w:sz w:val="14"/>
                <w:szCs w:val="14"/>
                <w:color w:val="auto"/>
              </w:rPr>
            </w:pPr>
          </w:p>
        </w:tc>
        <w:tc>
          <w:tcPr>
            <w:tcW w:w="1220" w:type="dxa"/>
            <w:vAlign w:val="bottom"/>
          </w:tcPr>
          <w:p>
            <w:pPr>
              <w:jc w:val="right"/>
              <w:ind w:right="362"/>
              <w:spacing w:after="0"/>
              <w:rPr>
                <w:sz w:val="20"/>
                <w:szCs w:val="20"/>
                <w:color w:val="auto"/>
              </w:rPr>
            </w:pPr>
            <w:r>
              <w:rPr>
                <w:rFonts w:ascii="Arial" w:cs="Arial" w:eastAsia="Arial" w:hAnsi="Arial"/>
                <w:sz w:val="14"/>
                <w:szCs w:val="14"/>
                <w:b w:val="1"/>
                <w:bCs w:val="1"/>
                <w:color w:val="auto"/>
              </w:rPr>
              <w:t>Votes</w:t>
            </w:r>
          </w:p>
        </w:tc>
        <w:tc>
          <w:tcPr>
            <w:tcW w:w="0" w:type="dxa"/>
            <w:vAlign w:val="bottom"/>
          </w:tcPr>
          <w:p>
            <w:pPr>
              <w:spacing w:after="0"/>
              <w:rPr>
                <w:sz w:val="1"/>
                <w:szCs w:val="1"/>
                <w:color w:val="auto"/>
              </w:rPr>
            </w:pPr>
          </w:p>
        </w:tc>
      </w:tr>
      <w:tr>
        <w:trPr>
          <w:trHeight w:val="171"/>
        </w:trPr>
        <w:tc>
          <w:tcPr>
            <w:tcW w:w="774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jc w:val="right"/>
              <w:ind w:right="542"/>
              <w:spacing w:after="0"/>
              <w:rPr>
                <w:sz w:val="20"/>
                <w:szCs w:val="20"/>
                <w:color w:val="auto"/>
              </w:rPr>
            </w:pPr>
            <w:r>
              <w:rPr>
                <w:rFonts w:ascii="Arial" w:cs="Arial" w:eastAsia="Arial" w:hAnsi="Arial"/>
                <w:sz w:val="14"/>
                <w:szCs w:val="14"/>
                <w:b w:val="1"/>
                <w:bCs w:val="1"/>
                <w:color w:val="auto"/>
              </w:rPr>
              <w:t>For</w:t>
            </w:r>
          </w:p>
        </w:tc>
        <w:tc>
          <w:tcPr>
            <w:tcW w:w="500" w:type="dxa"/>
            <w:vAlign w:val="bottom"/>
          </w:tcPr>
          <w:p>
            <w:pPr>
              <w:spacing w:after="0"/>
              <w:rPr>
                <w:sz w:val="14"/>
                <w:szCs w:val="14"/>
                <w:color w:val="auto"/>
              </w:rPr>
            </w:pPr>
          </w:p>
        </w:tc>
        <w:tc>
          <w:tcPr>
            <w:tcW w:w="1220" w:type="dxa"/>
            <w:vAlign w:val="bottom"/>
          </w:tcPr>
          <w:p>
            <w:pPr>
              <w:jc w:val="right"/>
              <w:ind w:right="242"/>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Lecil E. Cole</w:t>
            </w:r>
          </w:p>
        </w:tc>
        <w:tc>
          <w:tcPr>
            <w:tcW w:w="5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8"/>
                <w:szCs w:val="18"/>
                <w:color w:val="auto"/>
              </w:rPr>
              <w:t>28,986,678</w:t>
            </w:r>
          </w:p>
        </w:tc>
        <w:tc>
          <w:tcPr>
            <w:tcW w:w="5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8"/>
                <w:szCs w:val="18"/>
                <w:color w:val="auto"/>
              </w:rPr>
              <w:t>287,982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George H. Barnes</w:t>
            </w:r>
          </w:p>
        </w:tc>
        <w:tc>
          <w:tcPr>
            <w:tcW w:w="1960" w:type="dxa"/>
            <w:vAlign w:val="bottom"/>
            <w:gridSpan w:val="2"/>
          </w:tcPr>
          <w:p>
            <w:pPr>
              <w:jc w:val="right"/>
              <w:ind w:right="242"/>
              <w:spacing w:after="0"/>
              <w:rPr>
                <w:sz w:val="20"/>
                <w:szCs w:val="20"/>
                <w:color w:val="auto"/>
              </w:rPr>
            </w:pPr>
            <w:r>
              <w:rPr>
                <w:rFonts w:ascii="Arial" w:cs="Arial" w:eastAsia="Arial" w:hAnsi="Arial"/>
                <w:sz w:val="18"/>
                <w:szCs w:val="18"/>
                <w:color w:val="auto"/>
              </w:rPr>
              <w:t>8,247,445</w:t>
            </w:r>
          </w:p>
        </w:tc>
        <w:tc>
          <w:tcPr>
            <w:tcW w:w="1720" w:type="dxa"/>
            <w:vAlign w:val="bottom"/>
            <w:gridSpan w:val="2"/>
          </w:tcPr>
          <w:p>
            <w:pPr>
              <w:jc w:val="right"/>
              <w:ind w:right="242"/>
              <w:spacing w:after="0"/>
              <w:rPr>
                <w:sz w:val="20"/>
                <w:szCs w:val="20"/>
                <w:color w:val="auto"/>
              </w:rPr>
            </w:pPr>
            <w:r>
              <w:rPr>
                <w:rFonts w:ascii="Arial" w:cs="Arial" w:eastAsia="Arial" w:hAnsi="Arial"/>
                <w:sz w:val="18"/>
                <w:szCs w:val="18"/>
                <w:color w:val="auto"/>
              </w:rPr>
              <w:t>329,056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Michael D. Hause</w:t>
            </w:r>
          </w:p>
        </w:tc>
        <w:tc>
          <w:tcPr>
            <w:tcW w:w="196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9,282,475</w:t>
            </w:r>
          </w:p>
        </w:tc>
        <w:tc>
          <w:tcPr>
            <w:tcW w:w="17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279,817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Donald M. Sanders</w:t>
            </w:r>
          </w:p>
        </w:tc>
        <w:tc>
          <w:tcPr>
            <w:tcW w:w="1960" w:type="dxa"/>
            <w:vAlign w:val="bottom"/>
            <w:gridSpan w:val="2"/>
          </w:tcPr>
          <w:p>
            <w:pPr>
              <w:jc w:val="right"/>
              <w:ind w:right="242"/>
              <w:spacing w:after="0"/>
              <w:rPr>
                <w:sz w:val="20"/>
                <w:szCs w:val="20"/>
                <w:color w:val="auto"/>
              </w:rPr>
            </w:pPr>
            <w:r>
              <w:rPr>
                <w:rFonts w:ascii="Arial" w:cs="Arial" w:eastAsia="Arial" w:hAnsi="Arial"/>
                <w:sz w:val="18"/>
                <w:szCs w:val="18"/>
                <w:color w:val="auto"/>
              </w:rPr>
              <w:t>12,344,988</w:t>
            </w:r>
          </w:p>
        </w:tc>
        <w:tc>
          <w:tcPr>
            <w:tcW w:w="1720" w:type="dxa"/>
            <w:vAlign w:val="bottom"/>
            <w:gridSpan w:val="2"/>
          </w:tcPr>
          <w:p>
            <w:pPr>
              <w:jc w:val="right"/>
              <w:ind w:right="242"/>
              <w:spacing w:after="0"/>
              <w:rPr>
                <w:sz w:val="20"/>
                <w:szCs w:val="20"/>
                <w:color w:val="auto"/>
              </w:rPr>
            </w:pPr>
            <w:r>
              <w:rPr>
                <w:rFonts w:ascii="Arial" w:cs="Arial" w:eastAsia="Arial" w:hAnsi="Arial"/>
                <w:sz w:val="18"/>
                <w:szCs w:val="18"/>
                <w:color w:val="auto"/>
              </w:rPr>
              <w:t>42,359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Fred J. Ferrazzano</w:t>
            </w:r>
          </w:p>
        </w:tc>
        <w:tc>
          <w:tcPr>
            <w:tcW w:w="196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9,789,816</w:t>
            </w:r>
          </w:p>
        </w:tc>
        <w:tc>
          <w:tcPr>
            <w:tcW w:w="17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328,238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Alva V. Snider</w:t>
            </w:r>
          </w:p>
        </w:tc>
        <w:tc>
          <w:tcPr>
            <w:tcW w:w="1960" w:type="dxa"/>
            <w:vAlign w:val="bottom"/>
            <w:gridSpan w:val="2"/>
          </w:tcPr>
          <w:p>
            <w:pPr>
              <w:jc w:val="right"/>
              <w:ind w:right="242"/>
              <w:spacing w:after="0"/>
              <w:rPr>
                <w:sz w:val="20"/>
                <w:szCs w:val="20"/>
                <w:color w:val="auto"/>
              </w:rPr>
            </w:pPr>
            <w:r>
              <w:rPr>
                <w:rFonts w:ascii="Arial" w:cs="Arial" w:eastAsia="Arial" w:hAnsi="Arial"/>
                <w:sz w:val="18"/>
                <w:szCs w:val="18"/>
                <w:color w:val="auto"/>
              </w:rPr>
              <w:t>9,590,019</w:t>
            </w:r>
          </w:p>
        </w:tc>
        <w:tc>
          <w:tcPr>
            <w:tcW w:w="1720" w:type="dxa"/>
            <w:vAlign w:val="bottom"/>
            <w:gridSpan w:val="2"/>
          </w:tcPr>
          <w:p>
            <w:pPr>
              <w:jc w:val="right"/>
              <w:ind w:right="242"/>
              <w:spacing w:after="0"/>
              <w:rPr>
                <w:sz w:val="20"/>
                <w:szCs w:val="20"/>
                <w:color w:val="auto"/>
              </w:rPr>
            </w:pPr>
            <w:r>
              <w:rPr>
                <w:rFonts w:ascii="Arial" w:cs="Arial" w:eastAsia="Arial" w:hAnsi="Arial"/>
                <w:sz w:val="18"/>
                <w:szCs w:val="18"/>
                <w:color w:val="auto"/>
              </w:rPr>
              <w:t>420,785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Scott Van Der Kar</w:t>
            </w:r>
          </w:p>
        </w:tc>
        <w:tc>
          <w:tcPr>
            <w:tcW w:w="196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10,638,651</w:t>
            </w:r>
          </w:p>
        </w:tc>
        <w:tc>
          <w:tcPr>
            <w:tcW w:w="17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370,475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J. Link Leavens</w:t>
            </w:r>
          </w:p>
        </w:tc>
        <w:tc>
          <w:tcPr>
            <w:tcW w:w="1960" w:type="dxa"/>
            <w:vAlign w:val="bottom"/>
            <w:gridSpan w:val="2"/>
          </w:tcPr>
          <w:p>
            <w:pPr>
              <w:jc w:val="right"/>
              <w:ind w:right="242"/>
              <w:spacing w:after="0"/>
              <w:rPr>
                <w:sz w:val="20"/>
                <w:szCs w:val="20"/>
                <w:color w:val="auto"/>
              </w:rPr>
            </w:pPr>
            <w:r>
              <w:rPr>
                <w:rFonts w:ascii="Arial" w:cs="Arial" w:eastAsia="Arial" w:hAnsi="Arial"/>
                <w:sz w:val="18"/>
                <w:szCs w:val="18"/>
                <w:color w:val="auto"/>
              </w:rPr>
              <w:t>14,008,536</w:t>
            </w:r>
          </w:p>
        </w:tc>
        <w:tc>
          <w:tcPr>
            <w:tcW w:w="1720" w:type="dxa"/>
            <w:vAlign w:val="bottom"/>
            <w:gridSpan w:val="2"/>
          </w:tcPr>
          <w:p>
            <w:pPr>
              <w:jc w:val="right"/>
              <w:ind w:right="242"/>
              <w:spacing w:after="0"/>
              <w:rPr>
                <w:sz w:val="20"/>
                <w:szCs w:val="20"/>
                <w:color w:val="auto"/>
              </w:rPr>
            </w:pPr>
            <w:r>
              <w:rPr>
                <w:rFonts w:ascii="Arial" w:cs="Arial" w:eastAsia="Arial" w:hAnsi="Arial"/>
                <w:sz w:val="18"/>
                <w:szCs w:val="18"/>
                <w:color w:val="auto"/>
              </w:rPr>
              <w:t>382,888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Dorcas H. McFarlane</w:t>
            </w:r>
          </w:p>
        </w:tc>
        <w:tc>
          <w:tcPr>
            <w:tcW w:w="196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9,963,785</w:t>
            </w:r>
          </w:p>
        </w:tc>
        <w:tc>
          <w:tcPr>
            <w:tcW w:w="17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396,147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John M. Hunt</w:t>
            </w:r>
          </w:p>
        </w:tc>
        <w:tc>
          <w:tcPr>
            <w:tcW w:w="1960" w:type="dxa"/>
            <w:vAlign w:val="bottom"/>
            <w:gridSpan w:val="2"/>
          </w:tcPr>
          <w:p>
            <w:pPr>
              <w:jc w:val="right"/>
              <w:ind w:right="242"/>
              <w:spacing w:after="0"/>
              <w:rPr>
                <w:sz w:val="20"/>
                <w:szCs w:val="20"/>
                <w:color w:val="auto"/>
              </w:rPr>
            </w:pPr>
            <w:r>
              <w:rPr>
                <w:rFonts w:ascii="Arial" w:cs="Arial" w:eastAsia="Arial" w:hAnsi="Arial"/>
                <w:sz w:val="18"/>
                <w:szCs w:val="18"/>
                <w:color w:val="auto"/>
              </w:rPr>
              <w:t>10,775,668</w:t>
            </w:r>
          </w:p>
        </w:tc>
        <w:tc>
          <w:tcPr>
            <w:tcW w:w="1720" w:type="dxa"/>
            <w:vAlign w:val="bottom"/>
            <w:gridSpan w:val="2"/>
          </w:tcPr>
          <w:p>
            <w:pPr>
              <w:jc w:val="right"/>
              <w:ind w:right="242"/>
              <w:spacing w:after="0"/>
              <w:rPr>
                <w:sz w:val="20"/>
                <w:szCs w:val="20"/>
                <w:color w:val="auto"/>
              </w:rPr>
            </w:pPr>
            <w:r>
              <w:rPr>
                <w:rFonts w:ascii="Arial" w:cs="Arial" w:eastAsia="Arial" w:hAnsi="Arial"/>
                <w:sz w:val="18"/>
                <w:szCs w:val="18"/>
                <w:color w:val="auto"/>
              </w:rPr>
              <w:t>312,511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Egidio Carbone, Jr.</w:t>
            </w:r>
          </w:p>
        </w:tc>
        <w:tc>
          <w:tcPr>
            <w:tcW w:w="196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8,327,514</w:t>
            </w:r>
          </w:p>
        </w:tc>
        <w:tc>
          <w:tcPr>
            <w:tcW w:w="17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448,077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Harold Edwards</w:t>
            </w:r>
          </w:p>
        </w:tc>
        <w:tc>
          <w:tcPr>
            <w:tcW w:w="1960" w:type="dxa"/>
            <w:vAlign w:val="bottom"/>
            <w:gridSpan w:val="2"/>
          </w:tcPr>
          <w:p>
            <w:pPr>
              <w:jc w:val="right"/>
              <w:ind w:right="242"/>
              <w:spacing w:after="0"/>
              <w:rPr>
                <w:sz w:val="20"/>
                <w:szCs w:val="20"/>
                <w:color w:val="auto"/>
              </w:rPr>
            </w:pPr>
            <w:r>
              <w:rPr>
                <w:rFonts w:ascii="Arial" w:cs="Arial" w:eastAsia="Arial" w:hAnsi="Arial"/>
                <w:sz w:val="18"/>
                <w:szCs w:val="18"/>
                <w:color w:val="auto"/>
              </w:rPr>
              <w:t>8,276,934</w:t>
            </w:r>
          </w:p>
        </w:tc>
        <w:tc>
          <w:tcPr>
            <w:tcW w:w="1720" w:type="dxa"/>
            <w:vAlign w:val="bottom"/>
            <w:gridSpan w:val="2"/>
          </w:tcPr>
          <w:p>
            <w:pPr>
              <w:jc w:val="right"/>
              <w:ind w:right="242"/>
              <w:spacing w:after="0"/>
              <w:rPr>
                <w:sz w:val="20"/>
                <w:szCs w:val="20"/>
                <w:color w:val="auto"/>
              </w:rPr>
            </w:pPr>
            <w:r>
              <w:rPr>
                <w:rFonts w:ascii="Arial" w:cs="Arial" w:eastAsia="Arial" w:hAnsi="Arial"/>
                <w:sz w:val="18"/>
                <w:szCs w:val="18"/>
                <w:color w:val="auto"/>
              </w:rPr>
              <w:t>298,657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Alan Van Wagner</w:t>
            </w:r>
          </w:p>
        </w:tc>
        <w:tc>
          <w:tcPr>
            <w:tcW w:w="196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8,492,660</w:t>
            </w:r>
          </w:p>
        </w:tc>
        <w:tc>
          <w:tcPr>
            <w:tcW w:w="17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332,786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8"/>
        <w:spacing w:after="0" w:line="277" w:lineRule="auto"/>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shareholders voted for the ratification of the appointment of Ernst &amp; Young LLP as our independent accountants for fiscal 2007. Votes cast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8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11,720,250</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Against</w:t>
            </w:r>
          </w:p>
        </w:tc>
        <w:tc>
          <w:tcPr>
            <w:tcW w:w="8320" w:type="dxa"/>
            <w:vAlign w:val="bottom"/>
          </w:tcPr>
          <w:p>
            <w:pPr>
              <w:jc w:val="right"/>
              <w:ind w:right="230"/>
              <w:spacing w:after="0"/>
              <w:rPr>
                <w:sz w:val="20"/>
                <w:szCs w:val="20"/>
                <w:color w:val="auto"/>
              </w:rPr>
            </w:pPr>
            <w:r>
              <w:rPr>
                <w:rFonts w:ascii="Arial" w:cs="Arial" w:eastAsia="Arial" w:hAnsi="Arial"/>
                <w:sz w:val="18"/>
                <w:szCs w:val="18"/>
                <w:color w:val="auto"/>
              </w:rPr>
              <w:t>12,825</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8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28,844</w:t>
            </w:r>
          </w:p>
        </w:tc>
      </w:tr>
      <w:tr>
        <w:trPr>
          <w:trHeight w:val="405"/>
        </w:trPr>
        <w:tc>
          <w:tcPr>
            <w:tcW w:w="3100" w:type="dxa"/>
            <w:vAlign w:val="bottom"/>
          </w:tcPr>
          <w:p>
            <w:pPr>
              <w:spacing w:after="0"/>
              <w:rPr>
                <w:sz w:val="24"/>
                <w:szCs w:val="24"/>
                <w:color w:val="auto"/>
              </w:rPr>
            </w:pPr>
          </w:p>
        </w:tc>
        <w:tc>
          <w:tcPr>
            <w:tcW w:w="8320" w:type="dxa"/>
            <w:vAlign w:val="bottom"/>
          </w:tcPr>
          <w:p>
            <w:pPr>
              <w:jc w:val="right"/>
              <w:ind w:right="5530"/>
              <w:spacing w:after="0"/>
              <w:rPr>
                <w:sz w:val="20"/>
                <w:szCs w:val="20"/>
                <w:color w:val="auto"/>
              </w:rPr>
            </w:pPr>
            <w:r>
              <w:rPr>
                <w:rFonts w:ascii="Arial" w:cs="Arial" w:eastAsia="Arial" w:hAnsi="Arial"/>
                <w:sz w:val="18"/>
                <w:szCs w:val="18"/>
                <w:color w:val="auto"/>
              </w:rPr>
              <w:t>25</w:t>
            </w:r>
          </w:p>
        </w:tc>
      </w:tr>
      <w:tr>
        <w:trPr>
          <w:trHeight w:val="226"/>
        </w:trPr>
        <w:tc>
          <w:tcPr>
            <w:tcW w:w="3100" w:type="dxa"/>
            <w:vAlign w:val="bottom"/>
            <w:tcBorders>
              <w:bottom w:val="single" w:sz="8" w:color="808080"/>
            </w:tcBorders>
          </w:tcPr>
          <w:p>
            <w:pPr>
              <w:spacing w:after="0"/>
              <w:rPr>
                <w:sz w:val="19"/>
                <w:szCs w:val="19"/>
                <w:color w:val="auto"/>
              </w:rPr>
            </w:pPr>
          </w:p>
        </w:tc>
        <w:tc>
          <w:tcPr>
            <w:tcW w:w="8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  Term Revolving Credit Agreement dated as of February 7, 2007 between Farm Credit West, PCA and Calavo Growers, Inc.</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31.1  Certification of Chief Executive Officer Pursuant to 15 U.S.C. § 7241, as Adopted Pursuant to Section 302 of the Sarbanes-Oxley Act of 2002.</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31.2  Certification of Principal Financial Officer Pursuant to 15 U.S.C. § 7241, as Adopted Pursuant to Section 302 of the Sarbanes-Oxley Act of 2002.</w:t>
      </w:r>
    </w:p>
    <w:p>
      <w:pPr>
        <w:spacing w:after="0" w:line="154" w:lineRule="exact"/>
        <w:rPr>
          <w:sz w:val="20"/>
          <w:szCs w:val="20"/>
          <w:color w:val="auto"/>
        </w:rPr>
      </w:pPr>
    </w:p>
    <w:p>
      <w:pPr>
        <w:ind w:left="5620" w:right="1580" w:hanging="5166"/>
        <w:spacing w:after="0" w:line="496" w:lineRule="auto"/>
        <w:tabs>
          <w:tab w:leader="none" w:pos="896"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Certification by Chief Executive Officer and Chief Financial Officer of Periodic Report Pursuant to 18 U.S.C. Section 1350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6360" w:type="dxa"/>
            <w:vAlign w:val="bottom"/>
            <w:gridSpan w:val="3"/>
          </w:tcPr>
          <w:p>
            <w:pPr>
              <w:ind w:left="2000"/>
              <w:spacing w:after="0"/>
              <w:rPr>
                <w:sz w:val="20"/>
                <w:szCs w:val="20"/>
                <w:color w:val="auto"/>
              </w:rPr>
            </w:pPr>
            <w:r>
              <w:rPr>
                <w:rFonts w:ascii="Arial" w:cs="Arial" w:eastAsia="Arial" w:hAnsi="Arial"/>
                <w:sz w:val="18"/>
                <w:szCs w:val="18"/>
                <w:color w:val="auto"/>
              </w:rPr>
              <w:t>Calavo Growers, Inc.</w:t>
            </w:r>
          </w:p>
        </w:tc>
        <w:tc>
          <w:tcPr>
            <w:tcW w:w="16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6360" w:type="dxa"/>
            <w:vAlign w:val="bottom"/>
            <w:gridSpan w:val="3"/>
          </w:tcPr>
          <w:p>
            <w:pPr>
              <w:ind w:left="2000"/>
              <w:spacing w:after="0"/>
              <w:rPr>
                <w:sz w:val="20"/>
                <w:szCs w:val="20"/>
                <w:color w:val="auto"/>
              </w:rPr>
            </w:pPr>
            <w:r>
              <w:rPr>
                <w:rFonts w:ascii="Arial" w:cs="Arial" w:eastAsia="Arial" w:hAnsi="Arial"/>
                <w:sz w:val="18"/>
                <w:szCs w:val="18"/>
                <w:color w:val="auto"/>
              </w:rPr>
              <w:t>(Registrant)</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June 7, 2007</w:t>
            </w:r>
          </w:p>
        </w:tc>
        <w:tc>
          <w:tcPr>
            <w:tcW w:w="2220" w:type="dxa"/>
            <w:vAlign w:val="bottom"/>
          </w:tcPr>
          <w:p>
            <w:pPr>
              <w:ind w:left="2000"/>
              <w:spacing w:after="0"/>
              <w:rPr>
                <w:sz w:val="20"/>
                <w:szCs w:val="20"/>
                <w:color w:val="auto"/>
              </w:rPr>
            </w:pPr>
            <w:r>
              <w:rPr>
                <w:rFonts w:ascii="Arial" w:cs="Arial" w:eastAsia="Arial" w:hAnsi="Arial"/>
                <w:sz w:val="18"/>
                <w:szCs w:val="18"/>
                <w:color w:val="auto"/>
                <w:w w:val="94"/>
              </w:rPr>
              <w:t>By</w:t>
            </w:r>
          </w:p>
        </w:tc>
        <w:tc>
          <w:tcPr>
            <w:tcW w:w="10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Lecil E. Cole</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Lecil E. Cole</w:t>
            </w:r>
          </w:p>
        </w:tc>
        <w:tc>
          <w:tcPr>
            <w:tcW w:w="168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c>
          <w:tcPr>
            <w:tcW w:w="16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r>
      <w:tr>
        <w:trPr>
          <w:trHeight w:val="648"/>
        </w:trPr>
        <w:tc>
          <w:tcPr>
            <w:tcW w:w="3380" w:type="dxa"/>
            <w:vAlign w:val="bottom"/>
          </w:tcPr>
          <w:p>
            <w:pPr>
              <w:spacing w:after="0"/>
              <w:rPr>
                <w:sz w:val="20"/>
                <w:szCs w:val="20"/>
                <w:color w:val="auto"/>
              </w:rPr>
            </w:pPr>
            <w:r>
              <w:rPr>
                <w:rFonts w:ascii="Arial" w:cs="Arial" w:eastAsia="Arial" w:hAnsi="Arial"/>
                <w:sz w:val="18"/>
                <w:szCs w:val="18"/>
                <w:color w:val="auto"/>
              </w:rPr>
              <w:t>Date: June 7, 2007</w:t>
            </w:r>
          </w:p>
        </w:tc>
        <w:tc>
          <w:tcPr>
            <w:tcW w:w="2220" w:type="dxa"/>
            <w:vAlign w:val="bottom"/>
          </w:tcPr>
          <w:p>
            <w:pPr>
              <w:ind w:left="2000"/>
              <w:spacing w:after="0"/>
              <w:rPr>
                <w:sz w:val="20"/>
                <w:szCs w:val="20"/>
                <w:color w:val="auto"/>
              </w:rPr>
            </w:pPr>
            <w:r>
              <w:rPr>
                <w:rFonts w:ascii="Arial" w:cs="Arial" w:eastAsia="Arial" w:hAnsi="Arial"/>
                <w:sz w:val="18"/>
                <w:szCs w:val="18"/>
                <w:color w:val="auto"/>
                <w:w w:val="94"/>
              </w:rPr>
              <w:t>By</w:t>
            </w:r>
          </w:p>
        </w:tc>
        <w:tc>
          <w:tcPr>
            <w:tcW w:w="10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J. Bruno</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Arthur J. Bruno</w:t>
            </w:r>
          </w:p>
        </w:tc>
        <w:tc>
          <w:tcPr>
            <w:tcW w:w="168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Operating Officer, Chief Financial Officer</w:t>
            </w: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and Corporate Secretary</w:t>
            </w:r>
          </w:p>
        </w:tc>
        <w:tc>
          <w:tcPr>
            <w:tcW w:w="16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680" w:type="dxa"/>
            <w:vAlign w:val="bottom"/>
          </w:tcPr>
          <w:p>
            <w:pPr>
              <w:spacing w:after="0"/>
              <w:rPr>
                <w:sz w:val="20"/>
                <w:szCs w:val="20"/>
                <w:color w:val="auto"/>
              </w:rPr>
            </w:pPr>
          </w:p>
        </w:tc>
      </w:tr>
      <w:tr>
        <w:trPr>
          <w:trHeight w:val="621"/>
        </w:trPr>
        <w:tc>
          <w:tcPr>
            <w:tcW w:w="3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140" w:type="dxa"/>
            <w:vAlign w:val="bottom"/>
            <w:gridSpan w:val="2"/>
          </w:tcPr>
          <w:p>
            <w:pPr>
              <w:jc w:val="right"/>
              <w:ind w:right="3850"/>
              <w:spacing w:after="0"/>
              <w:rPr>
                <w:sz w:val="20"/>
                <w:szCs w:val="20"/>
                <w:color w:val="auto"/>
              </w:rPr>
            </w:pPr>
            <w:r>
              <w:rPr>
                <w:rFonts w:ascii="Arial" w:cs="Arial" w:eastAsia="Arial" w:hAnsi="Arial"/>
                <w:sz w:val="18"/>
                <w:szCs w:val="18"/>
                <w:color w:val="auto"/>
                <w:w w:val="89"/>
              </w:rPr>
              <w:t>27</w:t>
            </w:r>
          </w:p>
        </w:tc>
        <w:tc>
          <w:tcPr>
            <w:tcW w:w="1680" w:type="dxa"/>
            <w:vAlign w:val="bottom"/>
          </w:tcPr>
          <w:p>
            <w:pPr>
              <w:spacing w:after="0"/>
              <w:rPr>
                <w:sz w:val="24"/>
                <w:szCs w:val="24"/>
                <w:color w:val="auto"/>
              </w:rPr>
            </w:pPr>
          </w:p>
        </w:tc>
      </w:tr>
      <w:tr>
        <w:trPr>
          <w:trHeight w:val="226"/>
        </w:trPr>
        <w:tc>
          <w:tcPr>
            <w:tcW w:w="338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700"/>
              <w:spacing w:after="0"/>
              <w:rPr>
                <w:sz w:val="20"/>
                <w:szCs w:val="20"/>
                <w:color w:val="auto"/>
              </w:rPr>
            </w:pPr>
            <w:r>
              <w:rPr>
                <w:rFonts w:ascii="Arial" w:cs="Arial" w:eastAsia="Arial" w:hAnsi="Arial"/>
                <w:sz w:val="18"/>
                <w:szCs w:val="18"/>
                <w:color w:val="auto"/>
              </w:rPr>
              <w:t>INDEX TO EXHIBITS</w:t>
            </w:r>
          </w:p>
        </w:tc>
      </w:tr>
      <w:tr>
        <w:trPr>
          <w:trHeight w:val="346"/>
        </w:trPr>
        <w:tc>
          <w:tcPr>
            <w:tcW w:w="920" w:type="dxa"/>
            <w:vAlign w:val="bottom"/>
          </w:tcPr>
          <w:p>
            <w:pPr>
              <w:spacing w:after="0"/>
              <w:rPr>
                <w:sz w:val="20"/>
                <w:szCs w:val="20"/>
                <w:color w:val="auto"/>
              </w:rPr>
            </w:pPr>
            <w:r>
              <w:rPr>
                <w:rFonts w:ascii="Arial" w:cs="Arial" w:eastAsia="Arial" w:hAnsi="Arial"/>
                <w:sz w:val="14"/>
                <w:szCs w:val="14"/>
                <w:color w:val="auto"/>
              </w:rPr>
              <w:t>Exhibit</w:t>
            </w:r>
          </w:p>
        </w:tc>
        <w:tc>
          <w:tcPr>
            <w:tcW w:w="2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6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Term Revolving Credit Agreement dated as of February 7, 2007 between Farm Credit West, PCA and Calavo Growers, Inc.</w:t>
            </w:r>
          </w:p>
        </w:tc>
      </w:tr>
      <w:tr>
        <w:trPr>
          <w:trHeight w:val="40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Certification of Chief Executive Officer Pursuant to 15 U.S.C. § 7241, as Adopted Pursuant to Section 302 of the Sarbanes-Oxley Act of</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of Principal Financial Officer Pursuant to 15 U.S.C. § 7241, as Adopted Pursuant to Section 302 of the Sarbanes-Oxley Act of</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by Chief Executive Officer and Chief Financial Officer of Periodic Report Pursuant to 18 U.S.C. Section 1350.</w:t>
            </w:r>
          </w:p>
        </w:tc>
      </w:tr>
    </w:tbl>
    <w:p>
      <w:pPr>
        <w:sectPr>
          <w:pgSz w:w="11900" w:h="16838" w:orient="portrait"/>
          <w:cols w:equalWidth="0" w:num="1">
            <w:col w:w="11420"/>
          </w:cols>
          <w:pgMar w:left="240" w:top="41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Loan No. 3789055-101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REVOLVING CREDIT AGREEMENT</w:t>
      </w:r>
    </w:p>
    <w:p>
      <w:pPr>
        <w:spacing w:after="0" w:line="117" w:lineRule="exact"/>
        <w:rPr>
          <w:sz w:val="20"/>
          <w:szCs w:val="20"/>
          <w:color w:val="auto"/>
        </w:rPr>
      </w:pPr>
    </w:p>
    <w:p>
      <w:pPr>
        <w:ind w:right="100" w:firstLine="225"/>
        <w:spacing w:after="0" w:line="282" w:lineRule="auto"/>
        <w:rPr>
          <w:sz w:val="20"/>
          <w:szCs w:val="20"/>
          <w:color w:val="auto"/>
        </w:rPr>
      </w:pPr>
      <w:r>
        <w:rPr>
          <w:rFonts w:ascii="Arial" w:cs="Arial" w:eastAsia="Arial" w:hAnsi="Arial"/>
          <w:sz w:val="18"/>
          <w:szCs w:val="18"/>
          <w:b w:val="1"/>
          <w:bCs w:val="1"/>
          <w:color w:val="auto"/>
        </w:rPr>
        <w:t xml:space="preserve">THIS TERM REVOLVING CREDIT AGREEMENT </w:t>
      </w:r>
      <w:r>
        <w:rPr>
          <w:rFonts w:ascii="Arial" w:cs="Arial" w:eastAsia="Arial" w:hAnsi="Arial"/>
          <w:sz w:val="18"/>
          <w:szCs w:val="18"/>
          <w:color w:val="auto"/>
        </w:rPr>
        <w:t>(“ Agreement”) is entered into as of February 7, 2007, between</w:t>
      </w:r>
      <w:r>
        <w:rPr>
          <w:rFonts w:ascii="Arial" w:cs="Arial" w:eastAsia="Arial" w:hAnsi="Arial"/>
          <w:sz w:val="18"/>
          <w:szCs w:val="18"/>
          <w:b w:val="1"/>
          <w:bCs w:val="1"/>
          <w:color w:val="auto"/>
        </w:rPr>
        <w:t xml:space="preserve"> FARM CREDIT WEST, PCA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Visalia, California (“FCW”) and </w:t>
      </w:r>
      <w:r>
        <w:rPr>
          <w:rFonts w:ascii="Arial" w:cs="Arial" w:eastAsia="Arial" w:hAnsi="Arial"/>
          <w:sz w:val="18"/>
          <w:szCs w:val="18"/>
          <w:b w:val="1"/>
          <w:bCs w:val="1"/>
          <w:color w:val="auto"/>
        </w:rPr>
        <w:t>CALAVO GROWERS, INC</w:t>
      </w:r>
      <w:r>
        <w:rPr>
          <w:rFonts w:ascii="Arial" w:cs="Arial" w:eastAsia="Arial" w:hAnsi="Arial"/>
          <w:sz w:val="18"/>
          <w:szCs w:val="18"/>
          <w:color w:val="auto"/>
        </w:rPr>
        <w:t>., Santa Paula, California (the “Company”).</w:t>
      </w:r>
    </w:p>
    <w:p>
      <w:pPr>
        <w:spacing w:after="0" w:line="54" w:lineRule="exact"/>
        <w:rPr>
          <w:sz w:val="20"/>
          <w:szCs w:val="20"/>
          <w:color w:val="auto"/>
        </w:rPr>
      </w:pPr>
    </w:p>
    <w:p>
      <w:pPr>
        <w:ind w:right="100" w:firstLine="225"/>
        <w:spacing w:after="0" w:line="298" w:lineRule="auto"/>
        <w:rPr>
          <w:sz w:val="20"/>
          <w:szCs w:val="20"/>
          <w:color w:val="auto"/>
        </w:rPr>
      </w:pPr>
      <w:r>
        <w:rPr>
          <w:rFonts w:ascii="Arial" w:cs="Arial" w:eastAsia="Arial" w:hAnsi="Arial"/>
          <w:sz w:val="16"/>
          <w:szCs w:val="16"/>
          <w:b w:val="1"/>
          <w:bCs w:val="1"/>
          <w:color w:val="auto"/>
        </w:rPr>
        <w:t xml:space="preserve">SECTION 1. The Credit Facility </w:t>
      </w:r>
      <w:r>
        <w:rPr>
          <w:rFonts w:ascii="Arial" w:cs="Arial" w:eastAsia="Arial" w:hAnsi="Arial"/>
          <w:sz w:val="16"/>
          <w:szCs w:val="16"/>
          <w:color w:val="auto"/>
        </w:rPr>
        <w:t>. On the terms and conditions set forth in this Agreement, FCW agrees to make advances to the Company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set forth below in an aggregate principal amount not to exceed $15,000,000.00 (the “Commitment”). The Agreement and Commitment is executed, delivered and accepted not in payment of but for the purpose of amending, restating and replacing the following described obligations, and renewing any unpaid balance(s) evidenced thereby: Note dated January 31, 2007, in the principal amount of $12,000,000.00. Furthermore, the Commitment also evidences an additional loan advance(s) to the extent the Commitment under this Agreement exceeds the renewed unpaid balance(s) referred to above.</w:t>
      </w:r>
    </w:p>
    <w:p>
      <w:pPr>
        <w:spacing w:after="0" w:line="46" w:lineRule="exact"/>
        <w:rPr>
          <w:sz w:val="20"/>
          <w:szCs w:val="20"/>
          <w:color w:val="auto"/>
        </w:rPr>
      </w:pPr>
    </w:p>
    <w:p>
      <w:pPr>
        <w:ind w:right="140" w:firstLine="225"/>
        <w:spacing w:after="0" w:line="266" w:lineRule="auto"/>
        <w:rPr>
          <w:sz w:val="20"/>
          <w:szCs w:val="20"/>
          <w:color w:val="auto"/>
        </w:rPr>
      </w:pPr>
      <w:r>
        <w:rPr>
          <w:rFonts w:ascii="Arial" w:cs="Arial" w:eastAsia="Arial" w:hAnsi="Arial"/>
          <w:sz w:val="18"/>
          <w:szCs w:val="18"/>
          <w:b w:val="1"/>
          <w:bCs w:val="1"/>
          <w:color w:val="auto"/>
        </w:rPr>
        <w:t xml:space="preserve">SECTION 2. Sale of Interest </w:t>
      </w:r>
      <w:r>
        <w:rPr>
          <w:rFonts w:ascii="Arial" w:cs="Arial" w:eastAsia="Arial" w:hAnsi="Arial"/>
          <w:sz w:val="18"/>
          <w:szCs w:val="18"/>
          <w:color w:val="auto"/>
        </w:rPr>
        <w:t>. The Company acknowledges that FCW has the option to participate all or a portion of the Commitment with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including CoBank, ACB (“CoBank”). All advances hereunder shall be made by CoBank as agent for FCW and all repayments by the Company hereunder shall be made to CoBank as agent for FCW.</w:t>
      </w:r>
    </w:p>
    <w:p>
      <w:pPr>
        <w:spacing w:after="0" w:line="68" w:lineRule="exact"/>
        <w:rPr>
          <w:sz w:val="20"/>
          <w:szCs w:val="20"/>
          <w:color w:val="auto"/>
        </w:rPr>
      </w:pPr>
    </w:p>
    <w:p>
      <w:pPr>
        <w:ind w:right="540" w:firstLine="225"/>
        <w:spacing w:after="0" w:line="282" w:lineRule="auto"/>
        <w:rPr>
          <w:sz w:val="20"/>
          <w:szCs w:val="20"/>
          <w:color w:val="auto"/>
        </w:rPr>
      </w:pPr>
      <w:r>
        <w:rPr>
          <w:rFonts w:ascii="Arial" w:cs="Arial" w:eastAsia="Arial" w:hAnsi="Arial"/>
          <w:sz w:val="18"/>
          <w:szCs w:val="18"/>
          <w:b w:val="1"/>
          <w:bCs w:val="1"/>
          <w:color w:val="auto"/>
        </w:rPr>
        <w:t>SECTION 3. Purpose</w:t>
      </w:r>
      <w:r>
        <w:rPr>
          <w:rFonts w:ascii="Arial" w:cs="Arial" w:eastAsia="Arial" w:hAnsi="Arial"/>
          <w:sz w:val="18"/>
          <w:szCs w:val="18"/>
          <w:color w:val="auto"/>
        </w:rPr>
        <w:t>. The purpose of the Commitment is to finance the purchase and installation of capital items and other corporate needs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4. Term</w:t>
      </w:r>
      <w:r>
        <w:rPr>
          <w:rFonts w:ascii="Arial" w:cs="Arial" w:eastAsia="Arial" w:hAnsi="Arial"/>
          <w:sz w:val="18"/>
          <w:szCs w:val="18"/>
          <w:color w:val="auto"/>
        </w:rPr>
        <w:t>. The term of the Commitment shall be from the date hereof, up to and including February 1, 2012.</w:t>
      </w:r>
    </w:p>
    <w:p>
      <w:pPr>
        <w:spacing w:after="0" w:line="117" w:lineRule="exact"/>
        <w:rPr>
          <w:sz w:val="20"/>
          <w:szCs w:val="20"/>
          <w:color w:val="auto"/>
        </w:rPr>
      </w:pPr>
    </w:p>
    <w:p>
      <w:pPr>
        <w:ind w:right="40" w:firstLine="225"/>
        <w:spacing w:after="0" w:line="274" w:lineRule="auto"/>
        <w:rPr>
          <w:sz w:val="20"/>
          <w:szCs w:val="20"/>
          <w:color w:val="auto"/>
        </w:rPr>
      </w:pPr>
      <w:r>
        <w:rPr>
          <w:rFonts w:ascii="Arial" w:cs="Arial" w:eastAsia="Arial" w:hAnsi="Arial"/>
          <w:sz w:val="17"/>
          <w:szCs w:val="17"/>
          <w:b w:val="1"/>
          <w:bCs w:val="1"/>
          <w:color w:val="auto"/>
        </w:rPr>
        <w:t>SECTION 5. Availability</w:t>
      </w:r>
      <w:r>
        <w:rPr>
          <w:rFonts w:ascii="Arial" w:cs="Arial" w:eastAsia="Arial" w:hAnsi="Arial"/>
          <w:sz w:val="17"/>
          <w:szCs w:val="17"/>
          <w:color w:val="auto"/>
        </w:rPr>
        <w:t>. Subject to the provisions of Section 25, advances will be made available on any day on which FCW, CoBank, and the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Reserve Banks are open for business upon the telephonic or written request of the Company. Requests for advances must be received no later than 12:00 Noon, Company’s local time, on the date the advance is desired. Advances will be made available by CoBank by wire transfer of immediately available funds to such account or accounts as may be authorized by the Company. The Company shall furnish to CoBank a duly completed and executed copy of a CoBank Delegation and Wire and Electronic Transfer Authorization Form, and CoBank shall be entitled to rely on (and shall incur no liability to the Company in acting on) any request or direction furnished in accordance with the terms thereof.</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6. Interest and Fees</w:t>
      </w:r>
      <w:r>
        <w:rPr>
          <w:rFonts w:ascii="Arial" w:cs="Arial" w:eastAsia="Arial" w:hAnsi="Arial"/>
          <w:sz w:val="18"/>
          <w:szCs w:val="18"/>
          <w:color w:val="auto"/>
        </w:rPr>
        <w:t>.</w:t>
      </w:r>
    </w:p>
    <w:p>
      <w:pPr>
        <w:spacing w:after="0" w:line="117" w:lineRule="exact"/>
        <w:rPr>
          <w:sz w:val="20"/>
          <w:szCs w:val="20"/>
          <w:color w:val="auto"/>
        </w:rPr>
      </w:pPr>
    </w:p>
    <w:p>
      <w:pPr>
        <w:ind w:left="520" w:hanging="287"/>
        <w:spacing w:after="0"/>
        <w:tabs>
          <w:tab w:leader="none" w:pos="5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Interest. </w:t>
      </w:r>
      <w:r>
        <w:rPr>
          <w:rFonts w:ascii="Arial" w:cs="Arial" w:eastAsia="Arial" w:hAnsi="Arial"/>
          <w:sz w:val="17"/>
          <w:szCs w:val="17"/>
          <w:color w:val="auto"/>
        </w:rPr>
        <w:t>The Company agrees to pay interest on the unpaid balance of the Commitment in accordance with the following interest rate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NO. 3789055-101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Page 2</w:t>
      </w:r>
    </w:p>
    <w:p>
      <w:pPr>
        <w:spacing w:after="0" w:line="147" w:lineRule="exact"/>
        <w:rPr>
          <w:sz w:val="20"/>
          <w:szCs w:val="20"/>
          <w:color w:val="auto"/>
        </w:rPr>
      </w:pPr>
    </w:p>
    <w:p>
      <w:pPr>
        <w:sectPr>
          <w:pgSz w:w="11900" w:h="16838" w:orient="portrait"/>
          <w:cols w:equalWidth="0" w:num="2">
            <w:col w:w="10140" w:space="720"/>
            <w:col w:w="560"/>
          </w:cols>
          <w:pgMar w:left="240" w:top="1152" w:right="239" w:bottom="1440" w:gutter="0" w:footer="0" w:header="0"/>
        </w:sectPr>
      </w:pPr>
    </w:p>
    <w:p>
      <w:pPr>
        <w:ind w:firstLine="233"/>
        <w:spacing w:after="0" w:line="270" w:lineRule="auto"/>
        <w:tabs>
          <w:tab w:leader="none" w:pos="4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7-Day LIBOR Index Rate</w:t>
      </w:r>
      <w:r>
        <w:rPr>
          <w:rFonts w:ascii="Arial" w:cs="Arial" w:eastAsia="Arial" w:hAnsi="Arial"/>
          <w:sz w:val="17"/>
          <w:szCs w:val="17"/>
          <w:color w:val="auto"/>
        </w:rPr>
        <w:t>. At a rate (rounded upward to the nearest l/100th% and adjusted for reserves required on “Eurocurrency Liabilities” (as</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defined) for banks subject to “FRB Regulation D” (as hereinafter defined) or required by any other federal law or regulation) per annum equal at all times to 100 basis points (1.00%) above the annual rate quoted by the British Bankers Association (the “BBA”) at 11:00 a.m. London time for the offering of seven (7) day of U.S. dollars deposits, as published by Bloomberg or another major information vendor listed on BBA’s official website on the first U.S. Banking Day (as hereinafter defined) in each week with such rate to change weekly on such day. The rate shall be reset automatically, without the necessity of notice being provided to the Company or any other party, on the first U.S. Banking Day of each succeeding week and each change in the rate shall be applicable to all balances subject to this option and information about the then current rate shall be made available upon telephonic request. For purposes hereof (a) “U.S. Banking Day” shall mean a day on which CoBank is open for business, dealings in U.S. dollar deposits are being carried out in the London interbank market, and banks are open for business in New York City and London, England; (b) “Eurocurrency Liabilities” shall have meaning as set forth in “FRB Regulation D”; and (c) “FRB Regulation D” shall mean Regulation D as promulgated by the Board of Governors of the Federal Reserve System, 12 CFR Part 204, as amended,</w:t>
      </w:r>
    </w:p>
    <w:p>
      <w:pPr>
        <w:spacing w:after="0" w:line="65" w:lineRule="exact"/>
        <w:rPr>
          <w:rFonts w:ascii="Arial" w:cs="Arial" w:eastAsia="Arial" w:hAnsi="Arial"/>
          <w:sz w:val="17"/>
          <w:szCs w:val="17"/>
          <w:b w:val="1"/>
          <w:bCs w:val="1"/>
          <w:color w:val="auto"/>
        </w:rPr>
      </w:pPr>
    </w:p>
    <w:p>
      <w:pPr>
        <w:ind w:firstLine="233"/>
        <w:spacing w:after="0" w:line="286" w:lineRule="auto"/>
        <w:tabs>
          <w:tab w:leader="none" w:pos="4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LIBOR</w:t>
      </w:r>
      <w:r>
        <w:rPr>
          <w:rFonts w:ascii="Arial" w:cs="Arial" w:eastAsia="Arial" w:hAnsi="Arial"/>
          <w:sz w:val="16"/>
          <w:szCs w:val="16"/>
          <w:color w:val="auto"/>
        </w:rPr>
        <w:t>. At a fixed rate per annum equal to “LIBOR” (as hereinafter defined) plus 100 basis points (1%). Under this option: (1) rates may be fixed for</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Periods” (as hereinafter defined) of 1, 2, 3, 6, 9 or 12 months as selected by the Company; (2) amounts may be fixed in increments of $100,000.00 or multiples thereof; (3) the maximum number of fixes in place at any one time shall be 10; and (4) rates may only be fixed on a “Banking Day” (as hereinafter defined) on 3 Banking Days’ prior written notice. For purposes hereof: (a) “LIBOR” shall mean the rate (rounded upward to the nearest sixteenth) and adjusted for reserves required on “Eurocurrency Liabilities” (as hereinafter defined) for banks subject to “FRB Regulation D” (as herein defined) or required by any other federal law or regulation) quoted by the British Bankers Association (the “BBA”) at 11:00 a.m. London time 2 Banking Days before the commencement of the Interest Period for the offering of U.S. dollar deposits in the London interbank market for the Interest Period designated by the Company; as published by Bloomberg or another major information vendor listed on BBA’s official website; (b) “Banking Day” shall mean a day on which CoBank is open for business, dealings in U.S. dollar deposits are being carried out in the London interbank market, and banks are open for business in New York City and London, England; (c) “Interest Period” shall mean a period commencing on the date this option is to take effect and ending on the numerically corresponding day in the next calendar month or the month that is 2, 3, 6, 9 or 12 months thereafter, as the case may be; provided, however, that: (i) in the event such ending day is not a Banking Day, such period shall be extended to the next Banking Day unless such next Banking Day falls in the next calendar month, in which case it shall end on the preceding Banking Day; and (ii) if there is no numerically corresponding day in the month, then such period shall end on the last Banking Day in the relevant month; (d) “Eurocurrency Liabilities” shall have meaning as set forth in “FRB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NO. 3789055-101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Page 3</w:t>
      </w:r>
    </w:p>
    <w:p>
      <w:pPr>
        <w:spacing w:after="0" w:line="151" w:lineRule="exact"/>
        <w:rPr>
          <w:sz w:val="20"/>
          <w:szCs w:val="20"/>
          <w:color w:val="auto"/>
        </w:rPr>
      </w:pPr>
    </w:p>
    <w:p>
      <w:pPr>
        <w:sectPr>
          <w:pgSz w:w="11900" w:h="16838" w:orient="portrait"/>
          <w:cols w:equalWidth="0" w:num="2">
            <w:col w:w="10140" w:space="720"/>
            <w:col w:w="560"/>
          </w:cols>
          <w:pgMar w:left="240" w:top="1152" w:right="239" w:bottom="1440" w:gutter="0" w:footer="0" w:header="0"/>
        </w:sectPr>
      </w:pPr>
    </w:p>
    <w:p>
      <w:pPr>
        <w:ind w:right="360"/>
        <w:spacing w:after="0" w:line="277" w:lineRule="auto"/>
        <w:rPr>
          <w:sz w:val="20"/>
          <w:szCs w:val="20"/>
          <w:color w:val="auto"/>
        </w:rPr>
      </w:pPr>
      <w:r>
        <w:rPr>
          <w:rFonts w:ascii="Arial" w:cs="Arial" w:eastAsia="Arial" w:hAnsi="Arial"/>
          <w:sz w:val="18"/>
          <w:szCs w:val="18"/>
          <w:color w:val="auto"/>
        </w:rPr>
        <w:t>Regulation D”; and (e) “FRB Regulation D” shall mean Regulation D as promulgated by the Board of Governors of the Federal Reserve System, 12 CFR Part 204, as amended.</w:t>
      </w:r>
    </w:p>
    <w:p>
      <w:pPr>
        <w:spacing w:after="0" w:line="62" w:lineRule="exact"/>
        <w:rPr>
          <w:sz w:val="20"/>
          <w:szCs w:val="20"/>
          <w:color w:val="auto"/>
        </w:rPr>
      </w:pPr>
    </w:p>
    <w:p>
      <w:pPr>
        <w:ind w:right="20" w:firstLine="447"/>
        <w:spacing w:after="0" w:line="284" w:lineRule="auto"/>
        <w:rPr>
          <w:sz w:val="20"/>
          <w:szCs w:val="20"/>
          <w:color w:val="auto"/>
        </w:rPr>
      </w:pPr>
      <w:r>
        <w:rPr>
          <w:rFonts w:ascii="Arial" w:cs="Arial" w:eastAsia="Arial" w:hAnsi="Arial"/>
          <w:sz w:val="16"/>
          <w:szCs w:val="16"/>
          <w:color w:val="auto"/>
        </w:rPr>
        <w:t>The Company shall select the applicable rate option at the time it requests a loan hereunder and may, subject to the limitations set forth above, elect to convert balances bearing interest at the 7-Day LIBOR Index Rate option to the LIBOR rate option. Upon the expiration of any fixed rate period, interest shall automatically accrue at the 7-Day LIBOR Index Rate option provided for above unless the amount fixed is repaid or fixed for an additional period in accordance with the terms hereof. Notwithstanding the foregoing, rates may not be fixed in such a manner as to cause the Company to have to break any fixed rate balance in order to pay any installment of principal All elections provided for herein shall be made telephonically or in writing and must be received by 12:00 Noon Company’s local time. Interest shall be calculated on the actual number of days each loan is outstanding on the basis of a year consisting of</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360 days and shall be payable monthly in arrears by the 20th day of the following month or on such other day in such month as FCW shall require in a written notice to the Company.</w:t>
      </w:r>
    </w:p>
    <w:p>
      <w:pPr>
        <w:spacing w:after="0" w:line="72" w:lineRule="exact"/>
        <w:rPr>
          <w:sz w:val="20"/>
          <w:szCs w:val="20"/>
          <w:color w:val="auto"/>
        </w:rPr>
      </w:pPr>
    </w:p>
    <w:p>
      <w:pPr>
        <w:ind w:firstLine="458"/>
        <w:spacing w:after="0" w:line="303" w:lineRule="auto"/>
        <w:tabs>
          <w:tab w:leader="none" w:pos="73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 Fee</w:t>
      </w:r>
      <w:r>
        <w:rPr>
          <w:rFonts w:ascii="Arial" w:cs="Arial" w:eastAsia="Arial" w:hAnsi="Arial"/>
          <w:sz w:val="16"/>
          <w:szCs w:val="16"/>
          <w:color w:val="auto"/>
        </w:rPr>
        <w:t>. In consideration of the Commitment, the Company agrees to pay to FCW a commitment fee on the average daily unused portion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Commitment at the rate of 0.15% per annum (calculated on a 360 day basis based on utilization, which is defined as outstanding advances plus issued and outstanding letters of credit divided by the total available amount of the Commitment), payable quarterly in arrears by the 20th day following each quarter. Such fee shall be payable for each quarter (or portion thereof) occurring during the original or any extended term of the Commitment.</w:t>
      </w:r>
    </w:p>
    <w:p>
      <w:pPr>
        <w:spacing w:after="0" w:line="43"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SECTION 7. Repayment and Maturity</w:t>
      </w:r>
      <w:r>
        <w:rPr>
          <w:rFonts w:ascii="Arial" w:cs="Arial" w:eastAsia="Arial" w:hAnsi="Arial"/>
          <w:sz w:val="18"/>
          <w:szCs w:val="18"/>
          <w:color w:val="auto"/>
        </w:rPr>
        <w:t>. The unpaid principal balance of the Commitment shall mature and be due and payable on February 1, 2012 (the</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Date”).</w:t>
      </w:r>
    </w:p>
    <w:p>
      <w:pPr>
        <w:spacing w:after="0" w:line="54"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SECTION 8. Promissory Note</w:t>
      </w:r>
      <w:r>
        <w:rPr>
          <w:rFonts w:ascii="Arial" w:cs="Arial" w:eastAsia="Arial" w:hAnsi="Arial"/>
          <w:sz w:val="18"/>
          <w:szCs w:val="18"/>
          <w:color w:val="auto"/>
        </w:rPr>
        <w:t>. The Company’s obligation to repay the Commitment shall be evidenced by a promissory note in the form attached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as Exhibit A (“Note”).</w:t>
      </w:r>
    </w:p>
    <w:p>
      <w:pPr>
        <w:spacing w:after="0" w:line="54"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b w:val="1"/>
          <w:bCs w:val="1"/>
          <w:color w:val="auto"/>
        </w:rPr>
        <w:t xml:space="preserve">SECTION 9. Manner and Time of Payment. </w:t>
      </w:r>
      <w:r>
        <w:rPr>
          <w:rFonts w:ascii="Arial" w:cs="Arial" w:eastAsia="Arial" w:hAnsi="Arial"/>
          <w:sz w:val="16"/>
          <w:szCs w:val="16"/>
          <w:color w:val="auto"/>
        </w:rPr>
        <w:t>CoBank shall maintain a record of all loans, the interest accrued thereon, and all payments made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thereto, and such record shall, absent proof of manifest error, be conclusive evidence of the outstanding principal and interest on the loans. All payments shall be made by wire transfer of immediately available funds, by check, or by automated clearing house or other similar cash handling processes as specified by separate agreement between the Company and CoBank. Wire transfers shall be made to ABA No. 307088754 for advice to and credit of CoBank (or to such other account as CoBank may direct by notice). The Company shall give CoBank telephonic notice no later than 12:00 Noon Company’s local time of its intent to pay by wire and funds received after 3:00 p.m. Company’s local time shall be credited on the next business day. Checks shall be mailed to CoBank, Department 167, Denver, Colorado 80291-0167 (or to such other place as CoBank may direct by notice). Credit for payment by check will not be given until the later of: (a) the day on which CoBank receives immediately available funds; or (b) the next business day after receipt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NO. 3789055-101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Page 4</w:t>
      </w:r>
    </w:p>
    <w:p>
      <w:pPr>
        <w:spacing w:after="0" w:line="151" w:lineRule="exact"/>
        <w:rPr>
          <w:sz w:val="20"/>
          <w:szCs w:val="20"/>
          <w:color w:val="auto"/>
        </w:rPr>
      </w:pPr>
    </w:p>
    <w:p>
      <w:pPr>
        <w:sectPr>
          <w:pgSz w:w="11900" w:h="16838" w:orient="portrait"/>
          <w:cols w:equalWidth="0" w:num="2">
            <w:col w:w="10140" w:space="720"/>
            <w:col w:w="500"/>
          </w:cols>
          <w:pgMar w:left="240" w:top="1152" w:right="299" w:bottom="1440" w:gutter="0" w:footer="0" w:header="0"/>
        </w:sectPr>
      </w:pPr>
    </w:p>
    <w:p>
      <w:pPr>
        <w:spacing w:after="0"/>
        <w:rPr>
          <w:sz w:val="20"/>
          <w:szCs w:val="20"/>
          <w:color w:val="auto"/>
        </w:rPr>
      </w:pPr>
      <w:r>
        <w:rPr>
          <w:rFonts w:ascii="Arial" w:cs="Arial" w:eastAsia="Arial" w:hAnsi="Arial"/>
          <w:sz w:val="16"/>
          <w:szCs w:val="16"/>
          <w:color w:val="auto"/>
        </w:rPr>
        <w:t>the check all as set forth in the Servicing Agreement between Borrower, FCW, and CoBank in form attached hereto as Exhibit B.</w:t>
      </w:r>
    </w:p>
    <w:p>
      <w:pPr>
        <w:sectPr>
          <w:pgSz w:w="11900" w:h="16838" w:orient="portrait"/>
          <w:cols w:equalWidth="0" w:num="1">
            <w:col w:w="11360"/>
          </w:cols>
          <w:pgMar w:left="240" w:top="1152" w:right="299" w:bottom="1440" w:gutter="0" w:footer="0" w:header="0"/>
          <w:type w:val="continuous"/>
        </w:sectPr>
      </w:pPr>
    </w:p>
    <w:p>
      <w:pPr>
        <w:spacing w:after="0" w:line="136"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b w:val="1"/>
          <w:bCs w:val="1"/>
          <w:color w:val="auto"/>
        </w:rPr>
        <w:t>SECTION 10. Capitalization</w:t>
      </w:r>
      <w:r>
        <w:rPr>
          <w:rFonts w:ascii="Arial" w:cs="Arial" w:eastAsia="Arial" w:hAnsi="Arial"/>
          <w:sz w:val="18"/>
          <w:szCs w:val="18"/>
          <w:color w:val="auto"/>
        </w:rPr>
        <w:t>. The Company has purchased a $1,000.00 stock investment under FCW’s capitalization plan. The Company understands</w:t>
      </w:r>
      <w:r>
        <w:rPr>
          <w:rFonts w:ascii="Arial" w:cs="Arial" w:eastAsia="Arial" w:hAnsi="Arial"/>
          <w:sz w:val="18"/>
          <w:szCs w:val="18"/>
          <w:b w:val="1"/>
          <w:bCs w:val="1"/>
          <w:color w:val="auto"/>
        </w:rPr>
        <w:t xml:space="preserve"> </w:t>
      </w:r>
      <w:r>
        <w:rPr>
          <w:rFonts w:ascii="Arial" w:cs="Arial" w:eastAsia="Arial" w:hAnsi="Arial"/>
          <w:sz w:val="18"/>
          <w:szCs w:val="18"/>
          <w:color w:val="auto"/>
        </w:rPr>
        <w:t>that FCW’s stock is at risk and that any reference to “FCW equities” or to “stock or participation certificates required by Lender’s bylaws” in any document, agreement or Loan Document shall mean the FCW stock investment described herein.</w:t>
      </w:r>
    </w:p>
    <w:p>
      <w:pPr>
        <w:spacing w:after="0" w:line="68"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SECTION 11. Patronage</w:t>
      </w:r>
      <w:r>
        <w:rPr>
          <w:rFonts w:ascii="Arial" w:cs="Arial" w:eastAsia="Arial" w:hAnsi="Arial"/>
          <w:sz w:val="18"/>
          <w:szCs w:val="18"/>
          <w:color w:val="auto"/>
        </w:rPr>
        <w:t>. The Commitment is eligible for patronage under the plan and in accordance with the provisions of FCW’s bylaws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and procedures related to patronage distribution and as set forth in Section 27.</w:t>
      </w:r>
    </w:p>
    <w:p>
      <w:pPr>
        <w:spacing w:after="0" w:line="54" w:lineRule="exact"/>
        <w:rPr>
          <w:sz w:val="20"/>
          <w:szCs w:val="20"/>
          <w:color w:val="auto"/>
        </w:rPr>
      </w:pPr>
    </w:p>
    <w:p>
      <w:pPr>
        <w:ind w:right="140" w:firstLine="225"/>
        <w:spacing w:after="0" w:line="266" w:lineRule="auto"/>
        <w:rPr>
          <w:sz w:val="20"/>
          <w:szCs w:val="20"/>
          <w:color w:val="auto"/>
        </w:rPr>
      </w:pPr>
      <w:r>
        <w:rPr>
          <w:rFonts w:ascii="Arial" w:cs="Arial" w:eastAsia="Arial" w:hAnsi="Arial"/>
          <w:sz w:val="18"/>
          <w:szCs w:val="18"/>
          <w:b w:val="1"/>
          <w:bCs w:val="1"/>
          <w:color w:val="auto"/>
        </w:rPr>
        <w:t>SECTION 12. Security</w:t>
      </w:r>
      <w:r>
        <w:rPr>
          <w:rFonts w:ascii="Arial" w:cs="Arial" w:eastAsia="Arial" w:hAnsi="Arial"/>
          <w:sz w:val="18"/>
          <w:szCs w:val="18"/>
          <w:color w:val="auto"/>
        </w:rPr>
        <w:t>. The Company’s obligations under this Agreement and the Note shall be secured by a statutory first lien on all equity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now own or hereafter acquire in FCW. With the exception of the security referenced in the preceding sentence, the Company’s obligations under this Agreement and the Note shall be unsecured.</w:t>
      </w:r>
    </w:p>
    <w:p>
      <w:pPr>
        <w:spacing w:after="0" w:line="68"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SECTION 13. Conditions Precedent. </w:t>
      </w:r>
      <w:r>
        <w:rPr>
          <w:rFonts w:ascii="Arial" w:cs="Arial" w:eastAsia="Arial" w:hAnsi="Arial"/>
          <w:sz w:val="18"/>
          <w:szCs w:val="18"/>
          <w:color w:val="auto"/>
        </w:rPr>
        <w:t>FCW’s obligation to make advances hereunder is subject to the condition precedent that FCW receive, in 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satisfactory to FCW, each of the following:</w:t>
      </w:r>
    </w:p>
    <w:p>
      <w:pPr>
        <w:spacing w:after="0" w:line="54" w:lineRule="exact"/>
        <w:rPr>
          <w:sz w:val="20"/>
          <w:szCs w:val="20"/>
          <w:color w:val="auto"/>
        </w:rPr>
      </w:pPr>
    </w:p>
    <w:p>
      <w:pPr>
        <w:ind w:left="740" w:hanging="282"/>
        <w:spacing w:after="0"/>
        <w:tabs>
          <w:tab w:leader="none" w:pos="7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A duly executed copy of this Agreement and all instruments and documents contemplated hereby.</w:t>
      </w:r>
    </w:p>
    <w:p>
      <w:pPr>
        <w:spacing w:after="0" w:line="117" w:lineRule="exact"/>
        <w:rPr>
          <w:rFonts w:ascii="Arial" w:cs="Arial" w:eastAsia="Arial" w:hAnsi="Arial"/>
          <w:sz w:val="18"/>
          <w:szCs w:val="18"/>
          <w:b w:val="1"/>
          <w:bCs w:val="1"/>
          <w:color w:val="auto"/>
        </w:rPr>
      </w:pPr>
    </w:p>
    <w:p>
      <w:pPr>
        <w:ind w:right="120" w:firstLine="458"/>
        <w:spacing w:after="0" w:line="282" w:lineRule="auto"/>
        <w:tabs>
          <w:tab w:leader="none" w:pos="73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Evidence of Authority</w:t>
      </w:r>
      <w:r>
        <w:rPr>
          <w:rFonts w:ascii="Arial" w:cs="Arial" w:eastAsia="Arial" w:hAnsi="Arial"/>
          <w:sz w:val="18"/>
          <w:szCs w:val="18"/>
          <w:color w:val="auto"/>
        </w:rPr>
        <w:t>. Such certified board resolutions, evidence of incumbency, and other evidence that FCW may require that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Note have been duly authorized and executed.</w:t>
      </w:r>
    </w:p>
    <w:p>
      <w:pPr>
        <w:spacing w:after="0" w:line="53" w:lineRule="exact"/>
        <w:rPr>
          <w:rFonts w:ascii="Arial" w:cs="Arial" w:eastAsia="Arial" w:hAnsi="Arial"/>
          <w:sz w:val="18"/>
          <w:szCs w:val="18"/>
          <w:b w:val="1"/>
          <w:bCs w:val="1"/>
          <w:color w:val="auto"/>
        </w:rPr>
      </w:pPr>
    </w:p>
    <w:p>
      <w:pPr>
        <w:ind w:left="760" w:hanging="302"/>
        <w:spacing w:after="0"/>
        <w:tabs>
          <w:tab w:leader="none" w:pos="7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Fees and Other Charges. </w:t>
      </w:r>
      <w:r>
        <w:rPr>
          <w:rFonts w:ascii="Arial" w:cs="Arial" w:eastAsia="Arial" w:hAnsi="Arial"/>
          <w:sz w:val="18"/>
          <w:szCs w:val="18"/>
          <w:color w:val="auto"/>
        </w:rPr>
        <w:t>All fees and other charges provided for herein.</w:t>
      </w:r>
    </w:p>
    <w:p>
      <w:pPr>
        <w:spacing w:after="0" w:line="117" w:lineRule="exact"/>
        <w:rPr>
          <w:rFonts w:ascii="Arial" w:cs="Arial" w:eastAsia="Arial" w:hAnsi="Arial"/>
          <w:sz w:val="18"/>
          <w:szCs w:val="18"/>
          <w:b w:val="1"/>
          <w:bCs w:val="1"/>
          <w:color w:val="auto"/>
        </w:rPr>
      </w:pPr>
    </w:p>
    <w:p>
      <w:pPr>
        <w:ind w:left="760" w:hanging="302"/>
        <w:spacing w:after="0"/>
        <w:tabs>
          <w:tab w:leader="none" w:pos="7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Evidence of Insurance. </w:t>
      </w:r>
      <w:r>
        <w:rPr>
          <w:rFonts w:ascii="Arial" w:cs="Arial" w:eastAsia="Arial" w:hAnsi="Arial"/>
          <w:sz w:val="18"/>
          <w:szCs w:val="18"/>
          <w:color w:val="auto"/>
        </w:rPr>
        <w:t>Such evidence as FCW may require that the Company is in compliance with Section 15(C) hereof</w:t>
      </w:r>
    </w:p>
    <w:p>
      <w:pPr>
        <w:spacing w:after="0" w:line="117" w:lineRule="exact"/>
        <w:rPr>
          <w:rFonts w:ascii="Arial" w:cs="Arial" w:eastAsia="Arial" w:hAnsi="Arial"/>
          <w:sz w:val="18"/>
          <w:szCs w:val="18"/>
          <w:b w:val="1"/>
          <w:bCs w:val="1"/>
          <w:color w:val="auto"/>
        </w:rPr>
      </w:pPr>
    </w:p>
    <w:p>
      <w:pPr>
        <w:ind w:right="40" w:firstLine="458"/>
        <w:spacing w:after="0" w:line="282" w:lineRule="auto"/>
        <w:tabs>
          <w:tab w:leader="none" w:pos="73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That no “Event of Default” (as defined in Section 18 hereof) or event which with the giving of notice and/or the passage of time</w:t>
      </w:r>
      <w:r>
        <w:rPr>
          <w:rFonts w:ascii="Arial" w:cs="Arial" w:eastAsia="Arial" w:hAnsi="Arial"/>
          <w:sz w:val="18"/>
          <w:szCs w:val="18"/>
          <w:b w:val="1"/>
          <w:bCs w:val="1"/>
          <w:color w:val="auto"/>
        </w:rPr>
        <w:t xml:space="preserve"> </w:t>
      </w:r>
      <w:r>
        <w:rPr>
          <w:rFonts w:ascii="Arial" w:cs="Arial" w:eastAsia="Arial" w:hAnsi="Arial"/>
          <w:sz w:val="18"/>
          <w:szCs w:val="18"/>
          <w:color w:val="auto"/>
        </w:rPr>
        <w:t>would become an Event of Default hereunder (a “Potential Default”), shall have occurred and be continuing.</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14. Representations and Warranties.</w:t>
      </w:r>
    </w:p>
    <w:p>
      <w:pPr>
        <w:spacing w:after="0" w:line="117" w:lineRule="exact"/>
        <w:rPr>
          <w:sz w:val="20"/>
          <w:szCs w:val="20"/>
          <w:color w:val="auto"/>
        </w:rPr>
      </w:pPr>
    </w:p>
    <w:p>
      <w:pPr>
        <w:ind w:left="740" w:hanging="282"/>
        <w:spacing w:after="0"/>
        <w:tabs>
          <w:tab w:leader="none" w:pos="7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The Company represents and warrants to FCW that as of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52" w:right="2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NO. 3789055-101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Page 5</w:t>
      </w:r>
    </w:p>
    <w:p>
      <w:pPr>
        <w:spacing w:after="0" w:line="147" w:lineRule="exact"/>
        <w:rPr>
          <w:sz w:val="20"/>
          <w:szCs w:val="20"/>
          <w:color w:val="auto"/>
        </w:rPr>
      </w:pPr>
    </w:p>
    <w:p>
      <w:pPr>
        <w:sectPr>
          <w:pgSz w:w="11900" w:h="16838" w:orient="portrait"/>
          <w:cols w:equalWidth="0" w:num="2">
            <w:col w:w="10140" w:space="720"/>
            <w:col w:w="540"/>
          </w:cols>
          <w:pgMar w:left="240" w:top="1152" w:right="259" w:bottom="1440" w:gutter="0" w:footer="0" w:header="0"/>
        </w:sectPr>
      </w:pPr>
    </w:p>
    <w:p>
      <w:pPr>
        <w:ind w:right="280" w:firstLine="683"/>
        <w:spacing w:after="0" w:line="282" w:lineRule="auto"/>
        <w:tabs>
          <w:tab w:leader="none" w:pos="93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The Company and, to the extent contemplated hereunder, each “Subsidiary” (as defined below), is in compliance with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 and no Event of Default or Potential Default exists hereunder.</w:t>
      </w:r>
    </w:p>
    <w:p>
      <w:pPr>
        <w:spacing w:after="0" w:line="53" w:lineRule="exact"/>
        <w:rPr>
          <w:rFonts w:ascii="Arial" w:cs="Arial" w:eastAsia="Arial" w:hAnsi="Arial"/>
          <w:sz w:val="18"/>
          <w:szCs w:val="18"/>
          <w:b w:val="1"/>
          <w:bCs w:val="1"/>
          <w:color w:val="auto"/>
        </w:rPr>
      </w:pPr>
    </w:p>
    <w:p>
      <w:pPr>
        <w:ind w:right="40" w:firstLine="683"/>
        <w:spacing w:after="0" w:line="314" w:lineRule="auto"/>
        <w:tabs>
          <w:tab w:leader="none" w:pos="93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Subsidiaries</w:t>
      </w:r>
      <w:r>
        <w:rPr>
          <w:rFonts w:ascii="Arial" w:cs="Arial" w:eastAsia="Arial" w:hAnsi="Arial"/>
          <w:sz w:val="16"/>
          <w:szCs w:val="16"/>
          <w:color w:val="auto"/>
        </w:rPr>
        <w:t>. The Company has the following Subsidiaries: Calavo Foods, Inc. (CFI); Maui Fresh International, Inc.; Calavo de Mexico S.A. de</w:t>
      </w:r>
      <w:r>
        <w:rPr>
          <w:rFonts w:ascii="Arial" w:cs="Arial" w:eastAsia="Arial" w:hAnsi="Arial"/>
          <w:sz w:val="16"/>
          <w:szCs w:val="16"/>
          <w:b w:val="1"/>
          <w:bCs w:val="1"/>
          <w:color w:val="auto"/>
        </w:rPr>
        <w:t xml:space="preserve"> </w:t>
      </w:r>
      <w:r>
        <w:rPr>
          <w:rFonts w:ascii="Arial" w:cs="Arial" w:eastAsia="Arial" w:hAnsi="Arial"/>
          <w:sz w:val="16"/>
          <w:szCs w:val="16"/>
          <w:color w:val="auto"/>
        </w:rPr>
        <w:t>C.V.; and Calavo Foods de Mexico S.A. de C.V.. For purposes hereof, a “Subsidiary” shall mean a corporation of which shares of stock having ordinary voting power to elect a majority of the board of directors or other managers of such corporation are owned, directly or indirectly, by the Company.</w:t>
      </w:r>
    </w:p>
    <w:p>
      <w:pPr>
        <w:spacing w:after="0" w:line="34" w:lineRule="exact"/>
        <w:rPr>
          <w:rFonts w:ascii="Arial" w:cs="Arial" w:eastAsia="Arial" w:hAnsi="Arial"/>
          <w:sz w:val="16"/>
          <w:szCs w:val="16"/>
          <w:b w:val="1"/>
          <w:bCs w:val="1"/>
          <w:color w:val="auto"/>
        </w:rPr>
      </w:pPr>
    </w:p>
    <w:p>
      <w:pPr>
        <w:ind w:firstLine="683"/>
        <w:spacing w:after="0" w:line="266" w:lineRule="auto"/>
        <w:tabs>
          <w:tab w:leader="none" w:pos="93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Conflicting Agreements. </w:t>
      </w:r>
      <w:r>
        <w:rPr>
          <w:rFonts w:ascii="Arial" w:cs="Arial" w:eastAsia="Arial" w:hAnsi="Arial"/>
          <w:sz w:val="18"/>
          <w:szCs w:val="18"/>
          <w:color w:val="auto"/>
        </w:rPr>
        <w:t>This Agreement and the Note (collectively, at any time, the “Loan Documents”), do not conflict with, or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any party to, any other agreement to which the Company is a party or by which it or its property may be bound or affected, and do not conflict with any provision of the Company’s bylaws, articles of incorporation, or other organizational documents.</w:t>
      </w:r>
    </w:p>
    <w:p>
      <w:pPr>
        <w:spacing w:after="0" w:line="68" w:lineRule="exact"/>
        <w:rPr>
          <w:rFonts w:ascii="Arial" w:cs="Arial" w:eastAsia="Arial" w:hAnsi="Arial"/>
          <w:sz w:val="18"/>
          <w:szCs w:val="18"/>
          <w:b w:val="1"/>
          <w:bCs w:val="1"/>
          <w:color w:val="auto"/>
        </w:rPr>
      </w:pPr>
    </w:p>
    <w:p>
      <w:pPr>
        <w:ind w:left="940" w:hanging="257"/>
        <w:spacing w:after="0"/>
        <w:tabs>
          <w:tab w:leader="none" w:pos="94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w:t>
      </w:r>
      <w:r>
        <w:rPr>
          <w:rFonts w:ascii="Arial" w:cs="Arial" w:eastAsia="Arial" w:hAnsi="Arial"/>
          <w:sz w:val="16"/>
          <w:szCs w:val="16"/>
          <w:color w:val="auto"/>
        </w:rPr>
        <w:t>. The Company and, to the extent contemplated hereunder, each Subsidiary, if any, is in compliance with all of the terms of the Loan</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Documents.</w:t>
      </w:r>
    </w:p>
    <w:p>
      <w:pPr>
        <w:spacing w:after="0" w:line="98" w:lineRule="exact"/>
        <w:rPr>
          <w:rFonts w:ascii="Arial" w:cs="Arial" w:eastAsia="Arial" w:hAnsi="Arial"/>
          <w:sz w:val="16"/>
          <w:szCs w:val="16"/>
          <w:b w:val="1"/>
          <w:bCs w:val="1"/>
          <w:color w:val="auto"/>
        </w:rPr>
      </w:pPr>
    </w:p>
    <w:p>
      <w:pPr>
        <w:ind w:right="320" w:firstLine="683"/>
        <w:spacing w:after="0" w:line="266" w:lineRule="auto"/>
        <w:tabs>
          <w:tab w:leader="none" w:pos="93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Binding Agreement</w:t>
      </w:r>
      <w:r>
        <w:rPr>
          <w:rFonts w:ascii="Arial" w:cs="Arial" w:eastAsia="Arial" w:hAnsi="Arial"/>
          <w:sz w:val="18"/>
          <w:szCs w:val="18"/>
          <w:color w:val="auto"/>
        </w:rPr>
        <w:t>. The Loan Documents create legal, valid, and binding obligations of the Company which are enforceable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their terms, except to the extent that enforcement may be limited by applicable bankruptcy, insolvency, or similar laws affecting creditors’ rights generally.</w:t>
      </w:r>
    </w:p>
    <w:p>
      <w:pPr>
        <w:spacing w:after="0" w:line="68" w:lineRule="exact"/>
        <w:rPr>
          <w:sz w:val="20"/>
          <w:szCs w:val="20"/>
          <w:color w:val="auto"/>
        </w:rPr>
      </w:pPr>
    </w:p>
    <w:p>
      <w:pPr>
        <w:ind w:right="20" w:firstLine="225"/>
        <w:spacing w:after="0" w:line="282" w:lineRule="auto"/>
        <w:rPr>
          <w:sz w:val="20"/>
          <w:szCs w:val="20"/>
          <w:color w:val="auto"/>
        </w:rPr>
      </w:pPr>
      <w:r>
        <w:rPr>
          <w:rFonts w:ascii="Arial" w:cs="Arial" w:eastAsia="Arial" w:hAnsi="Arial"/>
          <w:sz w:val="18"/>
          <w:szCs w:val="18"/>
          <w:b w:val="1"/>
          <w:bCs w:val="1"/>
          <w:color w:val="auto"/>
        </w:rPr>
        <w:t xml:space="preserve">SECTION 15. Affirmative Covenants. </w:t>
      </w:r>
      <w:r>
        <w:rPr>
          <w:rFonts w:ascii="Arial" w:cs="Arial" w:eastAsia="Arial" w:hAnsi="Arial"/>
          <w:sz w:val="18"/>
          <w:szCs w:val="18"/>
          <w:color w:val="auto"/>
        </w:rPr>
        <w:t>Unless otherwise agreed to in writing by FCW, while this Agreement is in effect, the Company agrees to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Subsections 15(A) through 15(F) hereof, agrees to cause each Subsidiary, if any, to:</w:t>
      </w:r>
    </w:p>
    <w:p>
      <w:pPr>
        <w:spacing w:after="0" w:line="54" w:lineRule="exact"/>
        <w:rPr>
          <w:sz w:val="20"/>
          <w:szCs w:val="20"/>
          <w:color w:val="auto"/>
        </w:rPr>
      </w:pPr>
    </w:p>
    <w:p>
      <w:pPr>
        <w:ind w:right="40" w:firstLine="458"/>
        <w:spacing w:after="0" w:line="261" w:lineRule="auto"/>
        <w:tabs>
          <w:tab w:leader="none" w:pos="74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Existence, Licenses</w:t>
      </w:r>
      <w:r>
        <w:rPr>
          <w:rFonts w:ascii="Arial" w:cs="Arial" w:eastAsia="Arial" w:hAnsi="Arial"/>
          <w:sz w:val="18"/>
          <w:szCs w:val="18"/>
          <w:color w:val="auto"/>
        </w:rPr>
        <w:t>. (i) Preserve and keep in full force and effect its existence and good standing in the jurisdiction of its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formation; (ii) qualify and remain qualified to transact business in all jurisdictions where such qualification is required; and (iii) obtain and maintain all licenses, certificates, permits, authorizations, approvals, and the like which are material to the conduct of its business or required by law, rule, regulation, ordinance, code, order, and the like (collectively, “Laws”).</w:t>
      </w:r>
    </w:p>
    <w:p>
      <w:pPr>
        <w:spacing w:after="0" w:line="71" w:lineRule="exact"/>
        <w:rPr>
          <w:rFonts w:ascii="Arial" w:cs="Arial" w:eastAsia="Arial" w:hAnsi="Arial"/>
          <w:sz w:val="18"/>
          <w:szCs w:val="18"/>
          <w:b w:val="1"/>
          <w:bCs w:val="1"/>
          <w:color w:val="auto"/>
        </w:rPr>
      </w:pPr>
    </w:p>
    <w:p>
      <w:pPr>
        <w:ind w:right="20" w:firstLine="458"/>
        <w:spacing w:after="0" w:line="314" w:lineRule="auto"/>
        <w:tabs>
          <w:tab w:leader="none" w:pos="735"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Laws</w:t>
      </w:r>
      <w:r>
        <w:rPr>
          <w:rFonts w:ascii="Arial" w:cs="Arial" w:eastAsia="Arial" w:hAnsi="Arial"/>
          <w:sz w:val="16"/>
          <w:szCs w:val="16"/>
          <w:color w:val="auto"/>
        </w:rPr>
        <w:t>. Comply in all material respects with all applicable Laws, including, without limitation, all Laws relating to environmental</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 In addition, the Company agrees to cause all persons occupying or present on any of its properties, and to cause each Subsidiary, if any, to cause all persons occupying or present on any of its properties, to comply in all material respects with all environmental protection Laws.</w:t>
      </w:r>
    </w:p>
    <w:p>
      <w:pPr>
        <w:spacing w:after="0" w:line="34" w:lineRule="exact"/>
        <w:rPr>
          <w:rFonts w:ascii="Arial" w:cs="Arial" w:eastAsia="Arial" w:hAnsi="Arial"/>
          <w:sz w:val="16"/>
          <w:szCs w:val="16"/>
          <w:b w:val="1"/>
          <w:bCs w:val="1"/>
          <w:color w:val="auto"/>
        </w:rPr>
      </w:pPr>
    </w:p>
    <w:p>
      <w:pPr>
        <w:ind w:right="540" w:firstLine="458"/>
        <w:spacing w:after="0" w:line="282" w:lineRule="auto"/>
        <w:tabs>
          <w:tab w:leader="none" w:pos="74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Maintain insurance with insurance companies or associations acceptable to FCW in such amounts and covering such risks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usually carried by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NO. 3789055-101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Page 6</w:t>
      </w:r>
    </w:p>
    <w:p>
      <w:pPr>
        <w:spacing w:after="0" w:line="151" w:lineRule="exact"/>
        <w:rPr>
          <w:sz w:val="20"/>
          <w:szCs w:val="20"/>
          <w:color w:val="auto"/>
        </w:rPr>
      </w:pPr>
    </w:p>
    <w:p>
      <w:pPr>
        <w:sectPr>
          <w:pgSz w:w="11900" w:h="16838" w:orient="portrait"/>
          <w:cols w:equalWidth="0" w:num="2">
            <w:col w:w="10140" w:space="720"/>
            <w:col w:w="560"/>
          </w:cols>
          <w:pgMar w:left="240" w:top="1152" w:right="239" w:bottom="1440" w:gutter="0" w:footer="0" w:header="0"/>
        </w:sectPr>
      </w:pPr>
    </w:p>
    <w:p>
      <w:pPr>
        <w:ind w:right="240"/>
        <w:spacing w:after="0" w:line="308" w:lineRule="auto"/>
        <w:rPr>
          <w:sz w:val="20"/>
          <w:szCs w:val="20"/>
          <w:color w:val="auto"/>
        </w:rPr>
      </w:pPr>
      <w:r>
        <w:rPr>
          <w:rFonts w:ascii="Arial" w:cs="Arial" w:eastAsia="Arial" w:hAnsi="Arial"/>
          <w:sz w:val="17"/>
          <w:szCs w:val="17"/>
          <w:color w:val="auto"/>
        </w:rPr>
        <w:t>engaged in the same or similar business and similarly situated, and make such increases in the type or amount of coverage as FCW may request. At FCW’s request, all policies (or such other proof of compliance with this Subsection as may be satisfactory to FCW) shall be delivered to FCW.</w:t>
      </w:r>
    </w:p>
    <w:p>
      <w:pPr>
        <w:spacing w:after="0" w:line="34" w:lineRule="exact"/>
        <w:rPr>
          <w:sz w:val="20"/>
          <w:szCs w:val="20"/>
          <w:color w:val="auto"/>
        </w:rPr>
      </w:pPr>
    </w:p>
    <w:p>
      <w:pPr>
        <w:ind w:right="160" w:firstLine="458"/>
        <w:spacing w:after="0" w:line="282" w:lineRule="auto"/>
        <w:tabs>
          <w:tab w:leader="none" w:pos="74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Maintenance</w:t>
      </w:r>
      <w:r>
        <w:rPr>
          <w:rFonts w:ascii="Arial" w:cs="Arial" w:eastAsia="Arial" w:hAnsi="Arial"/>
          <w:sz w:val="18"/>
          <w:szCs w:val="18"/>
          <w:color w:val="auto"/>
        </w:rPr>
        <w:t>. Maintain all of its property that is necessary to or useful in the proper conduct of its business in good working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wear and tear excepted.</w:t>
      </w:r>
    </w:p>
    <w:p>
      <w:pPr>
        <w:spacing w:after="0" w:line="53" w:lineRule="exact"/>
        <w:rPr>
          <w:rFonts w:ascii="Arial" w:cs="Arial" w:eastAsia="Arial" w:hAnsi="Arial"/>
          <w:sz w:val="18"/>
          <w:szCs w:val="18"/>
          <w:b w:val="1"/>
          <w:bCs w:val="1"/>
          <w:color w:val="auto"/>
        </w:rPr>
      </w:pPr>
    </w:p>
    <w:p>
      <w:pPr>
        <w:ind w:right="220" w:firstLine="458"/>
        <w:spacing w:after="0" w:line="282" w:lineRule="auto"/>
        <w:tabs>
          <w:tab w:leader="none" w:pos="73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Books and Records</w:t>
      </w:r>
      <w:r>
        <w:rPr>
          <w:rFonts w:ascii="Arial" w:cs="Arial" w:eastAsia="Arial" w:hAnsi="Arial"/>
          <w:sz w:val="18"/>
          <w:szCs w:val="18"/>
          <w:color w:val="auto"/>
        </w:rPr>
        <w:t>. Keep adequate records and books of account in which complete entries will be made in accordance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(“GAAP”) consistently applied.</w:t>
      </w:r>
    </w:p>
    <w:p>
      <w:pPr>
        <w:spacing w:after="0" w:line="53" w:lineRule="exact"/>
        <w:rPr>
          <w:rFonts w:ascii="Arial" w:cs="Arial" w:eastAsia="Arial" w:hAnsi="Arial"/>
          <w:sz w:val="18"/>
          <w:szCs w:val="18"/>
          <w:b w:val="1"/>
          <w:bCs w:val="1"/>
          <w:color w:val="auto"/>
        </w:rPr>
      </w:pPr>
    </w:p>
    <w:p>
      <w:pPr>
        <w:ind w:firstLine="458"/>
        <w:spacing w:after="0" w:line="266" w:lineRule="auto"/>
        <w:tabs>
          <w:tab w:leader="none" w:pos="72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w:t>
      </w:r>
      <w:r>
        <w:rPr>
          <w:rFonts w:ascii="Arial" w:cs="Arial" w:eastAsia="Arial" w:hAnsi="Arial"/>
          <w:sz w:val="18"/>
          <w:szCs w:val="18"/>
          <w:color w:val="auto"/>
        </w:rPr>
        <w:t>. Permit FCW or its agents, upon reasonable notice and during normal business hours or at such other times as the parties may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examine its properties, books, and records, and to discuss its affairs, finances, and accounts, with its respective officers, directors, employees, and independent certified public accountants.</w:t>
      </w:r>
    </w:p>
    <w:p>
      <w:pPr>
        <w:spacing w:after="0" w:line="68" w:lineRule="exact"/>
        <w:rPr>
          <w:rFonts w:ascii="Arial" w:cs="Arial" w:eastAsia="Arial" w:hAnsi="Arial"/>
          <w:sz w:val="18"/>
          <w:szCs w:val="18"/>
          <w:b w:val="1"/>
          <w:bCs w:val="1"/>
          <w:color w:val="auto"/>
        </w:rPr>
      </w:pPr>
    </w:p>
    <w:p>
      <w:pPr>
        <w:ind w:left="760" w:hanging="302"/>
        <w:spacing w:after="0"/>
        <w:tabs>
          <w:tab w:leader="none" w:pos="7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Notices</w:t>
      </w:r>
      <w:r>
        <w:rPr>
          <w:rFonts w:ascii="Arial" w:cs="Arial" w:eastAsia="Arial" w:hAnsi="Arial"/>
          <w:sz w:val="18"/>
          <w:szCs w:val="18"/>
          <w:color w:val="auto"/>
        </w:rPr>
        <w:t>. Furnish to FCW:</w:t>
      </w:r>
    </w:p>
    <w:p>
      <w:pPr>
        <w:spacing w:after="0" w:line="117" w:lineRule="exact"/>
        <w:rPr>
          <w:rFonts w:ascii="Arial" w:cs="Arial" w:eastAsia="Arial" w:hAnsi="Arial"/>
          <w:sz w:val="18"/>
          <w:szCs w:val="18"/>
          <w:b w:val="1"/>
          <w:bCs w:val="1"/>
          <w:color w:val="auto"/>
        </w:rPr>
      </w:pPr>
    </w:p>
    <w:p>
      <w:pPr>
        <w:ind w:right="40" w:firstLine="683"/>
        <w:spacing w:after="0" w:line="256" w:lineRule="auto"/>
        <w:tabs>
          <w:tab w:leader="none" w:pos="92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Annual Financial Statements</w:t>
      </w:r>
      <w:r>
        <w:rPr>
          <w:rFonts w:ascii="Arial" w:cs="Arial" w:eastAsia="Arial" w:hAnsi="Arial"/>
          <w:sz w:val="18"/>
          <w:szCs w:val="18"/>
          <w:color w:val="auto"/>
        </w:rPr>
        <w:t>. As soon as available, but in no event more than 90 days after the end of each fiscal year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occurring during the term hereof, annual consolidated and consolidating financial statements of the Company and its consolidated Subsidiaries, if any, prepared in accordance with GAAP consistently applied. Such financial statements shall: (a) be audited by independent certified public accountants selected by the Company and acceptable to FCW; (b) be accompanied by a report of such accountants containing an opinion thereon acceptable to FCW; (c) be prepared in reasonable detail and in comparative form; and (d) include a balance sheet, a statement of income, a statement of retained earnings, a statement of cash flows, and all notes and schedules relating thereto.</w:t>
      </w:r>
    </w:p>
    <w:p>
      <w:pPr>
        <w:spacing w:after="0" w:line="79" w:lineRule="exact"/>
        <w:rPr>
          <w:rFonts w:ascii="Arial" w:cs="Arial" w:eastAsia="Arial" w:hAnsi="Arial"/>
          <w:sz w:val="18"/>
          <w:szCs w:val="18"/>
          <w:b w:val="1"/>
          <w:bCs w:val="1"/>
          <w:color w:val="auto"/>
        </w:rPr>
      </w:pPr>
    </w:p>
    <w:p>
      <w:pPr>
        <w:ind w:right="20" w:firstLine="683"/>
        <w:spacing w:after="0" w:line="258" w:lineRule="auto"/>
        <w:tabs>
          <w:tab w:leader="none" w:pos="93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Statements. </w:t>
      </w:r>
      <w:r>
        <w:rPr>
          <w:rFonts w:ascii="Arial" w:cs="Arial" w:eastAsia="Arial" w:hAnsi="Arial"/>
          <w:sz w:val="18"/>
          <w:szCs w:val="18"/>
          <w:color w:val="auto"/>
        </w:rPr>
        <w:t>As soon as available, but in no event more than 45 days after the end of each fiscal quarter, a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of the Company and its consolidated Subsidiaries, if any, as of the end of such quarter, a consolidated statement of income for the Company and its consolidated Subsidiaries, if any, for such period and for the period year to date, and such other interim statements as FCW may specifically request, all prepared in reasonable detail and in comparative form in accordance with GAAP consistently applied and certified by an authorized officer or employee of the Company acceptable to FCW.</w:t>
      </w:r>
    </w:p>
    <w:p>
      <w:pPr>
        <w:spacing w:after="0" w:line="75" w:lineRule="exact"/>
        <w:rPr>
          <w:rFonts w:ascii="Arial" w:cs="Arial" w:eastAsia="Arial" w:hAnsi="Arial"/>
          <w:sz w:val="18"/>
          <w:szCs w:val="18"/>
          <w:b w:val="1"/>
          <w:bCs w:val="1"/>
          <w:color w:val="auto"/>
        </w:rPr>
      </w:pPr>
    </w:p>
    <w:p>
      <w:pPr>
        <w:ind w:left="940" w:hanging="257"/>
        <w:spacing w:after="0"/>
        <w:tabs>
          <w:tab w:leader="none" w:pos="94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Default. </w:t>
      </w:r>
      <w:r>
        <w:rPr>
          <w:rFonts w:ascii="Arial" w:cs="Arial" w:eastAsia="Arial" w:hAnsi="Arial"/>
          <w:sz w:val="18"/>
          <w:szCs w:val="18"/>
          <w:color w:val="auto"/>
        </w:rPr>
        <w:t>Promptly after becoming aware thereof, notice of the occurrence of an Event of Default or a Potential Default.</w:t>
      </w:r>
    </w:p>
    <w:p>
      <w:pPr>
        <w:spacing w:after="0" w:line="117" w:lineRule="exact"/>
        <w:rPr>
          <w:rFonts w:ascii="Arial" w:cs="Arial" w:eastAsia="Arial" w:hAnsi="Arial"/>
          <w:sz w:val="18"/>
          <w:szCs w:val="18"/>
          <w:b w:val="1"/>
          <w:bCs w:val="1"/>
          <w:color w:val="auto"/>
        </w:rPr>
      </w:pPr>
    </w:p>
    <w:p>
      <w:pPr>
        <w:ind w:right="460" w:firstLine="683"/>
        <w:spacing w:after="0" w:line="282" w:lineRule="auto"/>
        <w:tabs>
          <w:tab w:leader="none" w:pos="93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Non-Environmental Litigation. </w:t>
      </w:r>
      <w:r>
        <w:rPr>
          <w:rFonts w:ascii="Arial" w:cs="Arial" w:eastAsia="Arial" w:hAnsi="Arial"/>
          <w:sz w:val="18"/>
          <w:szCs w:val="18"/>
          <w:color w:val="auto"/>
        </w:rPr>
        <w:t>Promptly after the commencement thereof, notice of the commencement of all actions, suits, or</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before any court, arbitrator, or governmental department, commission, board, bureau, agency,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NO. 3789055-101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Page 7</w:t>
      </w:r>
    </w:p>
    <w:p>
      <w:pPr>
        <w:spacing w:after="0" w:line="151" w:lineRule="exact"/>
        <w:rPr>
          <w:sz w:val="20"/>
          <w:szCs w:val="20"/>
          <w:color w:val="auto"/>
        </w:rPr>
      </w:pPr>
    </w:p>
    <w:p>
      <w:pPr>
        <w:sectPr>
          <w:pgSz w:w="11900" w:h="16838" w:orient="portrait"/>
          <w:cols w:equalWidth="0" w:num="2">
            <w:col w:w="10140" w:space="720"/>
            <w:col w:w="560"/>
          </w:cols>
          <w:pgMar w:left="240" w:top="1152" w:right="239" w:bottom="1440" w:gutter="0" w:footer="0" w:header="0"/>
        </w:sectPr>
      </w:pPr>
    </w:p>
    <w:p>
      <w:pPr>
        <w:ind w:right="540"/>
        <w:spacing w:after="0" w:line="277" w:lineRule="auto"/>
        <w:rPr>
          <w:sz w:val="20"/>
          <w:szCs w:val="20"/>
          <w:color w:val="auto"/>
        </w:rPr>
      </w:pPr>
      <w:r>
        <w:rPr>
          <w:rFonts w:ascii="Arial" w:cs="Arial" w:eastAsia="Arial" w:hAnsi="Arial"/>
          <w:sz w:val="18"/>
          <w:szCs w:val="18"/>
          <w:color w:val="auto"/>
        </w:rPr>
        <w:t>instrumentality affecting the Company or any Subsidiary which, if determined adversely to the Company or any such Subsidiary, could have a material adverse effect on the financial condition, properties, profits, or operations of the Company or any such Subsidiary.</w:t>
      </w:r>
    </w:p>
    <w:p>
      <w:pPr>
        <w:spacing w:after="0" w:line="58" w:lineRule="exact"/>
        <w:rPr>
          <w:sz w:val="20"/>
          <w:szCs w:val="20"/>
          <w:color w:val="auto"/>
        </w:rPr>
      </w:pPr>
    </w:p>
    <w:p>
      <w:pPr>
        <w:jc w:val="both"/>
        <w:ind w:right="260" w:firstLine="683"/>
        <w:spacing w:after="0" w:line="281" w:lineRule="auto"/>
        <w:tabs>
          <w:tab w:leader="none" w:pos="930" w:val="left"/>
        </w:tabs>
        <w:numPr>
          <w:ilvl w:val="1"/>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Environmental Litigation. </w:t>
      </w:r>
      <w:r>
        <w:rPr>
          <w:rFonts w:ascii="Arial" w:cs="Arial" w:eastAsia="Arial" w:hAnsi="Arial"/>
          <w:sz w:val="17"/>
          <w:szCs w:val="17"/>
          <w:color w:val="auto"/>
        </w:rPr>
        <w:t>Promptly after receipt thereof, notice of the receipt of all pleadings, orders, complaints, indictments,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communication alleging a condition that may require the Company or any Subsidiary to undertake or to contribute to a cleanup or other response under environmental Laws, or which seek penalties, damages, injunctive relief, or criminal sanctions related to alleged violations of such Laws, or which claim personal injury or property damage to any person as a result of environmental factors or conditions.</w:t>
      </w:r>
    </w:p>
    <w:p>
      <w:pPr>
        <w:spacing w:after="0" w:line="56" w:lineRule="exact"/>
        <w:rPr>
          <w:rFonts w:ascii="Arial" w:cs="Arial" w:eastAsia="Arial" w:hAnsi="Arial"/>
          <w:sz w:val="17"/>
          <w:szCs w:val="17"/>
          <w:b w:val="1"/>
          <w:bCs w:val="1"/>
          <w:color w:val="auto"/>
        </w:rPr>
      </w:pPr>
    </w:p>
    <w:p>
      <w:pPr>
        <w:ind w:right="320" w:firstLine="683"/>
        <w:spacing w:after="0" w:line="282" w:lineRule="auto"/>
        <w:tabs>
          <w:tab w:leader="none" w:pos="93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Bylaws and Articles</w:t>
      </w:r>
      <w:r>
        <w:rPr>
          <w:rFonts w:ascii="Arial" w:cs="Arial" w:eastAsia="Arial" w:hAnsi="Arial"/>
          <w:sz w:val="18"/>
          <w:szCs w:val="18"/>
          <w:color w:val="auto"/>
        </w:rPr>
        <w:t>. Promptly after any change in the Company’s bylaws or articles of incorporation (or like documents), copies of all such</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certified by the Company’s Secretary.</w:t>
      </w:r>
    </w:p>
    <w:p>
      <w:pPr>
        <w:spacing w:after="0" w:line="53" w:lineRule="exact"/>
        <w:rPr>
          <w:rFonts w:ascii="Arial" w:cs="Arial" w:eastAsia="Arial" w:hAnsi="Arial"/>
          <w:sz w:val="18"/>
          <w:szCs w:val="18"/>
          <w:b w:val="1"/>
          <w:bCs w:val="1"/>
          <w:color w:val="auto"/>
        </w:rPr>
      </w:pPr>
    </w:p>
    <w:p>
      <w:pPr>
        <w:jc w:val="both"/>
        <w:ind w:right="140" w:firstLine="683"/>
        <w:spacing w:after="0" w:line="266" w:lineRule="auto"/>
        <w:tabs>
          <w:tab w:leader="none" w:pos="93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w:t>
      </w:r>
      <w:r>
        <w:rPr>
          <w:rFonts w:ascii="Arial" w:cs="Arial" w:eastAsia="Arial" w:hAnsi="Arial"/>
          <w:sz w:val="18"/>
          <w:szCs w:val="18"/>
          <w:color w:val="auto"/>
        </w:rPr>
        <w:t>. Such other information regarding the condition or operations, financial or otherwise, of the Company or any Subsidiary as</w:t>
      </w:r>
      <w:r>
        <w:rPr>
          <w:rFonts w:ascii="Arial" w:cs="Arial" w:eastAsia="Arial" w:hAnsi="Arial"/>
          <w:sz w:val="18"/>
          <w:szCs w:val="18"/>
          <w:b w:val="1"/>
          <w:bCs w:val="1"/>
          <w:color w:val="auto"/>
        </w:rPr>
        <w:t xml:space="preserve"> </w:t>
      </w:r>
      <w:r>
        <w:rPr>
          <w:rFonts w:ascii="Arial" w:cs="Arial" w:eastAsia="Arial" w:hAnsi="Arial"/>
          <w:sz w:val="18"/>
          <w:szCs w:val="18"/>
          <w:color w:val="auto"/>
        </w:rPr>
        <w:t>FCW may from time to time reasonably request, including but not limited to copies of all pleadings, notices, and communications referred to in Subsections 15(G)(4) and (5) above.</w:t>
      </w:r>
    </w:p>
    <w:p>
      <w:pPr>
        <w:spacing w:after="0" w:line="68" w:lineRule="exact"/>
        <w:rPr>
          <w:rFonts w:ascii="Arial" w:cs="Arial" w:eastAsia="Arial" w:hAnsi="Arial"/>
          <w:sz w:val="18"/>
          <w:szCs w:val="18"/>
          <w:b w:val="1"/>
          <w:bCs w:val="1"/>
          <w:color w:val="auto"/>
        </w:rPr>
      </w:pPr>
    </w:p>
    <w:p>
      <w:pPr>
        <w:jc w:val="both"/>
        <w:ind w:right="460" w:firstLine="683"/>
        <w:spacing w:after="0" w:line="303" w:lineRule="auto"/>
        <w:tabs>
          <w:tab w:leader="none" w:pos="930"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Certificate</w:t>
      </w:r>
      <w:r>
        <w:rPr>
          <w:rFonts w:ascii="Arial" w:cs="Arial" w:eastAsia="Arial" w:hAnsi="Arial"/>
          <w:sz w:val="16"/>
          <w:szCs w:val="16"/>
          <w:color w:val="auto"/>
        </w:rPr>
        <w:t>. Together with each set of financial statements furnished to FCW pursuant to Section 15(G)(1), and each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submitted pursuant to Section 15(G)(2) for a period corresponding to a period for which one or more of the financial covenants set forth in Section 17 hereof are required to be tested, a certificate of an officer or employee of the Company acceptable to FCW setting forth calculations showing compliance with each of the financial covenants that require compliance at the end of the period for which the statements are being furnished.</w:t>
      </w:r>
    </w:p>
    <w:p>
      <w:pPr>
        <w:spacing w:after="0" w:line="43" w:lineRule="exact"/>
        <w:rPr>
          <w:rFonts w:ascii="Arial" w:cs="Arial" w:eastAsia="Arial" w:hAnsi="Arial"/>
          <w:sz w:val="16"/>
          <w:szCs w:val="16"/>
          <w:b w:val="1"/>
          <w:bCs w:val="1"/>
          <w:color w:val="auto"/>
        </w:rPr>
      </w:pPr>
    </w:p>
    <w:p>
      <w:pPr>
        <w:jc w:val="both"/>
        <w:ind w:firstLine="458"/>
        <w:spacing w:after="0" w:line="261" w:lineRule="auto"/>
        <w:tabs>
          <w:tab w:leader="none" w:pos="75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Certain Organizational Changes</w:t>
      </w:r>
      <w:r>
        <w:rPr>
          <w:rFonts w:ascii="Arial" w:cs="Arial" w:eastAsia="Arial" w:hAnsi="Arial"/>
          <w:sz w:val="18"/>
          <w:szCs w:val="18"/>
          <w:color w:val="auto"/>
        </w:rPr>
        <w:t>. Provide FCW with prior notice (and as early as practicable) of any merger, consolidation reorganization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provision of law, acquisition of all or a material part of the assets of another organization, change of name, adoption of any trade name, or creation of any Subsidiary, affiliate or material joint venture(s). For purposes of this covenant, joint venture transaction(s), which alone or in the aggregate exceed $1,000,000, are considered material.</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SECTION 16. Negative Covenants</w:t>
      </w:r>
      <w:r>
        <w:rPr>
          <w:rFonts w:ascii="Arial" w:cs="Arial" w:eastAsia="Arial" w:hAnsi="Arial"/>
          <w:sz w:val="17"/>
          <w:szCs w:val="17"/>
          <w:color w:val="auto"/>
        </w:rPr>
        <w:t>. Unless otherwise agreed to in writing by FCW, which agreement will not be unreasonably withheld, while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is in effect, the Company will not:</w:t>
      </w:r>
    </w:p>
    <w:p>
      <w:pPr>
        <w:spacing w:after="0" w:line="99" w:lineRule="exact"/>
        <w:rPr>
          <w:sz w:val="20"/>
          <w:szCs w:val="20"/>
          <w:color w:val="auto"/>
        </w:rPr>
      </w:pPr>
    </w:p>
    <w:p>
      <w:pPr>
        <w:ind w:right="300" w:firstLine="458"/>
        <w:spacing w:after="0" w:line="313" w:lineRule="auto"/>
        <w:tabs>
          <w:tab w:leader="none" w:pos="745"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Borrowings. </w:t>
      </w:r>
      <w:r>
        <w:rPr>
          <w:rFonts w:ascii="Arial" w:cs="Arial" w:eastAsia="Arial" w:hAnsi="Arial"/>
          <w:sz w:val="17"/>
          <w:szCs w:val="17"/>
          <w:color w:val="auto"/>
        </w:rPr>
        <w:t>Create, incur, assume, or allow to exist, directly or indirectly, any indebtedness or liability for borrowed money (including trade or</w:t>
      </w:r>
      <w:r>
        <w:rPr>
          <w:rFonts w:ascii="Arial" w:cs="Arial" w:eastAsia="Arial" w:hAnsi="Arial"/>
          <w:sz w:val="17"/>
          <w:szCs w:val="17"/>
          <w:b w:val="1"/>
          <w:bCs w:val="1"/>
          <w:color w:val="auto"/>
        </w:rPr>
        <w:t xml:space="preserve"> </w:t>
      </w:r>
      <w:r>
        <w:rPr>
          <w:rFonts w:ascii="Arial" w:cs="Arial" w:eastAsia="Arial" w:hAnsi="Arial"/>
          <w:sz w:val="17"/>
          <w:szCs w:val="17"/>
          <w:color w:val="auto"/>
        </w:rPr>
        <w:t>bankers’ acceptances), letters of credit, or the deferred purchase price of property or services (including capitalized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NO. 3789055-101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Page 8</w:t>
      </w:r>
    </w:p>
    <w:p>
      <w:pPr>
        <w:spacing w:after="0" w:line="151" w:lineRule="exact"/>
        <w:rPr>
          <w:sz w:val="20"/>
          <w:szCs w:val="20"/>
          <w:color w:val="auto"/>
        </w:rPr>
      </w:pPr>
    </w:p>
    <w:p>
      <w:pPr>
        <w:sectPr>
          <w:pgSz w:w="11900" w:h="16838" w:orient="portrait"/>
          <w:cols w:equalWidth="0" w:num="2">
            <w:col w:w="10140" w:space="720"/>
            <w:col w:w="540"/>
          </w:cols>
          <w:pgMar w:left="240" w:top="1152" w:right="259" w:bottom="1440" w:gutter="0" w:footer="0" w:header="0"/>
        </w:sectPr>
      </w:pPr>
    </w:p>
    <w:p>
      <w:pPr>
        <w:spacing w:after="0"/>
        <w:rPr>
          <w:sz w:val="20"/>
          <w:szCs w:val="20"/>
          <w:color w:val="auto"/>
        </w:rPr>
      </w:pPr>
      <w:r>
        <w:rPr>
          <w:rFonts w:ascii="Arial" w:cs="Arial" w:eastAsia="Arial" w:hAnsi="Arial"/>
          <w:sz w:val="17"/>
          <w:szCs w:val="17"/>
          <w:color w:val="auto"/>
        </w:rPr>
        <w:t>except for: (i) debt to FCW; (ii) accounts payable to trade creditors incurred in the ordinary course of business; and (iii) current operating liabilities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than for borrowed money) incurred in the ordinary course of business; (iv) debt of the Company to Bank of America in an amount not to exceed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$15,000,000.00 and all extensions, renewals, and refinancings thereof; (v) (vi) letters of credit issued by any bank for the account of the Company in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face amount not to exceed $5,000,000.00 at any one time outstanding; and (vii) capitalized leases existing on the date hereof existing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99" w:lineRule="exact"/>
        <w:rPr>
          <w:sz w:val="20"/>
          <w:szCs w:val="20"/>
          <w:color w:val="auto"/>
        </w:rPr>
      </w:pPr>
    </w:p>
    <w:p>
      <w:pPr>
        <w:ind w:firstLine="458"/>
        <w:spacing w:after="0" w:line="286" w:lineRule="auto"/>
        <w:tabs>
          <w:tab w:leader="none" w:pos="735" w:val="left"/>
        </w:tabs>
        <w:numPr>
          <w:ilvl w:val="1"/>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Liens</w:t>
      </w:r>
      <w:r>
        <w:rPr>
          <w:rFonts w:ascii="Arial" w:cs="Arial" w:eastAsia="Arial" w:hAnsi="Arial"/>
          <w:sz w:val="16"/>
          <w:szCs w:val="16"/>
          <w:color w:val="auto"/>
        </w:rPr>
        <w:t>. Create, incur, assume, or allow to exist any mortgage, deed of trust, pledge, lien (including the lien of an attachment, judgment, 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security interest, or other encumbrance of any kind upon any of its property, real or personal (collectively, “Liens”). The foregoing restrictions shall not apply to: (i) Liens in favor of FCW or CoBank; (ii) Liens for taxes, assessments, or governmental charges that are not past due; (iii) Liens and deposits under workers’ compensation, unemployment insurance, and social security Laws; (iv) Liens and deposits to secure the performance of bids, tenders, contracts (other than contracts for the payment of money), and like obligations arising in the ordinary course of business as conducted on the date hereof;</w:t>
      </w:r>
    </w:p>
    <w:p>
      <w:pPr>
        <w:spacing w:after="0" w:line="2" w:lineRule="exact"/>
        <w:rPr>
          <w:rFonts w:ascii="Arial" w:cs="Arial" w:eastAsia="Arial" w:hAnsi="Arial"/>
          <w:sz w:val="16"/>
          <w:szCs w:val="16"/>
          <w:b w:val="1"/>
          <w:bCs w:val="1"/>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Liens imposed by Law in favor of mechanics, materialmen, warehousemen, and like persons that secure obligations that are not past due; and</w:t>
      </w:r>
    </w:p>
    <w:p>
      <w:pPr>
        <w:spacing w:after="0" w:line="20" w:lineRule="exact"/>
        <w:rPr>
          <w:rFonts w:ascii="Arial" w:cs="Arial" w:eastAsia="Arial" w:hAnsi="Arial"/>
          <w:sz w:val="17"/>
          <w:szCs w:val="17"/>
          <w:color w:val="auto"/>
        </w:rPr>
      </w:pPr>
    </w:p>
    <w:p>
      <w:pPr>
        <w:ind w:right="180" w:firstLine="8"/>
        <w:spacing w:after="0" w:line="323" w:lineRule="auto"/>
        <w:tabs>
          <w:tab w:leader="none" w:pos="3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easements, rights-of-way, restrictions, and other similar encumbrances which, in the aggregate, do not materially interfere with the occupation, use, and enjoyment of the property or assets encumbered thereby in the normal course of its business or materially impair the value of the property subject thereto.</w:t>
      </w:r>
    </w:p>
    <w:p>
      <w:pPr>
        <w:spacing w:after="0" w:line="26" w:lineRule="exact"/>
        <w:rPr>
          <w:rFonts w:ascii="Arial" w:cs="Arial" w:eastAsia="Arial" w:hAnsi="Arial"/>
          <w:sz w:val="16"/>
          <w:szCs w:val="16"/>
          <w:color w:val="auto"/>
        </w:rPr>
      </w:pPr>
    </w:p>
    <w:p>
      <w:pPr>
        <w:ind w:left="740" w:hanging="282"/>
        <w:spacing w:after="0"/>
        <w:tabs>
          <w:tab w:leader="none" w:pos="74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Assets</w:t>
      </w:r>
      <w:r>
        <w:rPr>
          <w:rFonts w:ascii="Arial" w:cs="Arial" w:eastAsia="Arial" w:hAnsi="Arial"/>
          <w:sz w:val="18"/>
          <w:szCs w:val="18"/>
          <w:color w:val="auto"/>
        </w:rPr>
        <w:t>. Sell, transfer, lease, or otherwise dispose of any of its assets, except in the ordinary course of business.</w:t>
      </w:r>
    </w:p>
    <w:p>
      <w:pPr>
        <w:spacing w:after="0" w:line="117" w:lineRule="exact"/>
        <w:rPr>
          <w:rFonts w:ascii="Arial" w:cs="Arial" w:eastAsia="Arial" w:hAnsi="Arial"/>
          <w:sz w:val="18"/>
          <w:szCs w:val="18"/>
          <w:b w:val="1"/>
          <w:bCs w:val="1"/>
          <w:color w:val="auto"/>
        </w:rPr>
      </w:pPr>
    </w:p>
    <w:p>
      <w:pPr>
        <w:ind w:right="100" w:firstLine="458"/>
        <w:spacing w:after="0" w:line="281" w:lineRule="auto"/>
        <w:tabs>
          <w:tab w:leader="none" w:pos="745" w:val="left"/>
        </w:tabs>
        <w:numPr>
          <w:ilvl w:val="1"/>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Contingent Liabilities</w:t>
      </w:r>
      <w:r>
        <w:rPr>
          <w:rFonts w:ascii="Arial" w:cs="Arial" w:eastAsia="Arial" w:hAnsi="Arial"/>
          <w:sz w:val="17"/>
          <w:szCs w:val="17"/>
          <w:color w:val="auto"/>
        </w:rPr>
        <w:t>. Assume, guarantee, become liable as a surety, endorse, contingently agree to purchase, or otherwise be or become liable,</w:t>
      </w:r>
      <w:r>
        <w:rPr>
          <w:rFonts w:ascii="Arial" w:cs="Arial" w:eastAsia="Arial" w:hAnsi="Arial"/>
          <w:sz w:val="17"/>
          <w:szCs w:val="17"/>
          <w:b w:val="1"/>
          <w:bCs w:val="1"/>
          <w:color w:val="auto"/>
        </w:rPr>
        <w:t xml:space="preserve"> </w:t>
      </w:r>
      <w:r>
        <w:rPr>
          <w:rFonts w:ascii="Arial" w:cs="Arial" w:eastAsia="Arial" w:hAnsi="Arial"/>
          <w:sz w:val="17"/>
          <w:szCs w:val="17"/>
          <w:color w:val="auto"/>
        </w:rPr>
        <w:t>directly or indirectly (including, but not limited to, by means of a maintenance agreement, an asset or stock purchase agreement, or any other agreement designed to ensure any creditor against loss), for or on account of the obligation of any person or entity, except by the endorsement of negotiable instruments for deposit or collection or similar transactions in the ordinary course of the Company’s business.</w:t>
      </w:r>
    </w:p>
    <w:p>
      <w:pPr>
        <w:spacing w:after="0" w:line="56" w:lineRule="exact"/>
        <w:rPr>
          <w:rFonts w:ascii="Arial" w:cs="Arial" w:eastAsia="Arial" w:hAnsi="Arial"/>
          <w:sz w:val="17"/>
          <w:szCs w:val="17"/>
          <w:b w:val="1"/>
          <w:bCs w:val="1"/>
          <w:color w:val="auto"/>
        </w:rPr>
      </w:pPr>
    </w:p>
    <w:p>
      <w:pPr>
        <w:ind w:right="260" w:firstLine="458"/>
        <w:spacing w:after="0" w:line="282" w:lineRule="auto"/>
        <w:tabs>
          <w:tab w:leader="none" w:pos="735"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Business</w:t>
      </w:r>
      <w:r>
        <w:rPr>
          <w:rFonts w:ascii="Arial" w:cs="Arial" w:eastAsia="Arial" w:hAnsi="Arial"/>
          <w:sz w:val="18"/>
          <w:szCs w:val="18"/>
          <w:color w:val="auto"/>
        </w:rPr>
        <w:t>. Engage in any business activities or operations substantially different from or unrelated to the Company’s present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or operations.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SECTION 17. Financial Covenants. </w:t>
      </w:r>
      <w:r>
        <w:rPr>
          <w:rFonts w:ascii="Arial" w:cs="Arial" w:eastAsia="Arial" w:hAnsi="Arial"/>
          <w:sz w:val="18"/>
          <w:szCs w:val="18"/>
          <w:color w:val="auto"/>
        </w:rPr>
        <w:t>Unless otherwise agreed to in writing, while this Agreement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NO. 3789055-101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Page 9</w:t>
      </w:r>
    </w:p>
    <w:p>
      <w:pPr>
        <w:spacing w:after="0" w:line="147" w:lineRule="exact"/>
        <w:rPr>
          <w:sz w:val="20"/>
          <w:szCs w:val="20"/>
          <w:color w:val="auto"/>
        </w:rPr>
      </w:pPr>
    </w:p>
    <w:p>
      <w:pPr>
        <w:sectPr>
          <w:pgSz w:w="11900" w:h="16838" w:orient="portrait"/>
          <w:cols w:equalWidth="0" w:num="2">
            <w:col w:w="10140" w:space="720"/>
            <w:col w:w="500"/>
          </w:cols>
          <w:pgMar w:left="240" w:top="1152" w:right="299" w:bottom="1440" w:gutter="0" w:footer="0" w:header="0"/>
        </w:sectPr>
      </w:pPr>
    </w:p>
    <w:p>
      <w:pPr>
        <w:ind w:right="340" w:firstLine="458"/>
        <w:spacing w:after="0" w:line="282" w:lineRule="auto"/>
        <w:tabs>
          <w:tab w:leader="none" w:pos="74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Working Capital</w:t>
      </w:r>
      <w:r>
        <w:rPr>
          <w:rFonts w:ascii="Arial" w:cs="Arial" w:eastAsia="Arial" w:hAnsi="Arial"/>
          <w:sz w:val="18"/>
          <w:szCs w:val="18"/>
          <w:color w:val="auto"/>
        </w:rPr>
        <w:t>. The Company will maintain, on a consolidated basis, current assets in excess of current liabilities of at least Fifteen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($15,000,000), measured on a quarterly basis beginning January 31, 2008</w:t>
      </w:r>
    </w:p>
    <w:p>
      <w:pPr>
        <w:spacing w:after="0" w:line="53" w:lineRule="exact"/>
        <w:rPr>
          <w:rFonts w:ascii="Arial" w:cs="Arial" w:eastAsia="Arial" w:hAnsi="Arial"/>
          <w:sz w:val="18"/>
          <w:szCs w:val="18"/>
          <w:b w:val="1"/>
          <w:bCs w:val="1"/>
          <w:color w:val="auto"/>
        </w:rPr>
      </w:pPr>
    </w:p>
    <w:p>
      <w:pPr>
        <w:ind w:right="80" w:firstLine="458"/>
        <w:spacing w:after="0" w:line="273" w:lineRule="auto"/>
        <w:tabs>
          <w:tab w:leader="none" w:pos="732"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Tangible Net Worth</w:t>
      </w:r>
      <w:r>
        <w:rPr>
          <w:rFonts w:ascii="Arial" w:cs="Arial" w:eastAsia="Arial" w:hAnsi="Arial"/>
          <w:sz w:val="17"/>
          <w:szCs w:val="17"/>
          <w:color w:val="auto"/>
        </w:rPr>
        <w:t>. The Company will maintain, on a consolidated basis, a “Tangible Net Worth” equal to at least Thirty-Two Million Five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Hundred Thousand Dollars (S32,500,000.00), measured on a quarterly basis. “Tangible Net Worth” means the value of total assets (including leaseholds and leasehold improvements and reserves against assets but excluding goodwill, patents, trademarks, trade names, organization expense, unamortized debt discount and expense, capitalized or deferred research and development costs, deferred marketing expenses, and other like intangibles, and monies due from affiliates, officers, directors, employees, shareholders, members or managers)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total liabilities, including but not limited to accrued and deferred income taxes, but excluding the non-current portion of Subordinated Liabilities. “Subordinated Liabilities” means liabilities subordinated to the Borrower’s obligations to FCW in a manner acceptable to FCW in its sole discretion.</w:t>
      </w:r>
    </w:p>
    <w:p>
      <w:pPr>
        <w:spacing w:after="0" w:line="64" w:lineRule="exact"/>
        <w:rPr>
          <w:rFonts w:ascii="Arial" w:cs="Arial" w:eastAsia="Arial" w:hAnsi="Arial"/>
          <w:sz w:val="17"/>
          <w:szCs w:val="17"/>
          <w:b w:val="1"/>
          <w:bCs w:val="1"/>
          <w:color w:val="auto"/>
        </w:rPr>
      </w:pPr>
    </w:p>
    <w:p>
      <w:pPr>
        <w:ind w:firstLine="458"/>
        <w:spacing w:after="0" w:line="258" w:lineRule="auto"/>
        <w:tabs>
          <w:tab w:leader="none" w:pos="74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EBITDA</w:t>
      </w:r>
      <w:r>
        <w:rPr>
          <w:rFonts w:ascii="Arial" w:cs="Arial" w:eastAsia="Arial" w:hAnsi="Arial"/>
          <w:sz w:val="18"/>
          <w:szCs w:val="18"/>
          <w:color w:val="auto"/>
        </w:rPr>
        <w:t>. The Company will maintain an “EBITDA” of at least Seven Million Five Hundred Thousand Dollars ($7,500,000.00). “EBITDA”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means net income, less income or plus loss from discontinued operations and extraordinary items,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income taxes, plus interest expense, plus depreciation, depletion, and amortization. This covenant will be calculated at the end of each reporting period for which FCW requires financial statements, using the results of the twelve-month period ending with that reporting period. The current portion of long-term liabilities will be measured as of the last day of the calculation period.</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SECTION 18. Events of Default. </w:t>
      </w:r>
      <w:r>
        <w:rPr>
          <w:rFonts w:ascii="Arial" w:cs="Arial" w:eastAsia="Arial" w:hAnsi="Arial"/>
          <w:sz w:val="18"/>
          <w:szCs w:val="18"/>
          <w:color w:val="auto"/>
        </w:rPr>
        <w:t>Each of the following shall constitute an “Event of Default” under this Agreement:</w:t>
      </w:r>
    </w:p>
    <w:p>
      <w:pPr>
        <w:spacing w:after="0" w:line="117" w:lineRule="exact"/>
        <w:rPr>
          <w:sz w:val="20"/>
          <w:szCs w:val="20"/>
          <w:color w:val="auto"/>
        </w:rPr>
      </w:pPr>
    </w:p>
    <w:p>
      <w:pPr>
        <w:ind w:left="760" w:hanging="302"/>
        <w:spacing w:after="0"/>
        <w:tabs>
          <w:tab w:leader="none" w:pos="7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Payment Default</w:t>
      </w:r>
      <w:r>
        <w:rPr>
          <w:rFonts w:ascii="Arial" w:cs="Arial" w:eastAsia="Arial" w:hAnsi="Arial"/>
          <w:sz w:val="18"/>
          <w:szCs w:val="18"/>
          <w:color w:val="auto"/>
        </w:rPr>
        <w:t>. The Company should fail to make any payment when due.</w:t>
      </w:r>
    </w:p>
    <w:p>
      <w:pPr>
        <w:spacing w:after="0" w:line="117" w:lineRule="exact"/>
        <w:rPr>
          <w:rFonts w:ascii="Arial" w:cs="Arial" w:eastAsia="Arial" w:hAnsi="Arial"/>
          <w:sz w:val="18"/>
          <w:szCs w:val="18"/>
          <w:b w:val="1"/>
          <w:bCs w:val="1"/>
          <w:color w:val="auto"/>
        </w:rPr>
      </w:pPr>
    </w:p>
    <w:p>
      <w:pPr>
        <w:ind w:right="100" w:firstLine="458"/>
        <w:spacing w:after="0" w:line="266" w:lineRule="auto"/>
        <w:tabs>
          <w:tab w:leader="none" w:pos="73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Any representation or warranty made or deemed made by the Company herein or in the Note,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certificate, or other document related to or furnished in connection with this Agreement or the Note, shall prove to have been false or misleading in any material respect on or as of the date made or deemed made.</w:t>
      </w:r>
    </w:p>
    <w:p>
      <w:pPr>
        <w:spacing w:after="0" w:line="68" w:lineRule="exact"/>
        <w:rPr>
          <w:rFonts w:ascii="Arial" w:cs="Arial" w:eastAsia="Arial" w:hAnsi="Arial"/>
          <w:sz w:val="18"/>
          <w:szCs w:val="18"/>
          <w:b w:val="1"/>
          <w:bCs w:val="1"/>
          <w:color w:val="auto"/>
        </w:rPr>
      </w:pPr>
    </w:p>
    <w:p>
      <w:pPr>
        <w:ind w:right="220" w:firstLine="458"/>
        <w:spacing w:after="0" w:line="266" w:lineRule="auto"/>
        <w:tabs>
          <w:tab w:leader="none" w:pos="74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Certain Affirmative Covenants</w:t>
      </w:r>
      <w:r>
        <w:rPr>
          <w:rFonts w:ascii="Arial" w:cs="Arial" w:eastAsia="Arial" w:hAnsi="Arial"/>
          <w:sz w:val="18"/>
          <w:szCs w:val="18"/>
          <w:color w:val="auto"/>
        </w:rPr>
        <w:t>. The Company or, to the extent required hereunder, any Subsidiary should fail to perform or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15(A) through 15(G)(2), and 15(G)(6) and such failure continues for 15 days after written notice thereof shall have been delivered by FCW to the Company.</w:t>
      </w:r>
    </w:p>
    <w:p>
      <w:pPr>
        <w:spacing w:after="0" w:line="68" w:lineRule="exact"/>
        <w:rPr>
          <w:rFonts w:ascii="Arial" w:cs="Arial" w:eastAsia="Arial" w:hAnsi="Arial"/>
          <w:sz w:val="18"/>
          <w:szCs w:val="18"/>
          <w:b w:val="1"/>
          <w:bCs w:val="1"/>
          <w:color w:val="auto"/>
        </w:rPr>
      </w:pPr>
    </w:p>
    <w:p>
      <w:pPr>
        <w:ind w:right="80" w:firstLine="458"/>
        <w:spacing w:after="0" w:line="347" w:lineRule="auto"/>
        <w:tabs>
          <w:tab w:leader="none" w:pos="74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Other Covenants and Agreements</w:t>
      </w:r>
      <w:r>
        <w:rPr>
          <w:rFonts w:ascii="Arial" w:cs="Arial" w:eastAsia="Arial" w:hAnsi="Arial"/>
          <w:sz w:val="16"/>
          <w:szCs w:val="16"/>
          <w:color w:val="auto"/>
        </w:rPr>
        <w:t>. The Company or, to the extent required hereunder, any Subsidiary should fail to perform or comply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covenant or agreement contained herein or in any other Loan Document or shall use the proceeds of any loan for an unauthorized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52" w:right="2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NO. 3789055-101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Page 10</w:t>
      </w:r>
    </w:p>
    <w:p>
      <w:pPr>
        <w:spacing w:after="0" w:line="147" w:lineRule="exact"/>
        <w:rPr>
          <w:sz w:val="20"/>
          <w:szCs w:val="20"/>
          <w:color w:val="auto"/>
        </w:rPr>
      </w:pPr>
    </w:p>
    <w:p>
      <w:pPr>
        <w:sectPr>
          <w:pgSz w:w="11900" w:h="16838" w:orient="portrait"/>
          <w:cols w:equalWidth="0" w:num="2">
            <w:col w:w="10120" w:space="720"/>
            <w:col w:w="580"/>
          </w:cols>
          <w:pgMar w:left="240" w:top="1152" w:right="239" w:bottom="1440" w:gutter="0" w:footer="0" w:header="0"/>
        </w:sectPr>
      </w:pPr>
    </w:p>
    <w:p>
      <w:pPr>
        <w:ind w:right="20" w:firstLine="458"/>
        <w:spacing w:after="0" w:line="282" w:lineRule="auto"/>
        <w:tabs>
          <w:tab w:leader="none" w:pos="735"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Cross-Default. </w:t>
      </w:r>
      <w:r>
        <w:rPr>
          <w:rFonts w:ascii="Arial" w:cs="Arial" w:eastAsia="Arial" w:hAnsi="Arial"/>
          <w:sz w:val="18"/>
          <w:szCs w:val="18"/>
          <w:color w:val="auto"/>
        </w:rPr>
        <w:t>The Company should, after any applicable grace period, breach or be in default under the terms of any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FCW.</w:t>
      </w:r>
    </w:p>
    <w:p>
      <w:pPr>
        <w:spacing w:after="0" w:line="53" w:lineRule="exact"/>
        <w:rPr>
          <w:rFonts w:ascii="Arial" w:cs="Arial" w:eastAsia="Arial" w:hAnsi="Arial"/>
          <w:sz w:val="18"/>
          <w:szCs w:val="18"/>
          <w:b w:val="1"/>
          <w:bCs w:val="1"/>
          <w:color w:val="auto"/>
        </w:rPr>
      </w:pPr>
    </w:p>
    <w:p>
      <w:pPr>
        <w:ind w:right="140" w:firstLine="458"/>
        <w:spacing w:after="0" w:line="258" w:lineRule="auto"/>
        <w:tabs>
          <w:tab w:leader="none" w:pos="725"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Other Indebtedness</w:t>
      </w:r>
      <w:r>
        <w:rPr>
          <w:rFonts w:ascii="Arial" w:cs="Arial" w:eastAsia="Arial" w:hAnsi="Arial"/>
          <w:sz w:val="18"/>
          <w:szCs w:val="18"/>
          <w:color w:val="auto"/>
        </w:rPr>
        <w:t>. The Company or any Subsidiary should fail to pay when due any indebtedness to any other person or entity for borrowed</w:t>
      </w:r>
      <w:r>
        <w:rPr>
          <w:rFonts w:ascii="Arial" w:cs="Arial" w:eastAsia="Arial" w:hAnsi="Arial"/>
          <w:sz w:val="18"/>
          <w:szCs w:val="18"/>
          <w:b w:val="1"/>
          <w:bCs w:val="1"/>
          <w:color w:val="auto"/>
        </w:rPr>
        <w:t xml:space="preserve"> </w:t>
      </w:r>
      <w:r>
        <w:rPr>
          <w:rFonts w:ascii="Arial" w:cs="Arial" w:eastAsia="Arial" w:hAnsi="Arial"/>
          <w:sz w:val="18"/>
          <w:szCs w:val="18"/>
          <w:color w:val="auto"/>
        </w:rPr>
        <w:t>money or any long-term obligation for the deferred purchase price of property (including any capitalized lease), or any other event occurs which, under any agreement or instrument relating to such indebtedness or obligation, has the effect of accelerating or permitting the acceleration of such indebtedness or obligation, whether or not such indebtedness or obligation is actually accelerated or the right to accelerate is conditioned on the giving of notice, the passage of time, or otherwise.</w:t>
      </w:r>
    </w:p>
    <w:p>
      <w:pPr>
        <w:spacing w:after="0" w:line="75" w:lineRule="exact"/>
        <w:rPr>
          <w:rFonts w:ascii="Arial" w:cs="Arial" w:eastAsia="Arial" w:hAnsi="Arial"/>
          <w:sz w:val="18"/>
          <w:szCs w:val="18"/>
          <w:b w:val="1"/>
          <w:bCs w:val="1"/>
          <w:color w:val="auto"/>
        </w:rPr>
      </w:pPr>
    </w:p>
    <w:p>
      <w:pPr>
        <w:ind w:left="760" w:hanging="302"/>
        <w:spacing w:after="0"/>
        <w:tabs>
          <w:tab w:leader="none" w:pos="760" w:val="left"/>
        </w:tabs>
        <w:numPr>
          <w:ilvl w:val="1"/>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Judgments</w:t>
      </w:r>
      <w:r>
        <w:rPr>
          <w:rFonts w:ascii="Arial" w:cs="Arial" w:eastAsia="Arial" w:hAnsi="Arial"/>
          <w:sz w:val="17"/>
          <w:szCs w:val="17"/>
          <w:color w:val="auto"/>
        </w:rPr>
        <w:t>. A judgment, decree, or order for the payment of money shall be rendered against the Company or any Subsidiary and either:</w:t>
      </w:r>
    </w:p>
    <w:p>
      <w:pPr>
        <w:spacing w:after="0" w:line="38" w:lineRule="exact"/>
        <w:rPr>
          <w:rFonts w:ascii="Arial" w:cs="Arial" w:eastAsia="Arial" w:hAnsi="Arial"/>
          <w:sz w:val="17"/>
          <w:szCs w:val="17"/>
          <w:b w:val="1"/>
          <w:bCs w:val="1"/>
          <w:color w:val="auto"/>
        </w:rPr>
      </w:pPr>
    </w:p>
    <w:p>
      <w:pPr>
        <w:ind w:right="180" w:firstLine="8"/>
        <w:spacing w:after="0" w:line="255" w:lineRule="auto"/>
        <w:tabs>
          <w:tab w:leader="none" w:pos="2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enforcement proceedings shall have been commenced; (ii) a Lien prohibited under Section 10(B) hereof shall have been obtained; or (iii) such judgment, decree, or order shall continue unsatisfied and in effect for a period of 20 consecutive days without being vacated, discharged, satisfied, or stayed pending appeal.</w:t>
      </w:r>
    </w:p>
    <w:p>
      <w:pPr>
        <w:spacing w:after="0" w:line="78" w:lineRule="exact"/>
        <w:rPr>
          <w:rFonts w:ascii="Arial" w:cs="Arial" w:eastAsia="Arial" w:hAnsi="Arial"/>
          <w:sz w:val="18"/>
          <w:szCs w:val="18"/>
          <w:color w:val="auto"/>
        </w:rPr>
      </w:pPr>
    </w:p>
    <w:p>
      <w:pPr>
        <w:ind w:right="20" w:firstLine="458"/>
        <w:spacing w:after="0" w:line="277" w:lineRule="auto"/>
        <w:tabs>
          <w:tab w:leader="none" w:pos="755" w:val="left"/>
        </w:tabs>
        <w:numPr>
          <w:ilvl w:val="1"/>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Insolvency</w:t>
      </w:r>
      <w:r>
        <w:rPr>
          <w:rFonts w:ascii="Arial" w:cs="Arial" w:eastAsia="Arial" w:hAnsi="Arial"/>
          <w:sz w:val="17"/>
          <w:szCs w:val="17"/>
          <w:color w:val="auto"/>
        </w:rPr>
        <w:t>. The Company or any Subsidiary shall: (i) become insolvent or shall generally not, or shall be unable to, or shall admit in writing its</w:t>
      </w:r>
      <w:r>
        <w:rPr>
          <w:rFonts w:ascii="Arial" w:cs="Arial" w:eastAsia="Arial" w:hAnsi="Arial"/>
          <w:sz w:val="17"/>
          <w:szCs w:val="17"/>
          <w:b w:val="1"/>
          <w:bCs w:val="1"/>
          <w:color w:val="auto"/>
        </w:rPr>
        <w:t xml:space="preserve"> </w:t>
      </w:r>
      <w:r>
        <w:rPr>
          <w:rFonts w:ascii="Arial" w:cs="Arial" w:eastAsia="Arial" w:hAnsi="Arial"/>
          <w:sz w:val="17"/>
          <w:szCs w:val="17"/>
          <w:color w:val="auto"/>
        </w:rPr>
        <w:t>inability to, pay its debts as they come due; or (ii) suspend its business operations or a material part thereof or make an assignment for the benefit of creditors; or (iii) apply for, consent to, or acquiesce in the appointment of a trustee, receiver, or other custodian for it or any of its property or, in the absence of such application, consent, or acquiescence, a trustee, receiver, or other custodian is so appointed; or (iv) commence or have commenced against it any proceeding under any bankruptcy, reorganization, arrangement, readjustment of debt, dissolution, or liquidation Law of any jurisdiction.</w:t>
      </w:r>
    </w:p>
    <w:p>
      <w:pPr>
        <w:spacing w:after="0" w:line="60" w:lineRule="exact"/>
        <w:rPr>
          <w:rFonts w:ascii="Arial" w:cs="Arial" w:eastAsia="Arial" w:hAnsi="Arial"/>
          <w:sz w:val="17"/>
          <w:szCs w:val="17"/>
          <w:b w:val="1"/>
          <w:bCs w:val="1"/>
          <w:color w:val="auto"/>
        </w:rPr>
      </w:pPr>
    </w:p>
    <w:p>
      <w:pPr>
        <w:ind w:right="160" w:firstLine="458"/>
        <w:spacing w:after="0" w:line="282" w:lineRule="auto"/>
        <w:tabs>
          <w:tab w:leader="none" w:pos="685"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Material Adverse Change</w:t>
      </w:r>
      <w:r>
        <w:rPr>
          <w:rFonts w:ascii="Arial" w:cs="Arial" w:eastAsia="Arial" w:hAnsi="Arial"/>
          <w:sz w:val="18"/>
          <w:szCs w:val="18"/>
          <w:color w:val="auto"/>
        </w:rPr>
        <w:t>. Any material adverse change occurs, as reasonably determined by FCW, in the Company’s financial condition,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of operation, or ability to perform its obligations hereunder or under any instrument or document contemplated hereby.</w:t>
      </w:r>
    </w:p>
    <w:p>
      <w:pPr>
        <w:spacing w:after="0" w:line="54" w:lineRule="exact"/>
        <w:rPr>
          <w:sz w:val="20"/>
          <w:szCs w:val="20"/>
          <w:color w:val="auto"/>
        </w:rPr>
      </w:pPr>
    </w:p>
    <w:p>
      <w:pPr>
        <w:ind w:right="60" w:firstLine="225"/>
        <w:spacing w:after="0" w:line="292" w:lineRule="auto"/>
        <w:rPr>
          <w:sz w:val="20"/>
          <w:szCs w:val="20"/>
          <w:color w:val="auto"/>
        </w:rPr>
      </w:pPr>
      <w:r>
        <w:rPr>
          <w:rFonts w:ascii="Arial" w:cs="Arial" w:eastAsia="Arial" w:hAnsi="Arial"/>
          <w:sz w:val="16"/>
          <w:szCs w:val="16"/>
          <w:b w:val="1"/>
          <w:bCs w:val="1"/>
          <w:color w:val="auto"/>
        </w:rPr>
        <w:t>SECTION 19. Remedies</w:t>
      </w:r>
      <w:r>
        <w:rPr>
          <w:rFonts w:ascii="Arial" w:cs="Arial" w:eastAsia="Arial" w:hAnsi="Arial"/>
          <w:sz w:val="16"/>
          <w:szCs w:val="16"/>
          <w:color w:val="auto"/>
        </w:rPr>
        <w:t>. Upon the occurrence and during the continuance of an Event of Default or any Potential Default, FCW shall have no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continue to extend credit to the Company and may discontinue doing so at any time without prior notice. For all purposes hereof, the term “Potential Default” means the occurrence of any event which, with the passage of time or the giving of notice or both would become an Event of Default. In addition, upon the occurrence and during the continuance of any Event of Default, FCW may, upon notice to the Company, terminate any commitment and declare the entire unpaid principal balance of the loans, all accrued interest thereon, and all other amounts payable under this Agreement, all Supplements, and the other Loan Documents to be immediately due and payable. Upon such a declaration, the unpaid principal balance of the loans and all such other amounts shall become immediately due and payable, without protest, presentment, demand, or further notice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NO. 3789055-101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Page 11</w:t>
      </w:r>
    </w:p>
    <w:p>
      <w:pPr>
        <w:spacing w:after="0" w:line="151" w:lineRule="exact"/>
        <w:rPr>
          <w:sz w:val="20"/>
          <w:szCs w:val="20"/>
          <w:color w:val="auto"/>
        </w:rPr>
      </w:pPr>
    </w:p>
    <w:p>
      <w:pPr>
        <w:sectPr>
          <w:pgSz w:w="11900" w:h="16838" w:orient="portrait"/>
          <w:cols w:equalWidth="0" w:num="2">
            <w:col w:w="10120" w:space="720"/>
            <w:col w:w="580"/>
          </w:cols>
          <w:pgMar w:left="240" w:top="1152" w:right="239" w:bottom="1440" w:gutter="0" w:footer="0" w:header="0"/>
        </w:sectPr>
      </w:pPr>
    </w:p>
    <w:p>
      <w:pPr>
        <w:spacing w:after="0"/>
        <w:rPr>
          <w:sz w:val="20"/>
          <w:szCs w:val="20"/>
          <w:color w:val="auto"/>
        </w:rPr>
      </w:pPr>
      <w:r>
        <w:rPr>
          <w:rFonts w:ascii="Arial" w:cs="Arial" w:eastAsia="Arial" w:hAnsi="Arial"/>
          <w:sz w:val="16"/>
          <w:szCs w:val="16"/>
          <w:color w:val="auto"/>
        </w:rPr>
        <w:t>kind, all of which are hereby expressly waived by the Company. In addition, upon such an acceleration:</w:t>
      </w:r>
    </w:p>
    <w:p>
      <w:pPr>
        <w:sectPr>
          <w:pgSz w:w="11900" w:h="16838" w:orient="portrait"/>
          <w:cols w:equalWidth="0" w:num="1">
            <w:col w:w="11420"/>
          </w:cols>
          <w:pgMar w:left="240" w:top="1152" w:right="239" w:bottom="1440" w:gutter="0" w:footer="0" w:header="0"/>
          <w:type w:val="continuous"/>
        </w:sectPr>
      </w:pPr>
    </w:p>
    <w:p>
      <w:pPr>
        <w:spacing w:after="0" w:line="136" w:lineRule="exact"/>
        <w:rPr>
          <w:sz w:val="20"/>
          <w:szCs w:val="20"/>
          <w:color w:val="auto"/>
        </w:rPr>
      </w:pPr>
    </w:p>
    <w:p>
      <w:pPr>
        <w:ind w:firstLine="458"/>
        <w:spacing w:after="0" w:line="256" w:lineRule="auto"/>
        <w:tabs>
          <w:tab w:leader="none" w:pos="74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Enforcement. </w:t>
      </w:r>
      <w:r>
        <w:rPr>
          <w:rFonts w:ascii="Arial" w:cs="Arial" w:eastAsia="Arial" w:hAnsi="Arial"/>
          <w:sz w:val="18"/>
          <w:szCs w:val="18"/>
          <w:color w:val="auto"/>
        </w:rPr>
        <w:t>FCW may proceed to protect, exercise, and enforce such rights and remedies as may be provided by this Agreement, any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or under Law. Each and every one of such rights and remedies shall be cumulative and may be exercised from time to time, and no failure on the part of FCW to exercise, and no delay in exercising, any right or remedy shall operate as a waiver thereof, and no single or partial exercise of any right or remedy shall preclude any other or future exercise thereof, or the exercise of any other right. Without limiting the foregoing, FCW may hold and/or set off and apply against the Company’s obligations to FCW any cash collateral held by FCW, or any balances held by FCW for the Company’s account (whether or not such balances are then due).</w:t>
      </w:r>
    </w:p>
    <w:p>
      <w:pPr>
        <w:spacing w:after="0" w:line="79" w:lineRule="exact"/>
        <w:rPr>
          <w:rFonts w:ascii="Arial" w:cs="Arial" w:eastAsia="Arial" w:hAnsi="Arial"/>
          <w:sz w:val="18"/>
          <w:szCs w:val="18"/>
          <w:b w:val="1"/>
          <w:bCs w:val="1"/>
          <w:color w:val="auto"/>
        </w:rPr>
      </w:pPr>
    </w:p>
    <w:p>
      <w:pPr>
        <w:ind w:right="320" w:firstLine="458"/>
        <w:spacing w:after="0" w:line="282" w:lineRule="auto"/>
        <w:tabs>
          <w:tab w:leader="none" w:pos="72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Funds</w:t>
      </w:r>
      <w:r>
        <w:rPr>
          <w:rFonts w:ascii="Arial" w:cs="Arial" w:eastAsia="Arial" w:hAnsi="Arial"/>
          <w:sz w:val="18"/>
          <w:szCs w:val="18"/>
          <w:color w:val="auto"/>
        </w:rPr>
        <w:t>. CoBank may apply all payments received by it to the Company’s obligations to FCW in such order and manner as FCW</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in its sole discretion.</w:t>
      </w:r>
    </w:p>
    <w:p>
      <w:pPr>
        <w:spacing w:after="0" w:line="58" w:lineRule="exact"/>
        <w:rPr>
          <w:sz w:val="20"/>
          <w:szCs w:val="20"/>
          <w:color w:val="auto"/>
        </w:rPr>
      </w:pPr>
    </w:p>
    <w:p>
      <w:pPr>
        <w:ind w:right="40" w:firstLine="450"/>
        <w:spacing w:after="0" w:line="297" w:lineRule="auto"/>
        <w:rPr>
          <w:sz w:val="20"/>
          <w:szCs w:val="20"/>
          <w:color w:val="auto"/>
        </w:rPr>
      </w:pPr>
      <w:r>
        <w:rPr>
          <w:rFonts w:ascii="Arial" w:cs="Arial" w:eastAsia="Arial" w:hAnsi="Arial"/>
          <w:sz w:val="16"/>
          <w:szCs w:val="16"/>
          <w:color w:val="auto"/>
        </w:rPr>
        <w:t>In addition to the rights and remedies set forth above: (i) if the Company fails to make “any payment when due, then at FCW’s option in each instance, such payment shall bear interest from the date due to the date paid at 2% per annum in excess of the rate(s) of interest that would otherwise be in effect on that loan; and (ii) after the maturity of any loan (whether as a result of acceleration or otherwise), the unpaid principal balance of such loan (including without limitation, principal, interest, fees and expenses) shall automatically bear interest at 2% per annum in excess of the rate(s) of interest that would otherwise be in effect on that loan. All interest provided for herein shall be payable on demand and shall be calculated on the basis of a year consisting of 365 days.</w:t>
      </w:r>
    </w:p>
    <w:p>
      <w:pPr>
        <w:spacing w:after="0" w:line="46"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b w:val="1"/>
          <w:bCs w:val="1"/>
          <w:color w:val="auto"/>
        </w:rPr>
        <w:t xml:space="preserve">SECTION 20. Broken Funding Surcharge. </w:t>
      </w:r>
      <w:r>
        <w:rPr>
          <w:rFonts w:ascii="Arial" w:cs="Arial" w:eastAsia="Arial" w:hAnsi="Arial"/>
          <w:sz w:val="16"/>
          <w:szCs w:val="16"/>
          <w:color w:val="auto"/>
        </w:rPr>
        <w:t>Notwithstanding any provision contained in the Note giving the Company the right to repay any loan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it would otherwise be due and payable, the Company agrees to provide three Business Days’ prior written notice for any prepayment of a fixed rate balance and that in the event it repays any fixed rate balance prior to its scheduled due date or prior to the last day of the fixed rate period applicable thereto (whether such payment is made voluntarily, as a result of an acceleration, or otherwise), the Company will pay to CoBank a surcharge in an amount equal to the greater of: (i) an amount which would result in FCW being made whole (on a present value basis) for the actual or imputed funding losses incurred by FCW as a result thereof; or (ii) $300.00. Notwithstanding the foregoing, in the event any fixed rate balance is repaid as a result of the Company refinancing the loan with another lender or by other means, then in lieu of the foregoing, the Company shall pay to CoBank a surcharge in an amount sufficient (on a present value basis) to enable FCW to maintain the yield it would have earned during the fixed rate period on the amount repaid. Such surcharges will be calculated in accordance with methodology established by FCW (a copy of which will be made available to the Company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NO. 3789055-101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Page 12</w:t>
      </w:r>
    </w:p>
    <w:p>
      <w:pPr>
        <w:spacing w:after="0" w:line="147" w:lineRule="exact"/>
        <w:rPr>
          <w:sz w:val="20"/>
          <w:szCs w:val="20"/>
          <w:color w:val="auto"/>
        </w:rPr>
      </w:pPr>
    </w:p>
    <w:p>
      <w:pPr>
        <w:sectPr>
          <w:pgSz w:w="11900" w:h="16838" w:orient="portrait"/>
          <w:cols w:equalWidth="0" w:num="2">
            <w:col w:w="10120" w:space="720"/>
            <w:col w:w="580"/>
          </w:cols>
          <w:pgMar w:left="240" w:top="1152" w:right="239" w:bottom="1440" w:gutter="0" w:footer="0" w:header="0"/>
        </w:sectPr>
      </w:pPr>
    </w:p>
    <w:p>
      <w:pPr>
        <w:ind w:right="100" w:firstLine="225"/>
        <w:spacing w:after="0" w:line="295" w:lineRule="auto"/>
        <w:rPr>
          <w:sz w:val="20"/>
          <w:szCs w:val="20"/>
          <w:color w:val="auto"/>
        </w:rPr>
      </w:pPr>
      <w:r>
        <w:rPr>
          <w:rFonts w:ascii="Arial" w:cs="Arial" w:eastAsia="Arial" w:hAnsi="Arial"/>
          <w:sz w:val="16"/>
          <w:szCs w:val="16"/>
          <w:b w:val="1"/>
          <w:bCs w:val="1"/>
          <w:color w:val="auto"/>
        </w:rPr>
        <w:t>SECTION 21. Complete Agreement, Amendments</w:t>
      </w:r>
      <w:r>
        <w:rPr>
          <w:rFonts w:ascii="Arial" w:cs="Arial" w:eastAsia="Arial" w:hAnsi="Arial"/>
          <w:sz w:val="16"/>
          <w:szCs w:val="16"/>
          <w:color w:val="auto"/>
        </w:rPr>
        <w:t>. This Agreement, the Note, and all other instruments and documents contemplated hereby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are intended by the parties to be a complete and final expression of their agreement. No amendment, modification, or waiver of any provision hereof or thereof, and no consent to any departure by the Company herefrom or therefrom, shall be effective unless approved by FCW and contained in a writing signed by or on behalf of FCW, and then such waiver or consent shall be effective only in the specific instance and for the specific purpose for which given. Additionally, any headings used in this Agreement are inserted only as a matter of convenience and for reference, and in no way define, limit or describe the scope or intent of any term or provision. As used herein, the word “including” means “including without limitation” and/or “including but not limited to”.</w:t>
      </w:r>
    </w:p>
    <w:p>
      <w:pPr>
        <w:spacing w:after="0" w:line="48" w:lineRule="exact"/>
        <w:rPr>
          <w:sz w:val="20"/>
          <w:szCs w:val="20"/>
          <w:color w:val="auto"/>
        </w:rPr>
      </w:pPr>
    </w:p>
    <w:p>
      <w:pPr>
        <w:ind w:right="20" w:firstLine="225"/>
        <w:spacing w:after="0" w:line="282" w:lineRule="auto"/>
        <w:rPr>
          <w:sz w:val="20"/>
          <w:szCs w:val="20"/>
          <w:color w:val="auto"/>
        </w:rPr>
      </w:pPr>
      <w:r>
        <w:rPr>
          <w:rFonts w:ascii="Arial" w:cs="Arial" w:eastAsia="Arial" w:hAnsi="Arial"/>
          <w:sz w:val="18"/>
          <w:szCs w:val="18"/>
          <w:b w:val="1"/>
          <w:bCs w:val="1"/>
          <w:color w:val="auto"/>
        </w:rPr>
        <w:t>SECTION 22. Applicable Law</w:t>
      </w:r>
      <w:r>
        <w:rPr>
          <w:rFonts w:ascii="Arial" w:cs="Arial" w:eastAsia="Arial" w:hAnsi="Arial"/>
          <w:sz w:val="18"/>
          <w:szCs w:val="18"/>
          <w:color w:val="auto"/>
        </w:rPr>
        <w:t>. Except to the extent governed by applicable federal law, this Agreement and the Note shall be governed by and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the State of California, without reference to choice of law doctrine.</w:t>
      </w:r>
    </w:p>
    <w:p>
      <w:pPr>
        <w:spacing w:after="0" w:line="54" w:lineRule="exact"/>
        <w:rPr>
          <w:sz w:val="20"/>
          <w:szCs w:val="20"/>
          <w:color w:val="auto"/>
        </w:rPr>
      </w:pPr>
    </w:p>
    <w:p>
      <w:pPr>
        <w:jc w:val="both"/>
        <w:ind w:right="340" w:firstLine="225"/>
        <w:spacing w:after="0" w:line="266" w:lineRule="auto"/>
        <w:rPr>
          <w:sz w:val="20"/>
          <w:szCs w:val="20"/>
          <w:color w:val="auto"/>
        </w:rPr>
      </w:pPr>
      <w:r>
        <w:rPr>
          <w:rFonts w:ascii="Arial" w:cs="Arial" w:eastAsia="Arial" w:hAnsi="Arial"/>
          <w:sz w:val="18"/>
          <w:szCs w:val="18"/>
          <w:b w:val="1"/>
          <w:bCs w:val="1"/>
          <w:color w:val="auto"/>
        </w:rPr>
        <w:t>SECTION 23. Notices</w:t>
      </w:r>
      <w:r>
        <w:rPr>
          <w:rFonts w:ascii="Arial" w:cs="Arial" w:eastAsia="Arial" w:hAnsi="Arial"/>
          <w:sz w:val="18"/>
          <w:szCs w:val="18"/>
          <w:color w:val="auto"/>
        </w:rPr>
        <w:t>. All notices hereunder shall be in writing and shall be deemed to be duly given upon delivery if personally delivered or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telegram or facsimile transmission, or 3 days after mailing if sent by express, certified or registered mail, to the parties at the following addresses (or such other address for a party as shall be specified by like notice):</w:t>
      </w:r>
    </w:p>
    <w:p>
      <w:pPr>
        <w:sectPr>
          <w:pgSz w:w="11900" w:h="16838" w:orient="portrait"/>
          <w:cols w:equalWidth="0" w:num="1">
            <w:col w:w="11420"/>
          </w:cols>
          <w:pgMar w:left="240" w:top="1152" w:right="23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If to FCW, as follows: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 as follows:</w:t>
      </w:r>
    </w:p>
    <w:p>
      <w:pPr>
        <w:spacing w:after="0" w:line="200" w:lineRule="exact"/>
        <w:rPr>
          <w:sz w:val="20"/>
          <w:szCs w:val="20"/>
          <w:color w:val="auto"/>
        </w:rPr>
      </w:pPr>
    </w:p>
    <w:p>
      <w:pPr>
        <w:sectPr>
          <w:pgSz w:w="11900" w:h="16838" w:orient="portrait"/>
          <w:cols w:equalWidth="0" w:num="2">
            <w:col w:w="5100" w:space="720"/>
            <w:col w:w="5600"/>
          </w:cols>
          <w:pgMar w:left="240" w:top="1152"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Farm Credit West, PCA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2929 W. Main Street, Suite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Visalia, CA 93291-5700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James Neeley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No.: 559-627-4728</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Attn: Vice President-Finance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Paula, CA 93060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(805)921-3232</w:t>
      </w:r>
    </w:p>
    <w:p>
      <w:pPr>
        <w:spacing w:after="0" w:line="315" w:lineRule="exact"/>
        <w:rPr>
          <w:sz w:val="20"/>
          <w:szCs w:val="20"/>
          <w:color w:val="auto"/>
        </w:rPr>
      </w:pPr>
    </w:p>
    <w:p>
      <w:pPr>
        <w:sectPr>
          <w:pgSz w:w="11900" w:h="16838" w:orient="portrait"/>
          <w:cols w:equalWidth="0" w:num="2">
            <w:col w:w="5100" w:space="720"/>
            <w:col w:w="5600"/>
          </w:cols>
          <w:pgMar w:left="240" w:top="1152" w:right="239" w:bottom="1440" w:gutter="0" w:footer="0" w:header="0"/>
          <w:type w:val="continuous"/>
        </w:sectPr>
      </w:pPr>
    </w:p>
    <w:p>
      <w:pPr>
        <w:ind w:right="80" w:firstLine="225"/>
        <w:spacing w:after="0" w:line="258" w:lineRule="auto"/>
        <w:rPr>
          <w:sz w:val="20"/>
          <w:szCs w:val="20"/>
          <w:color w:val="auto"/>
        </w:rPr>
      </w:pPr>
      <w:r>
        <w:rPr>
          <w:rFonts w:ascii="Arial" w:cs="Arial" w:eastAsia="Arial" w:hAnsi="Arial"/>
          <w:sz w:val="18"/>
          <w:szCs w:val="18"/>
          <w:b w:val="1"/>
          <w:bCs w:val="1"/>
          <w:color w:val="auto"/>
        </w:rPr>
        <w:t>SECTION 24. Taxes and Expenses</w:t>
      </w:r>
      <w:r>
        <w:rPr>
          <w:rFonts w:ascii="Arial" w:cs="Arial" w:eastAsia="Arial" w:hAnsi="Arial"/>
          <w:sz w:val="18"/>
          <w:szCs w:val="18"/>
          <w:color w:val="auto"/>
        </w:rPr>
        <w:t>. To the extent allowed by law, the Company agrees to pay all reasonable out-of-pocket costs and expenses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fees and expenses of counsel retained by FCW) incurred by FCW in connection with the administration, collection, and enforcement of this Agreement and the other Loan Documents, including, without limitation, all costs and expenses incurred in perfecting, maintaining, determining the priority of, and releasing any security for the Company’s obligations to FCW, and any stamp, intangible, transfer, or like tax payable in connection with this Agreement or any other Loan Document.</w:t>
      </w:r>
    </w:p>
    <w:p>
      <w:pPr>
        <w:spacing w:after="0" w:line="76" w:lineRule="exact"/>
        <w:rPr>
          <w:sz w:val="20"/>
          <w:szCs w:val="20"/>
          <w:color w:val="auto"/>
        </w:rPr>
      </w:pPr>
    </w:p>
    <w:p>
      <w:pPr>
        <w:ind w:right="180" w:firstLine="225"/>
        <w:spacing w:after="0" w:line="261" w:lineRule="auto"/>
        <w:rPr>
          <w:sz w:val="20"/>
          <w:szCs w:val="20"/>
          <w:color w:val="auto"/>
        </w:rPr>
      </w:pPr>
      <w:r>
        <w:rPr>
          <w:rFonts w:ascii="Arial" w:cs="Arial" w:eastAsia="Arial" w:hAnsi="Arial"/>
          <w:sz w:val="18"/>
          <w:szCs w:val="18"/>
          <w:b w:val="1"/>
          <w:bCs w:val="1"/>
          <w:color w:val="auto"/>
        </w:rPr>
        <w:t>SECTION 25. Effectiveness and Severability</w:t>
      </w:r>
      <w:r>
        <w:rPr>
          <w:rFonts w:ascii="Arial" w:cs="Arial" w:eastAsia="Arial" w:hAnsi="Arial"/>
          <w:sz w:val="18"/>
          <w:szCs w:val="18"/>
          <w:color w:val="auto"/>
        </w:rPr>
        <w:t>. This Agreement shall continue in effect until: (i) all indebtedness and obligations of the Company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 Note, and all other Loan Documents shall have been paid or satisfied; and (ii) FCW has no commitment to extend credit to or for the account of the Company hereunder. Any provision of this Agreement or any other Loan Document which is prohibited or unenforceable in any jurisdiction shall,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NO. 3789055-101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Page 13</w:t>
      </w:r>
    </w:p>
    <w:p>
      <w:pPr>
        <w:spacing w:after="0" w:line="151" w:lineRule="exact"/>
        <w:rPr>
          <w:sz w:val="20"/>
          <w:szCs w:val="20"/>
          <w:color w:val="auto"/>
        </w:rPr>
      </w:pPr>
    </w:p>
    <w:p>
      <w:pPr>
        <w:sectPr>
          <w:pgSz w:w="11900" w:h="16838" w:orient="portrait"/>
          <w:cols w:equalWidth="0" w:num="2">
            <w:col w:w="10120" w:space="720"/>
            <w:col w:w="580"/>
          </w:cols>
          <w:pgMar w:left="240" w:top="1152" w:right="239" w:bottom="1440" w:gutter="0" w:footer="0" w:header="0"/>
        </w:sectPr>
      </w:pPr>
    </w:p>
    <w:p>
      <w:pPr>
        <w:spacing w:after="0"/>
        <w:rPr>
          <w:sz w:val="20"/>
          <w:szCs w:val="20"/>
          <w:color w:val="auto"/>
        </w:rPr>
      </w:pPr>
      <w:r>
        <w:rPr>
          <w:rFonts w:ascii="Arial" w:cs="Arial" w:eastAsia="Arial" w:hAnsi="Arial"/>
          <w:sz w:val="16"/>
          <w:szCs w:val="16"/>
          <w:color w:val="auto"/>
        </w:rPr>
        <w:t>such jurisdiction, be ineffective to the extent of such prohibition or unenforceability without invalidating the remaining provisions hereof or thereof.</w:t>
      </w:r>
    </w:p>
    <w:p>
      <w:pPr>
        <w:sectPr>
          <w:pgSz w:w="11900" w:h="16838" w:orient="portrait"/>
          <w:cols w:equalWidth="0" w:num="1">
            <w:col w:w="11420"/>
          </w:cols>
          <w:pgMar w:left="240" w:top="1152" w:right="239" w:bottom="1440" w:gutter="0" w:footer="0" w:header="0"/>
          <w:type w:val="continuous"/>
        </w:sectPr>
      </w:pPr>
    </w:p>
    <w:p>
      <w:pPr>
        <w:spacing w:after="0" w:line="136" w:lineRule="exact"/>
        <w:rPr>
          <w:sz w:val="20"/>
          <w:szCs w:val="20"/>
          <w:color w:val="auto"/>
        </w:rPr>
      </w:pPr>
    </w:p>
    <w:p>
      <w:pPr>
        <w:ind w:right="240" w:firstLine="225"/>
        <w:spacing w:after="0" w:line="266" w:lineRule="auto"/>
        <w:rPr>
          <w:sz w:val="20"/>
          <w:szCs w:val="20"/>
          <w:color w:val="auto"/>
        </w:rPr>
      </w:pPr>
      <w:r>
        <w:rPr>
          <w:rFonts w:ascii="Arial" w:cs="Arial" w:eastAsia="Arial" w:hAnsi="Arial"/>
          <w:sz w:val="18"/>
          <w:szCs w:val="18"/>
          <w:b w:val="1"/>
          <w:bCs w:val="1"/>
          <w:color w:val="auto"/>
        </w:rPr>
        <w:t>SECTION 26. Successors and Assigns</w:t>
      </w:r>
      <w:r>
        <w:rPr>
          <w:rFonts w:ascii="Arial" w:cs="Arial" w:eastAsia="Arial" w:hAnsi="Arial"/>
          <w:sz w:val="18"/>
          <w:szCs w:val="18"/>
          <w:color w:val="auto"/>
        </w:rPr>
        <w:t>. This Agreement, the Note, and the other Loan Documents shall be binding upon and inure to the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FCW and their respective successors and assigns, except that the Company may not assign or transfer its rights or obligations under this Agreement, the Note or any other Loan Document without the prior written consent of FCW,</w:t>
      </w:r>
    </w:p>
    <w:p>
      <w:pPr>
        <w:spacing w:after="0" w:line="68"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b w:val="1"/>
          <w:bCs w:val="1"/>
          <w:color w:val="auto"/>
        </w:rPr>
        <w:t>SECTION 27. Participations</w:t>
      </w:r>
      <w:r>
        <w:rPr>
          <w:rFonts w:ascii="Arial" w:cs="Arial" w:eastAsia="Arial" w:hAnsi="Arial"/>
          <w:sz w:val="18"/>
          <w:szCs w:val="18"/>
          <w:color w:val="auto"/>
        </w:rPr>
        <w:t>. From time to time, FCW may sell to one or more banks, financial institutions or other lenders a participation in all or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Commitment or other extensions of credit made pursuant to this Agreement. However, no such participation shall relieve FCW of any commitment made to the Company hereunder, or any obligation FCW may have to pay patronage due the Company from FCW under the provisions of the bylaws of FCW and its practices and procedures related to patronage distribution. In connection with the foregoing, FCW may disclose information concerning the Company and its Subsidiaries to any participant or prospective participant, provided that such participant or prospective participant agrees to keep such information confidential. Accordingly, all interests in the Commitment that is included in a sale of participation interests shall not be entitled to patronage distributions. A sale of participation interest may include certain voting rights of the participants regarding the Commitment hereunder (including without limitation the administration, servicing and enforcement thereof). FCW agrees to give written notification to the Company of any sale of participation interests.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caused this Agreement to be executed by their duly authorized officers as of the date shown above.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FARM CREDIT WEST, PCA</w:t>
            </w:r>
          </w:p>
        </w:tc>
        <w:tc>
          <w:tcPr>
            <w:tcW w:w="6380" w:type="dxa"/>
            <w:vAlign w:val="bottom"/>
            <w:gridSpan w:val="3"/>
          </w:tcPr>
          <w:p>
            <w:pPr>
              <w:ind w:left="2480"/>
              <w:spacing w:after="0"/>
              <w:rPr>
                <w:sz w:val="20"/>
                <w:szCs w:val="20"/>
                <w:color w:val="auto"/>
              </w:rPr>
            </w:pPr>
            <w:r>
              <w:rPr>
                <w:rFonts w:ascii="Arial" w:cs="Arial" w:eastAsia="Arial" w:hAnsi="Arial"/>
                <w:sz w:val="18"/>
                <w:szCs w:val="18"/>
                <w:b w:val="1"/>
                <w:bCs w:val="1"/>
                <w:color w:val="auto"/>
              </w:rPr>
              <w:t>CAIAVO GROWERS, INC., a California</w:t>
            </w:r>
          </w:p>
        </w:tc>
      </w:tr>
      <w:tr>
        <w:trPr>
          <w:trHeight w:val="432"/>
        </w:trPr>
        <w:tc>
          <w:tcPr>
            <w:tcW w:w="3900" w:type="dxa"/>
            <w:vAlign w:val="bottom"/>
            <w:gridSpan w:val="2"/>
          </w:tcPr>
          <w:p>
            <w:pPr>
              <w:spacing w:after="0"/>
              <w:rPr>
                <w:sz w:val="20"/>
                <w:szCs w:val="20"/>
                <w:color w:val="auto"/>
              </w:rPr>
            </w:pPr>
            <w:r>
              <w:rPr>
                <w:rFonts w:ascii="Arial" w:cs="Arial" w:eastAsia="Arial" w:hAnsi="Arial"/>
                <w:sz w:val="18"/>
                <w:szCs w:val="18"/>
                <w:color w:val="auto"/>
              </w:rPr>
              <w:t>By:   /s/ James Neeley</w:t>
            </w:r>
          </w:p>
        </w:tc>
        <w:tc>
          <w:tcPr>
            <w:tcW w:w="2980" w:type="dxa"/>
            <w:vAlign w:val="bottom"/>
          </w:tcPr>
          <w:p>
            <w:pPr>
              <w:ind w:left="2480"/>
              <w:spacing w:after="0"/>
              <w:rPr>
                <w:sz w:val="20"/>
                <w:szCs w:val="20"/>
                <w:color w:val="auto"/>
              </w:rPr>
            </w:pPr>
            <w:r>
              <w:rPr>
                <w:rFonts w:ascii="Arial" w:cs="Arial" w:eastAsia="Arial" w:hAnsi="Arial"/>
                <w:sz w:val="18"/>
                <w:szCs w:val="18"/>
                <w:color w:val="auto"/>
              </w:rPr>
              <w:t>By:</w:t>
            </w:r>
          </w:p>
        </w:tc>
        <w:tc>
          <w:tcPr>
            <w:tcW w:w="3400" w:type="dxa"/>
            <w:vAlign w:val="bottom"/>
            <w:gridSpan w:val="2"/>
          </w:tcPr>
          <w:p>
            <w:pPr>
              <w:spacing w:after="0"/>
              <w:rPr>
                <w:sz w:val="20"/>
                <w:szCs w:val="20"/>
                <w:color w:val="auto"/>
              </w:rPr>
            </w:pPr>
            <w:r>
              <w:rPr>
                <w:rFonts w:ascii="Arial" w:cs="Arial" w:eastAsia="Arial" w:hAnsi="Arial"/>
                <w:sz w:val="18"/>
                <w:szCs w:val="18"/>
                <w:color w:val="auto"/>
              </w:rPr>
              <w:t>/s/ Arthur J. Bruno</w:t>
            </w:r>
          </w:p>
        </w:tc>
      </w:tr>
      <w:tr>
        <w:trPr>
          <w:trHeight w:val="209"/>
        </w:trPr>
        <w:tc>
          <w:tcPr>
            <w:tcW w:w="500" w:type="dxa"/>
            <w:vAlign w:val="bottom"/>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Arthur J. Bruno,</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Title: Senior Vice President</w:t>
            </w:r>
          </w:p>
        </w:tc>
        <w:tc>
          <w:tcPr>
            <w:tcW w:w="2980" w:type="dxa"/>
            <w:vAlign w:val="bottom"/>
          </w:tcPr>
          <w:p>
            <w:pPr>
              <w:ind w:left="2480"/>
              <w:spacing w:after="0"/>
              <w:rPr>
                <w:sz w:val="20"/>
                <w:szCs w:val="20"/>
                <w:color w:val="auto"/>
              </w:rPr>
            </w:pPr>
            <w:r>
              <w:rPr>
                <w:rFonts w:ascii="Arial" w:cs="Arial" w:eastAsia="Arial" w:hAnsi="Arial"/>
                <w:sz w:val="18"/>
                <w:szCs w:val="18"/>
                <w:color w:val="auto"/>
              </w:rPr>
              <w:t>Title:</w:t>
            </w:r>
          </w:p>
        </w:tc>
        <w:tc>
          <w:tcPr>
            <w:tcW w:w="3400" w:type="dxa"/>
            <w:vAlign w:val="bottom"/>
            <w:gridSpan w:val="2"/>
          </w:tcPr>
          <w:p>
            <w:pPr>
              <w:spacing w:after="0"/>
              <w:rPr>
                <w:sz w:val="20"/>
                <w:szCs w:val="20"/>
                <w:color w:val="auto"/>
              </w:rPr>
            </w:pPr>
            <w:r>
              <w:rPr>
                <w:rFonts w:ascii="Arial" w:cs="Arial" w:eastAsia="Arial" w:hAnsi="Arial"/>
                <w:sz w:val="18"/>
                <w:szCs w:val="18"/>
                <w:color w:val="auto"/>
              </w:rPr>
              <w:t>Chief Operating Officer, Chief</w:t>
            </w:r>
          </w:p>
        </w:tc>
      </w:tr>
      <w:tr>
        <w:trPr>
          <w:trHeight w:val="230"/>
        </w:trPr>
        <w:tc>
          <w:tcPr>
            <w:tcW w:w="5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Financial Officer &amp; Corporate Secretary</w:t>
            </w:r>
          </w:p>
        </w:tc>
      </w:tr>
      <w:tr>
        <w:trPr>
          <w:trHeight w:val="432"/>
        </w:trPr>
        <w:tc>
          <w:tcPr>
            <w:tcW w:w="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980" w:type="dxa"/>
            <w:vAlign w:val="bottom"/>
          </w:tcPr>
          <w:p>
            <w:pPr>
              <w:ind w:left="248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H. Runge</w:t>
            </w:r>
          </w:p>
        </w:tc>
      </w:tr>
      <w:tr>
        <w:trPr>
          <w:trHeight w:val="209"/>
        </w:trPr>
        <w:tc>
          <w:tcPr>
            <w:tcW w:w="5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Scott H. Runge,</w:t>
            </w:r>
          </w:p>
        </w:tc>
      </w:tr>
      <w:tr>
        <w:trPr>
          <w:trHeight w:val="230"/>
        </w:trPr>
        <w:tc>
          <w:tcPr>
            <w:tcW w:w="5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980" w:type="dxa"/>
            <w:vAlign w:val="bottom"/>
          </w:tcPr>
          <w:p>
            <w:pPr>
              <w:ind w:left="2480"/>
              <w:spacing w:after="0"/>
              <w:rPr>
                <w:sz w:val="20"/>
                <w:szCs w:val="20"/>
                <w:color w:val="auto"/>
              </w:rPr>
            </w:pPr>
            <w:r>
              <w:rPr>
                <w:rFonts w:ascii="Arial" w:cs="Arial" w:eastAsia="Arial" w:hAnsi="Arial"/>
                <w:sz w:val="18"/>
                <w:szCs w:val="18"/>
                <w:color w:val="auto"/>
              </w:rPr>
              <w:t>Title:</w:t>
            </w:r>
          </w:p>
        </w:tc>
        <w:tc>
          <w:tcPr>
            <w:tcW w:w="3400" w:type="dxa"/>
            <w:vAlign w:val="bottom"/>
            <w:gridSpan w:val="2"/>
          </w:tcPr>
          <w:p>
            <w:pPr>
              <w:spacing w:after="0"/>
              <w:rPr>
                <w:sz w:val="20"/>
                <w:szCs w:val="20"/>
                <w:color w:val="auto"/>
              </w:rPr>
            </w:pPr>
            <w:r>
              <w:rPr>
                <w:rFonts w:ascii="Arial" w:cs="Arial" w:eastAsia="Arial" w:hAnsi="Arial"/>
                <w:sz w:val="18"/>
                <w:szCs w:val="18"/>
                <w:color w:val="auto"/>
              </w:rPr>
              <w:t>Treasurer</w:t>
            </w:r>
          </w:p>
        </w:tc>
      </w:tr>
    </w:tbl>
    <w:p>
      <w:pPr>
        <w:sectPr>
          <w:pgSz w:w="11900" w:h="16838" w:orient="portrait"/>
          <w:cols w:equalWidth="0" w:num="1">
            <w:col w:w="11420"/>
          </w:cols>
          <w:pgMar w:left="240" w:top="1152" w:right="2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7241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Lecil E. Cole, certify that:</w:t>
      </w:r>
    </w:p>
    <w:p>
      <w:pPr>
        <w:spacing w:after="0" w:line="11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Calavo Growers,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28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360" w:hanging="446"/>
        <w:spacing w:after="0" w:line="26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900" w:right="200" w:hanging="446"/>
        <w:spacing w:after="0" w:line="308" w:lineRule="auto"/>
        <w:tabs>
          <w:tab w:leader="none" w:pos="9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160" w:hanging="446"/>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980" w:val="left"/>
        </w:tabs>
        <w:rPr>
          <w:sz w:val="20"/>
          <w:szCs w:val="20"/>
          <w:color w:val="auto"/>
        </w:rPr>
      </w:pPr>
      <w:r>
        <w:rPr>
          <w:rFonts w:ascii="Arial" w:cs="Arial" w:eastAsia="Arial" w:hAnsi="Arial"/>
          <w:sz w:val="18"/>
          <w:szCs w:val="18"/>
          <w:color w:val="auto"/>
        </w:rPr>
        <w:t>Date: June 7, 2007</w:t>
      </w:r>
      <w:r>
        <w:rPr>
          <w:sz w:val="20"/>
          <w:szCs w:val="20"/>
          <w:color w:val="auto"/>
        </w:rPr>
        <w:tab/>
      </w:r>
      <w:r>
        <w:rPr>
          <w:rFonts w:ascii="Arial" w:cs="Arial" w:eastAsia="Arial" w:hAnsi="Arial"/>
          <w:sz w:val="16"/>
          <w:szCs w:val="16"/>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14605</wp:posOffset>
            </wp:positionV>
            <wp:extent cx="21697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Lecil E. Cole</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7241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Arthur J. Bruno, certify that:</w:t>
      </w:r>
    </w:p>
    <w:p>
      <w:pPr>
        <w:spacing w:after="0" w:line="11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Calavo Growers,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280" w:hanging="452"/>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360" w:hanging="446"/>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900" w:right="200" w:hanging="446"/>
        <w:spacing w:after="0" w:line="308" w:lineRule="auto"/>
        <w:tabs>
          <w:tab w:leader="none" w:pos="9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16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980" w:val="left"/>
        </w:tabs>
        <w:rPr>
          <w:sz w:val="20"/>
          <w:szCs w:val="20"/>
          <w:color w:val="auto"/>
        </w:rPr>
      </w:pPr>
      <w:r>
        <w:rPr>
          <w:rFonts w:ascii="Arial" w:cs="Arial" w:eastAsia="Arial" w:hAnsi="Arial"/>
          <w:sz w:val="18"/>
          <w:szCs w:val="18"/>
          <w:color w:val="auto"/>
        </w:rPr>
        <w:t>Date: June 7, 2007</w:t>
      </w:r>
      <w:r>
        <w:rPr>
          <w:sz w:val="20"/>
          <w:szCs w:val="20"/>
          <w:color w:val="auto"/>
        </w:rPr>
        <w:tab/>
      </w:r>
      <w:r>
        <w:rPr>
          <w:rFonts w:ascii="Arial" w:cs="Arial" w:eastAsia="Arial" w:hAnsi="Arial"/>
          <w:sz w:val="16"/>
          <w:szCs w:val="16"/>
          <w:color w:val="auto"/>
        </w:rPr>
        <w:t>/s/ Arthur J.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14605</wp:posOffset>
            </wp:positionV>
            <wp:extent cx="21697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Arthur J. Bruno</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Operating Officer, Chief Financial Officer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Corporate Secretary (Principal Financial Officer)</w:t>
      </w:r>
    </w:p>
    <w:p>
      <w:pPr>
        <w:sectPr>
          <w:pgSz w:w="11900" w:h="16838" w:orient="portrait"/>
          <w:cols w:equalWidth="0" w:num="1">
            <w:col w:w="11420"/>
          </w:cols>
          <w:pgMar w:left="240" w:top="93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STATEMENT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CHIEF FINANCIAL OFFICER</w:t>
      </w:r>
    </w:p>
    <w:p>
      <w:pPr>
        <w:spacing w:after="0" w:line="103"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Each of the undersigned, the Chairman of the Board and Chief Executive Officer and Chief Operating Officer, Chief Financial Officer, and Corporate Secretary of Calavo Growers, Inc. (the Company), hereby certifies, pursuant to 18 U.S.C. Section 1350, as adopted pursuant to Section 906 of the Sarbanes-Oxley Act of 2002, that, to his knowledge, the Company’s Quarterly Report on Form 10-Q for the quarter ended April 30, 2007,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June 7,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Lecil E.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Arthur J.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J. Bruno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2"/>
    </w:lvl>
  </w:abstractNum>
  <w:abstractNum w:abstractNumId="6">
    <w:nsid w:val="4E6AFB66"/>
    <w:multiLevelType w:val="hybridMultilevel"/>
    <w:lvl w:ilvl="0">
      <w:lvlJc w:val="left"/>
      <w:lvlText w:val="(%1)"/>
      <w:numFmt w:val="upperLetter"/>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upperLetter"/>
      <w:start w:val="2"/>
    </w:lvl>
  </w:abstractNum>
  <w:abstractNum w:abstractNumId="9">
    <w:nsid w:val="431BD7B7"/>
    <w:multiLevelType w:val="hybridMultilevel"/>
    <w:lvl w:ilvl="0">
      <w:lvlJc w:val="left"/>
      <w:lvlText w:val="(%1)"/>
      <w:numFmt w:val="upperLetter"/>
      <w:start w:val="1"/>
    </w:lvl>
  </w:abstractNum>
  <w:abstractNum w:abstractNumId="10">
    <w:nsid w:val="3F2DBA31"/>
    <w:multiLevelType w:val="hybridMultilevel"/>
    <w:lvl w:ilvl="0">
      <w:lvlJc w:val="left"/>
      <w:lvlText w:val="(%1)"/>
      <w:numFmt w:val="upperLetter"/>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upperLetter"/>
      <w:start w:val="1"/>
    </w:lvl>
  </w:abstractNum>
  <w:abstractNum w:abstractNumId="13">
    <w:nsid w:val="62BBD95A"/>
    <w:multiLevelType w:val="hybridMultilevel"/>
    <w:lvl w:ilvl="0">
      <w:lvlJc w:val="left"/>
      <w:lvlText w:val="(%1)"/>
      <w:numFmt w:val="upperLetter"/>
      <w:start w:val="4"/>
    </w:lvl>
    <w:lvl w:ilvl="1">
      <w:lvlJc w:val="left"/>
      <w:lvlText w:val="(%2)"/>
      <w:numFmt w:val="decimal"/>
      <w:start w:val="1"/>
    </w:lvl>
  </w:abstractNum>
  <w:abstractNum w:abstractNumId="14">
    <w:nsid w:val="436C6125"/>
    <w:multiLevelType w:val="hybridMultilevel"/>
    <w:lvl w:ilvl="0">
      <w:lvlJc w:val="left"/>
      <w:lvlText w:val="%1"/>
      <w:numFmt w:val="upperLetter"/>
      <w:start w:val="1"/>
    </w:lvl>
    <w:lvl w:ilvl="1">
      <w:lvlJc w:val="left"/>
      <w:lvlText w:val="(%2)"/>
      <w:numFmt w:val="decimal"/>
      <w:start w:val="5"/>
    </w:lvl>
  </w:abstractNum>
  <w:abstractNum w:abstractNumId="15">
    <w:nsid w:val="628C895D"/>
    <w:multiLevelType w:val="hybridMultilevel"/>
    <w:lvl w:ilvl="0">
      <w:lvlJc w:val="left"/>
      <w:lvlText w:val="(%1)"/>
      <w:numFmt w:val="upperLetter"/>
      <w:start w:val="8"/>
    </w:lvl>
    <w:lvl w:ilvl="1">
      <w:lvlJc w:val="left"/>
      <w:lvlText w:val="%2"/>
      <w:numFmt w:val="decimal"/>
      <w:start w:val="1"/>
    </w:lvl>
  </w:abstractNum>
  <w:abstractNum w:abstractNumId="16">
    <w:nsid w:val="333AB105"/>
    <w:multiLevelType w:val="hybridMultilevel"/>
    <w:lvl w:ilvl="0">
      <w:lvlJc w:val="left"/>
      <w:lvlText w:val="(%1)"/>
      <w:numFmt w:val="upperLetter"/>
      <w:start w:val="1"/>
    </w:lvl>
  </w:abstractNum>
  <w:abstractNum w:abstractNumId="17">
    <w:nsid w:val="721DA317"/>
    <w:multiLevelType w:val="hybridMultilevel"/>
    <w:lvl w:ilvl="0">
      <w:lvlJc w:val="left"/>
      <w:lvlText w:val="%1"/>
      <w:numFmt w:val="lowerRoman"/>
      <w:start w:val="1"/>
    </w:lvl>
    <w:lvl w:ilvl="1">
      <w:lvlJc w:val="left"/>
      <w:lvlText w:val="(%2)"/>
      <w:numFmt w:val="upperLetter"/>
      <w:start w:val="2"/>
    </w:lvl>
  </w:abstractNum>
  <w:abstractNum w:abstractNumId="18">
    <w:nsid w:val="2443A858"/>
    <w:multiLevelType w:val="hybridMultilevel"/>
    <w:lvl w:ilvl="0">
      <w:lvlJc w:val="left"/>
      <w:lvlText w:val="(%1)"/>
      <w:numFmt w:val="lowerRoman"/>
      <w:start w:val="5"/>
    </w:lvl>
    <w:lvl w:ilvl="1">
      <w:lvlJc w:val="left"/>
      <w:lvlText w:val="(%2)"/>
      <w:numFmt w:val="upperLetter"/>
      <w:start w:val="3"/>
    </w:lvl>
  </w:abstractNum>
  <w:abstractNum w:abstractNumId="19">
    <w:nsid w:val="2D1D5AE9"/>
    <w:multiLevelType w:val="hybridMultilevel"/>
    <w:lvl w:ilvl="0">
      <w:lvlJc w:val="left"/>
      <w:lvlText w:val="(%1)"/>
      <w:numFmt w:val="upperLetter"/>
      <w:start w:val="1"/>
    </w:lvl>
  </w:abstractNum>
  <w:abstractNum w:abstractNumId="20">
    <w:nsid w:val="6763845E"/>
    <w:multiLevelType w:val="hybridMultilevel"/>
    <w:lvl w:ilvl="0">
      <w:lvlJc w:val="left"/>
      <w:lvlText w:val="(%1)"/>
      <w:numFmt w:val="upperLetter"/>
      <w:start w:val="1"/>
    </w:lvl>
  </w:abstractNum>
  <w:abstractNum w:abstractNumId="21">
    <w:nsid w:val="75A2A8D4"/>
    <w:multiLevelType w:val="hybridMultilevel"/>
    <w:lvl w:ilvl="0">
      <w:lvlJc w:val="left"/>
      <w:lvlText w:val="%1"/>
      <w:numFmt w:val="lowerRoman"/>
      <w:start w:val="1"/>
    </w:lvl>
    <w:lvl w:ilvl="1">
      <w:lvlJc w:val="left"/>
      <w:lvlText w:val="(%2)"/>
      <w:numFmt w:val="upperLetter"/>
      <w:start w:val="5"/>
    </w:lvl>
  </w:abstractNum>
  <w:abstractNum w:abstractNumId="22">
    <w:nsid w:val="8EDBDAB"/>
    <w:multiLevelType w:val="hybridMultilevel"/>
    <w:lvl w:ilvl="0">
      <w:lvlJc w:val="left"/>
      <w:lvlText w:val="(%1)"/>
      <w:numFmt w:val="lowerRoman"/>
      <w:start w:val="1"/>
    </w:lvl>
    <w:lvl w:ilvl="1">
      <w:lvlJc w:val="left"/>
      <w:lvlText w:val="(%2)"/>
      <w:numFmt w:val="upperLetter"/>
      <w:start w:val="8"/>
    </w:lvl>
  </w:abstractNum>
  <w:abstractNum w:abstractNumId="23">
    <w:nsid w:val="79838CB2"/>
    <w:multiLevelType w:val="hybridMultilevel"/>
    <w:lvl w:ilvl="0">
      <w:lvlJc w:val="left"/>
      <w:lvlText w:val="(%1)"/>
      <w:numFmt w:val="upp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2020-02-04T17:22:09Z</dcterms:created>
  <dcterms:modified xsi:type="dcterms:W3CDTF">2020-02-04T17:22:09Z</dcterms:modified>
</cp:coreProperties>
</file>