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(Amendment No.</w:t>
        <w:tab/>
        <w:t>)</w:t>
      </w:r>
    </w:p>
    <w:p>
      <w:pPr>
        <w:sectPr>
          <w:pgSz w:w="11900" w:h="16838" w:orient="portrait"/>
          <w:cols w:equalWidth="0" w:num="1">
            <w:col w:w="9019"/>
          </w:cols>
          <w:pgMar w:left="1440" w:top="995" w:right="1440" w:bottom="1440" w:gutter="0" w:footer="0" w:header="0"/>
        </w:sectPr>
      </w:pPr>
    </w:p>
    <w:p>
      <w:pPr>
        <w:spacing w:after="0" w:line="166"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5" w:lineRule="exact"/>
        <w:rPr>
          <w:sz w:val="24"/>
          <w:szCs w:val="24"/>
          <w:color w:val="auto"/>
        </w:rPr>
      </w:pPr>
    </w:p>
    <w:p>
      <w:pPr>
        <w:sectPr>
          <w:pgSz w:w="11900" w:h="16838" w:orient="portrait"/>
          <w:cols w:equalWidth="0" w:num="3">
            <w:col w:w="2540" w:space="720"/>
            <w:col w:w="2960" w:space="80"/>
            <w:col w:w="2719"/>
          </w:cols>
          <w:pgMar w:left="1440" w:top="995" w:right="1440"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9019"/>
          </w:cols>
          <w:pgMar w:left="1440" w:top="995" w:right="1440" w:bottom="1440" w:gutter="0" w:footer="0" w:header="0"/>
          <w:type w:val="continuous"/>
        </w:sectPr>
      </w:pPr>
    </w:p>
    <w:p>
      <w:pPr>
        <w:spacing w:after="0" w:line="200" w:lineRule="exact"/>
        <w:rPr>
          <w:sz w:val="24"/>
          <w:szCs w:val="24"/>
          <w:color w:val="auto"/>
        </w:rPr>
      </w:pPr>
    </w:p>
    <w:p>
      <w:pPr>
        <w:spacing w:after="0" w:line="214" w:lineRule="exact"/>
        <w:rPr>
          <w:sz w:val="24"/>
          <w:szCs w:val="24"/>
          <w:color w:val="auto"/>
        </w:rPr>
      </w:pPr>
    </w:p>
    <w:p>
      <w:pPr>
        <w:ind w:left="320" w:hanging="26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20" w:hanging="26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20" w:hanging="26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320" w:hanging="264"/>
        <w:spacing w:after="0"/>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320" w:hanging="264"/>
        <w:spacing w:after="0"/>
        <w:tabs>
          <w:tab w:leader="none" w:pos="3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1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30" w:lineRule="exact"/>
        <w:rPr>
          <w:sz w:val="24"/>
          <w:szCs w:val="24"/>
          <w:color w:val="auto"/>
        </w:rPr>
      </w:pPr>
    </w:p>
    <w:p>
      <w:pPr>
        <w:ind w:left="480" w:hanging="424"/>
        <w:spacing w:after="0"/>
        <w:tabs>
          <w:tab w:leader="none" w:pos="48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31" w:lineRule="exact"/>
        <w:rPr>
          <w:sz w:val="24"/>
          <w:szCs w:val="24"/>
          <w:color w:val="auto"/>
        </w:rPr>
      </w:pPr>
    </w:p>
    <w:p>
      <w:pPr>
        <w:ind w:left="480" w:hanging="424"/>
        <w:spacing w:after="0"/>
        <w:tabs>
          <w:tab w:leader="none" w:pos="48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below per Exchange Act Rules 14a-6(i)(1) and 0-11.</w:t>
      </w:r>
    </w:p>
    <w:p>
      <w:pPr>
        <w:spacing w:after="0" w:line="24" w:lineRule="exact"/>
        <w:rPr>
          <w:rFonts w:ascii="MS PGothic" w:cs="MS PGothic" w:eastAsia="MS PGothic" w:hAnsi="MS PGothic"/>
          <w:sz w:val="16"/>
          <w:szCs w:val="16"/>
          <w:color w:val="auto"/>
        </w:rPr>
      </w:pPr>
    </w:p>
    <w:p>
      <w:pPr>
        <w:ind w:left="480" w:hanging="424"/>
        <w:spacing w:after="0"/>
        <w:tabs>
          <w:tab w:leader="none" w:pos="48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703580</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146050</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189230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88900</wp:posOffset>
            </wp:positionV>
            <wp:extent cx="1337310" cy="130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33731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Calavo Growers, Inc. to Provide General Business Update at 2024 Annual Meeting of Shareholders</w:t>
      </w:r>
    </w:p>
    <w:p>
      <w:pPr>
        <w:spacing w:after="0" w:line="229" w:lineRule="exact"/>
        <w:rPr>
          <w:sz w:val="20"/>
          <w:szCs w:val="20"/>
          <w:color w:val="auto"/>
        </w:rPr>
      </w:pPr>
    </w:p>
    <w:p>
      <w:pPr>
        <w:jc w:val="both"/>
        <w:ind w:left="60" w:right="5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SANTA PAULA, Calif., April 22, 2024 (GLOBE NEWSWIRE) — Calavo Growers, Inc. (Nasdaq: CVGW) </w:t>
      </w:r>
      <w:r>
        <w:rPr>
          <w:rFonts w:ascii="Times New Roman" w:cs="Times New Roman" w:eastAsia="Times New Roman" w:hAnsi="Times New Roman"/>
          <w:sz w:val="20"/>
          <w:szCs w:val="20"/>
          <w:color w:val="auto"/>
        </w:rPr>
        <w:t>(“Calavo” or the “Company”), a global avocado industry leader and provider of convenient, ready-to-eat fresh food, announced today that following the formal business of the 2024 annual shareholder meeting (the “Annual Meeting”), the Company will provide a general business update.</w:t>
      </w:r>
    </w:p>
    <w:p>
      <w:pPr>
        <w:spacing w:after="0" w:line="192" w:lineRule="exact"/>
        <w:rPr>
          <w:sz w:val="20"/>
          <w:szCs w:val="20"/>
          <w:color w:val="auto"/>
        </w:rPr>
      </w:pPr>
    </w:p>
    <w:p>
      <w:pPr>
        <w:jc w:val="both"/>
        <w:ind w:left="60" w:right="59"/>
        <w:spacing w:after="0" w:line="237" w:lineRule="auto"/>
        <w:rPr>
          <w:sz w:val="20"/>
          <w:szCs w:val="20"/>
          <w:color w:val="auto"/>
        </w:rPr>
      </w:pPr>
      <w:r>
        <w:rPr>
          <w:rFonts w:ascii="Calibri" w:cs="Calibri" w:eastAsia="Calibri" w:hAnsi="Calibri"/>
          <w:sz w:val="20"/>
          <w:szCs w:val="20"/>
          <w:color w:val="auto"/>
        </w:rPr>
        <w:t>The Annual Meetng will be held at 1:00 p.m. Pacifc Time on Wednesday, April 24, 2024. Holders of record at the close of business on February 26, 2024, will be enttled to partcipate, submit questons and vote at the Annual Meetng by following the instructons available on the virtual meetng website at www.virtualshareholdermeetng.com/CVGW2024 and using the 16-digit control number included in their proxy materials.</w:t>
      </w:r>
    </w:p>
    <w:p>
      <w:pPr>
        <w:spacing w:after="0" w:line="253" w:lineRule="exact"/>
        <w:rPr>
          <w:sz w:val="20"/>
          <w:szCs w:val="20"/>
          <w:color w:val="auto"/>
        </w:rPr>
      </w:pPr>
    </w:p>
    <w:p>
      <w:pPr>
        <w:jc w:val="both"/>
        <w:ind w:left="60" w:right="79"/>
        <w:spacing w:after="0" w:line="234" w:lineRule="auto"/>
        <w:rPr>
          <w:sz w:val="20"/>
          <w:szCs w:val="20"/>
          <w:color w:val="auto"/>
        </w:rPr>
      </w:pPr>
      <w:r>
        <w:rPr>
          <w:rFonts w:ascii="Calibri" w:cs="Calibri" w:eastAsia="Calibri" w:hAnsi="Calibri"/>
          <w:sz w:val="20"/>
          <w:szCs w:val="20"/>
          <w:color w:val="auto"/>
        </w:rPr>
        <w:t>Non-shareholders may atend the Annual Meetng as a guest but will not have the opton to vote any shares or to ask questons during the virtual meetng.</w:t>
      </w:r>
    </w:p>
    <w:p>
      <w:pPr>
        <w:spacing w:after="0" w:line="230" w:lineRule="exact"/>
        <w:rPr>
          <w:sz w:val="20"/>
          <w:szCs w:val="20"/>
          <w:color w:val="auto"/>
        </w:rPr>
      </w:pPr>
    </w:p>
    <w:p>
      <w:pPr>
        <w:ind w:left="60"/>
        <w:spacing w:after="0"/>
        <w:rPr>
          <w:sz w:val="20"/>
          <w:szCs w:val="20"/>
          <w:color w:val="auto"/>
        </w:rPr>
      </w:pPr>
      <w:r>
        <w:rPr>
          <w:rFonts w:ascii="Calibri" w:cs="Calibri" w:eastAsia="Calibri" w:hAnsi="Calibri"/>
          <w:sz w:val="20"/>
          <w:szCs w:val="20"/>
          <w:b w:val="1"/>
          <w:bCs w:val="1"/>
          <w:color w:val="auto"/>
        </w:rPr>
        <w:t>About Calavo Growers, Inc.</w:t>
      </w:r>
    </w:p>
    <w:p>
      <w:pPr>
        <w:spacing w:after="0" w:line="225" w:lineRule="exact"/>
        <w:rPr>
          <w:sz w:val="20"/>
          <w:szCs w:val="20"/>
          <w:color w:val="auto"/>
        </w:rPr>
      </w:pPr>
    </w:p>
    <w:p>
      <w:pPr>
        <w:ind w:left="60" w:right="239"/>
        <w:spacing w:after="0" w:line="237" w:lineRule="auto"/>
        <w:rPr>
          <w:sz w:val="20"/>
          <w:szCs w:val="20"/>
          <w:color w:val="auto"/>
        </w:rPr>
      </w:pPr>
      <w:r>
        <w:rPr>
          <w:rFonts w:ascii="Calibri" w:cs="Calibri" w:eastAsia="Calibri" w:hAnsi="Calibri"/>
          <w:sz w:val="20"/>
          <w:szCs w:val="20"/>
          <w:color w:val="auto"/>
        </w:rPr>
        <w:t xml:space="preserve">Calavo Growers, Inc. (Nasdaq: CVGW) is a global leader in high quality produce, including avocados, tomatoes and papayas, and a pioneer of healthy fresh-cut fruit, vegetables and prepared foods. Calavo products are sold under the trusted Calavo brand name, proprietary sub-brands, private label and store brands. Founded in 1924, Calavo has a rich culture of innovaton, sustainable practces and market growth. The Company serves retail grocery, foodservice, club stores, mass merchandisers, food distributors and wholesalers worldwide. Calavo is headquartered in Santa Paula, California, with processing plants and packing facilites throughout the U.S. and Mexico. Learn more about </w:t>
      </w:r>
      <w:r>
        <w:rPr>
          <w:rFonts w:ascii="Calibri" w:cs="Calibri" w:eastAsia="Calibri" w:hAnsi="Calibri"/>
          <w:sz w:val="20"/>
          <w:szCs w:val="20"/>
          <w:i w:val="1"/>
          <w:iCs w:val="1"/>
          <w:color w:val="auto"/>
        </w:rPr>
        <w:t>The Family of Fresh™</w:t>
      </w:r>
      <w:r>
        <w:rPr>
          <w:rFonts w:ascii="Calibri" w:cs="Calibri" w:eastAsia="Calibri" w:hAnsi="Calibri"/>
          <w:sz w:val="20"/>
          <w:szCs w:val="20"/>
          <w:color w:val="auto"/>
        </w:rPr>
        <w:t xml:space="preserve"> at </w:t>
      </w:r>
      <w:r>
        <w:rPr>
          <w:rFonts w:ascii="Calibri" w:cs="Calibri" w:eastAsia="Calibri" w:hAnsi="Calibri"/>
          <w:sz w:val="20"/>
          <w:szCs w:val="20"/>
          <w:b w:val="1"/>
          <w:bCs w:val="1"/>
          <w:color w:val="auto"/>
        </w:rPr>
        <w:t>calavo.com</w:t>
      </w:r>
      <w:r>
        <w:rPr>
          <w:rFonts w:ascii="Calibri" w:cs="Calibri" w:eastAsia="Calibri" w:hAnsi="Calibri"/>
          <w:sz w:val="20"/>
          <w:szCs w:val="20"/>
          <w:color w:val="auto"/>
        </w:rPr>
        <w:t>.</w:t>
      </w:r>
    </w:p>
    <w:p>
      <w:pPr>
        <w:spacing w:after="0" w:line="220" w:lineRule="exact"/>
        <w:rPr>
          <w:sz w:val="20"/>
          <w:szCs w:val="20"/>
          <w:color w:val="auto"/>
        </w:rPr>
      </w:pPr>
    </w:p>
    <w:p>
      <w:pPr>
        <w:ind w:left="60"/>
        <w:spacing w:after="0"/>
        <w:rPr>
          <w:sz w:val="20"/>
          <w:szCs w:val="20"/>
          <w:color w:val="auto"/>
        </w:rPr>
      </w:pPr>
      <w:r>
        <w:rPr>
          <w:rFonts w:ascii="Calibri" w:cs="Calibri" w:eastAsia="Calibri" w:hAnsi="Calibri"/>
          <w:sz w:val="20"/>
          <w:szCs w:val="20"/>
          <w:b w:val="1"/>
          <w:bCs w:val="1"/>
          <w:color w:val="auto"/>
        </w:rPr>
        <w:t>Investor Contact</w:t>
      </w:r>
    </w:p>
    <w:p>
      <w:pPr>
        <w:spacing w:after="0" w:line="269" w:lineRule="exact"/>
        <w:rPr>
          <w:sz w:val="20"/>
          <w:szCs w:val="20"/>
          <w:color w:val="auto"/>
        </w:rPr>
      </w:pPr>
    </w:p>
    <w:p>
      <w:pPr>
        <w:ind w:left="60"/>
        <w:spacing w:after="0"/>
        <w:rPr>
          <w:sz w:val="20"/>
          <w:szCs w:val="20"/>
          <w:color w:val="auto"/>
        </w:rPr>
      </w:pPr>
      <w:r>
        <w:rPr>
          <w:rFonts w:ascii="Calibri" w:cs="Calibri" w:eastAsia="Calibri" w:hAnsi="Calibri"/>
          <w:sz w:val="20"/>
          <w:szCs w:val="20"/>
          <w:color w:val="auto"/>
        </w:rPr>
        <w:t>Julie Kegley, Senior Vice President</w:t>
      </w:r>
    </w:p>
    <w:p>
      <w:pPr>
        <w:spacing w:after="0" w:line="12" w:lineRule="exact"/>
        <w:rPr>
          <w:sz w:val="20"/>
          <w:szCs w:val="20"/>
          <w:color w:val="auto"/>
        </w:rPr>
      </w:pPr>
    </w:p>
    <w:p>
      <w:pPr>
        <w:ind w:left="60"/>
        <w:spacing w:after="0"/>
        <w:rPr>
          <w:sz w:val="20"/>
          <w:szCs w:val="20"/>
          <w:color w:val="auto"/>
        </w:rPr>
      </w:pPr>
      <w:r>
        <w:rPr>
          <w:rFonts w:ascii="Calibri" w:cs="Calibri" w:eastAsia="Calibri" w:hAnsi="Calibri"/>
          <w:sz w:val="20"/>
          <w:szCs w:val="20"/>
          <w:color w:val="auto"/>
        </w:rPr>
        <w:t>Financial Profles, Inc.</w:t>
      </w:r>
    </w:p>
    <w:p>
      <w:pPr>
        <w:spacing w:after="0" w:line="12" w:lineRule="exact"/>
        <w:rPr>
          <w:sz w:val="20"/>
          <w:szCs w:val="20"/>
          <w:color w:val="auto"/>
        </w:rPr>
      </w:pPr>
    </w:p>
    <w:p>
      <w:pPr>
        <w:ind w:left="60"/>
        <w:spacing w:after="0"/>
        <w:rPr>
          <w:sz w:val="20"/>
          <w:szCs w:val="20"/>
          <w:color w:val="auto"/>
        </w:rPr>
      </w:pPr>
      <w:r>
        <w:rPr>
          <w:rFonts w:ascii="Calibri" w:cs="Calibri" w:eastAsia="Calibri" w:hAnsi="Calibri"/>
          <w:sz w:val="20"/>
          <w:szCs w:val="20"/>
          <w:u w:val="single" w:color="auto"/>
          <w:color w:val="auto"/>
        </w:rPr>
        <w:t>calavo@fnprofles.com</w:t>
      </w:r>
    </w:p>
    <w:p>
      <w:pPr>
        <w:spacing w:after="0" w:line="12" w:lineRule="exact"/>
        <w:rPr>
          <w:sz w:val="20"/>
          <w:szCs w:val="20"/>
          <w:color w:val="auto"/>
        </w:rPr>
      </w:pPr>
    </w:p>
    <w:p>
      <w:pPr>
        <w:ind w:left="60"/>
        <w:spacing w:after="0"/>
        <w:rPr>
          <w:sz w:val="20"/>
          <w:szCs w:val="20"/>
          <w:color w:val="auto"/>
        </w:rPr>
      </w:pPr>
      <w:r>
        <w:rPr>
          <w:rFonts w:ascii="Calibri" w:cs="Calibri" w:eastAsia="Calibri" w:hAnsi="Calibri"/>
          <w:sz w:val="20"/>
          <w:szCs w:val="20"/>
          <w:color w:val="auto"/>
        </w:rPr>
        <w:t>310-622-8246</w:t>
      </w:r>
    </w:p>
    <w:p>
      <w:pPr>
        <w:spacing w:after="0" w:line="265" w:lineRule="exact"/>
        <w:rPr>
          <w:sz w:val="20"/>
          <w:szCs w:val="20"/>
          <w:color w:val="auto"/>
        </w:rPr>
      </w:pPr>
    </w:p>
    <w:p>
      <w:pPr>
        <w:ind w:left="60" w:right="79"/>
        <w:spacing w:after="0" w:line="237" w:lineRule="auto"/>
        <w:rPr>
          <w:sz w:val="20"/>
          <w:szCs w:val="20"/>
          <w:color w:val="auto"/>
        </w:rPr>
      </w:pPr>
      <w:r>
        <w:rPr>
          <w:rFonts w:ascii="Calibri" w:cs="Calibri" w:eastAsia="Calibri" w:hAnsi="Calibri"/>
          <w:sz w:val="20"/>
          <w:szCs w:val="20"/>
          <w:b w:val="1"/>
          <w:bCs w:val="1"/>
          <w:color w:val="auto"/>
        </w:rPr>
        <w:t>This communicaton may be deemed to be solicitaton material in respect of the Annual Meetng of the Company. On February 28, 2024, the Company fled a defnitve proxy statement with the Securites and Exchange Commission (the “Commission”) in connecton with the Annual Meetng. SHAREHOLDERS ARE URGED TO READ CAREFULLY AND IN THEIR ENTIRETY THE PROXY STATEMENT AND ANY OTHER SOLICITING MATERIALS THAT ARE FILED WITH THE COMMISSION WHEN THEY BECOME AVAILABLE BECAUSE THESE DOCUMENTS CONTAIN IMPORTANT INFORMATION ABOUT THE COMPANY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365760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ind w:left="60" w:right="79"/>
        <w:spacing w:after="0"/>
        <w:rPr>
          <w:sz w:val="20"/>
          <w:szCs w:val="20"/>
          <w:color w:val="auto"/>
        </w:rPr>
      </w:pPr>
      <w:r>
        <w:rPr>
          <w:rFonts w:ascii="Calibri" w:cs="Calibri" w:eastAsia="Calibri" w:hAnsi="Calibri"/>
          <w:sz w:val="20"/>
          <w:szCs w:val="20"/>
          <w:b w:val="1"/>
          <w:bCs w:val="1"/>
          <w:color w:val="auto"/>
        </w:rPr>
        <w:t>PROPOSALS TO BE VOTED UPON. The Company’s proxy statement and any other solicitaton materials fled by the Company with the Commission can be obtained free of charge at the Commission’s website at www.sec.gov and at the investor relatons secton of the Company’s website at ir.calavo.com. Shareholders may also write to the Company at the following email address to request copies of these materials: 2024proxy@calavo.com. The Company, its directors and certain of its ofcers will be partcipants in the solicitaton of proxies from shareholders in respect of the Annual Meetng. Detailed informaton regarding the identty of partcipants, and their respectve interests in the Company by security holdings or otherwise, is set forth in the defnitve proxy statement for the Annual Meetng. The contents of the websites referenced above are not deemed to be incorporated by reference into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506095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2024-04-22T16:07:08Z</dcterms:created>
  <dcterms:modified xsi:type="dcterms:W3CDTF">2024-04-22T16:07:08Z</dcterms:modified>
</cp:coreProperties>
</file>