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v09822e8vk.htm"/>
      <w:bookmarkStart w:id="1" w:name="ksv09822e8vk"/>
      <w:bookmarkEnd w:id="0"/>
      <w:bookmarkEnd w:id="1"/>
      <w:r>
        <w:rPr/>
        <w:t> </w:t>
      </w:r>
    </w:p>
    <w:p>
      <w:pPr>
        <w:pStyle w:val="TextBody"/>
        <w:spacing w:before="0" w:after="0"/>
        <w:rPr>
          <w:bdr w:val="single" w:sz="16" w:space="1" w:color="000000"/>
        </w:rPr>
      </w:pPr>
      <w:r>
        <w:rPr>
          <w:bdr w:val="single" w:sz="16" w:space="1" w:color="000000"/>
        </w:rPr>
        <w:t> </w:t>
      </w:r>
    </w:p>
    <w:p>
      <w:pPr>
        <w:pStyle w:val="TextBody"/>
        <w:rPr>
          <w:bdr w:val="single" w:sz="8" w:space="1" w:color="000000"/>
        </w:rPr>
      </w:pPr>
      <w:r>
        <w:rPr>
          <w:bdr w:val="single" w:sz="8" w:space="1" w:color="000000"/>
        </w:rPr>
        <w:t> </w:t>
      </w:r>
    </w:p>
    <w:p>
      <w:pPr>
        <w:pStyle w:val="TextBody"/>
        <w:spacing w:before="0" w:after="0"/>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jc w:val="center"/>
        <w:rPr>
          <w:rFonts w:ascii="Times New Roman;Times;serif" w:hAnsi="Times New Roman;Times;serif"/>
          <w:sz w:val="17"/>
        </w:rPr>
      </w:pPr>
      <w:r>
        <w:rPr>
          <w:rFonts w:ascii="Times New Roman;Times;serif" w:hAnsi="Times New Roman;Times;serif"/>
          <w:sz w:val="17"/>
        </w:rPr>
        <w:t>CURRENT REPORT PURSUANT</w:t>
        <w:br/>
        <w:t>TO SECTION 13 OR 15(d) OF THE</w:t>
        <w:br/>
        <w:t xml:space="preserve">SECURITIES EXCHANGE ACT OF 1934 </w:t>
      </w:r>
    </w:p>
    <w:p>
      <w:pPr>
        <w:pStyle w:val="TextBody"/>
        <w:jc w:val="center"/>
        <w:rPr>
          <w:rFonts w:ascii="Times New Roman;Times;serif" w:hAnsi="Times New Roman;Times;serif"/>
          <w:sz w:val="17"/>
        </w:rPr>
      </w:pPr>
      <w:r>
        <w:rPr>
          <w:rFonts w:ascii="Times New Roman;Times;serif" w:hAnsi="Times New Roman;Times;serif"/>
          <w:sz w:val="17"/>
        </w:rPr>
        <w:t xml:space="preserve">Date of report: </w:t>
      </w:r>
      <w:r>
        <w:rPr>
          <w:rFonts w:ascii="Times New Roman;Times;serif" w:hAnsi="Times New Roman;Times;serif"/>
          <w:b/>
          <w:sz w:val="17"/>
        </w:rPr>
        <w:t>June 07, 2005</w:t>
      </w:r>
      <w:r>
        <w:rPr>
          <w:rFonts w:ascii="Times New Roman;Times;serif" w:hAnsi="Times New Roman;Times;serif"/>
          <w:sz w:val="17"/>
        </w:rPr>
        <w:br/>
        <w:t xml:space="preserve">Date of earliest event reported: </w:t>
      </w:r>
      <w:r>
        <w:rPr>
          <w:rFonts w:ascii="Times New Roman;Times;serif" w:hAnsi="Times New Roman;Times;serif"/>
          <w:b/>
          <w:sz w:val="17"/>
        </w:rPr>
        <w:t>June 06, 2005</w:t>
      </w:r>
      <w:r>
        <w:rPr>
          <w:rFonts w:ascii="Times New Roman;Times;serif" w:hAnsi="Times New Roman;Times;serif"/>
          <w:sz w:val="17"/>
        </w:rPr>
        <w:t xml:space="preserve"> </w:t>
      </w:r>
    </w:p>
    <w:p>
      <w:pPr>
        <w:pStyle w:val="TextBody"/>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(Exact Name of Registrant as Specified in Charter) </w:t>
      </w:r>
    </w:p>
    <w:p>
      <w:pPr>
        <w:pStyle w:val="TextBody"/>
        <w:spacing w:before="0" w:after="0"/>
        <w:rPr/>
      </w:pPr>
      <w:r>
        <w:rPr/>
      </w:r>
    </w:p>
    <w:tbl>
      <w:tblPr>
        <w:tblW w:w="5000" w:type="pct"/>
        <w:jc w:val="center"/>
        <w:tblInd w:w="0" w:type="dxa"/>
        <w:tblCellMar>
          <w:top w:w="0" w:type="dxa"/>
          <w:left w:w="0" w:type="dxa"/>
          <w:bottom w:w="0" w:type="dxa"/>
          <w:right w:w="0" w:type="dxa"/>
        </w:tblCellMar>
      </w:tblPr>
      <w:tblGrid>
        <w:gridCol w:w="3062"/>
        <w:gridCol w:w="509"/>
        <w:gridCol w:w="3062"/>
        <w:gridCol w:w="509"/>
        <w:gridCol w:w="3063"/>
      </w:tblGrid>
      <w:tr>
        <w:trPr/>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vAlign w:val="bottom"/>
          </w:tcPr>
          <w:p>
            <w:pPr>
              <w:pStyle w:val="TableContents"/>
              <w:spacing w:before="0" w:after="283"/>
              <w:rPr/>
            </w:pPr>
            <w:r>
              <w:rPr/>
              <w:t> </w:t>
            </w:r>
          </w:p>
        </w:tc>
      </w:tr>
      <w:tr>
        <w:trPr/>
        <w:tc>
          <w:tcPr>
            <w:tcW w:w="3062" w:type="dxa"/>
            <w:tcBorders/>
            <w:shd w:fill="auto" w:val="clear"/>
          </w:tcPr>
          <w:p>
            <w:pPr>
              <w:pStyle w:val="TableContents"/>
              <w:spacing w:before="0" w:after="283"/>
              <w:jc w:val="center"/>
              <w:rPr/>
            </w:pPr>
            <w:r>
              <w:rPr>
                <w:b/>
              </w:rPr>
              <w:t>California</w:t>
            </w:r>
            <w:r>
              <w:rPr/>
              <w:t xml:space="preserve">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000-33385</w:t>
            </w:r>
            <w:r>
              <w:rPr/>
              <w:t xml:space="preserve">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b/>
              </w:rPr>
            </w:pPr>
            <w:r>
              <w:rPr>
                <w:b/>
              </w:rPr>
              <w:t>33-0945304</w:t>
            </w:r>
          </w:p>
        </w:tc>
      </w:tr>
      <w:tr>
        <w:trPr/>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3"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3062" w:type="dxa"/>
            <w:tcBorders/>
            <w:shd w:fill="auto" w:val="clear"/>
          </w:tcPr>
          <w:p>
            <w:pPr>
              <w:pStyle w:val="TableContents"/>
              <w:spacing w:before="0" w:after="283"/>
              <w:jc w:val="center"/>
              <w:rPr/>
            </w:pPr>
            <w:r>
              <w:rPr/>
              <w:t>(State or Other</w:t>
              <w:br/>
              <w:t>Jurisdiction of</w:t>
              <w:br/>
              <w:t xml:space="preserve">Incorporation)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File Number)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(IRS Employer</w:t>
              <w:br/>
              <w:t>Identification No.)</w:t>
            </w:r>
          </w:p>
        </w:tc>
      </w:tr>
    </w:tbl>
    <w:p>
      <w:pPr>
        <w:pStyle w:val="TextBody"/>
        <w:pBdr>
          <w:bottom w:val="single" w:sz="8" w:space="1" w:color="000000"/>
        </w:pBdr>
        <w:spacing w:before="200" w:after="283"/>
        <w:jc w:val="center"/>
        <w:rPr>
          <w:rFonts w:ascii="Times New Roman;Times;serif" w:hAnsi="Times New Roman;Times;serif"/>
          <w:sz w:val="17"/>
        </w:rPr>
      </w:pPr>
      <w:r>
        <w:rPr>
          <w:rFonts w:ascii="Times New Roman;Times;serif" w:hAnsi="Times New Roman;Times;serif"/>
          <w:b/>
          <w:sz w:val="17"/>
        </w:rPr>
        <w:t>1141A Cummings Road, Santa Paula, California 93060</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(Address of Principal Executive Offices) (Zip Code)</w:t>
      </w:r>
    </w:p>
    <w:p>
      <w:pPr>
        <w:pStyle w:val="TextBody"/>
        <w:pBdr>
          <w:bottom w:val="single" w:sz="8" w:space="1" w:color="000000"/>
        </w:pBdr>
        <w:spacing w:before="200" w:after="283"/>
        <w:jc w:val="center"/>
        <w:rPr>
          <w:rFonts w:ascii="Times New Roman;Times;serif" w:hAnsi="Times New Roman;Times;serif"/>
          <w:sz w:val="17"/>
        </w:rPr>
      </w:pPr>
      <w:r>
        <w:rPr>
          <w:rFonts w:ascii="Times New Roman;Times;serif" w:hAnsi="Times New Roman;Times;serif"/>
          <w:b/>
          <w:sz w:val="17"/>
        </w:rPr>
        <w:t>2530 Red Hill Avenue, Santa Ana, California, 92705</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(805) 525-1245</w:t>
      </w:r>
      <w:r>
        <w:rPr>
          <w:rFonts w:ascii="Times New Roman;Times;serif" w:hAnsi="Times New Roman;Times;serif"/>
          <w:sz w:val="17"/>
        </w:rPr>
        <w:t xml:space="preserve"> </w:t>
      </w:r>
    </w:p>
    <w:p>
      <w:pPr>
        <w:pStyle w:val="TextBody"/>
        <w:jc w:val="left"/>
        <w:rPr/>
      </w:pPr>
      <w:r>
        <w:rPr/>
        <w:t>     </w:t>
      </w: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410"/>
        <w:gridCol w:w="205"/>
        <w:gridCol w:w="9566"/>
        <w:gridCol w:w="24"/>
      </w:tblGrid>
      <w:tr>
        <w:trPr/>
        <w:tc>
          <w:tcPr>
            <w:tcW w:w="410" w:type="dxa"/>
            <w:tcBorders/>
            <w:shd w:fill="auto" w:val="clear"/>
          </w:tcPr>
          <w:p>
            <w:pPr>
              <w:pStyle w:val="TableContents"/>
              <w:spacing w:before="0" w:after="283"/>
              <w:rPr/>
            </w:pPr>
            <w:r>
              <w:rPr/>
              <w:t> </w:t>
            </w:r>
          </w:p>
        </w:tc>
        <w:tc>
          <w:tcPr>
            <w:tcW w:w="205" w:type="dxa"/>
            <w:tcBorders/>
            <w:shd w:fill="auto" w:val="clear"/>
          </w:tcPr>
          <w:p>
            <w:pPr>
              <w:pStyle w:val="TableContents"/>
              <w:spacing w:before="0" w:after="283"/>
              <w:jc w:val="left"/>
              <w:rPr>
                <w:rFonts w:ascii="Wingdings" w:hAnsi="Wingdings"/>
              </w:rPr>
            </w:pPr>
            <w:r>
              <w:rPr>
                <w:rFonts w:ascii="Wingdings" w:hAnsi="Wingdings"/>
              </w:rPr>
              <w:t>o</w:t>
            </w:r>
          </w:p>
        </w:tc>
        <w:tc>
          <w:tcPr>
            <w:tcW w:w="9566" w:type="dxa"/>
            <w:tcBorders/>
            <w:shd w:fill="auto" w:val="clear"/>
          </w:tcPr>
          <w:p>
            <w:pPr>
              <w:pStyle w:val="TableContents"/>
              <w:spacing w:before="0" w:after="283"/>
              <w:rPr/>
            </w:pPr>
            <w:r>
              <w:rPr/>
              <w:t>Written communications pursuant to Rule 425 under the Securities Act (17 CFR 230.425)</w:t>
            </w:r>
          </w:p>
        </w:tc>
        <w:tc>
          <w:tcPr>
            <w:tcW w:w="24"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410" w:type="dxa"/>
            <w:tcBorders/>
            <w:shd w:fill="auto" w:val="clear"/>
          </w:tcPr>
          <w:p>
            <w:pPr>
              <w:pStyle w:val="TableContents"/>
              <w:spacing w:before="0" w:after="283"/>
              <w:rPr/>
            </w:pPr>
            <w:r>
              <w:rPr/>
              <w:t> </w:t>
            </w:r>
          </w:p>
        </w:tc>
        <w:tc>
          <w:tcPr>
            <w:tcW w:w="205" w:type="dxa"/>
            <w:tcBorders/>
            <w:shd w:fill="auto" w:val="clear"/>
          </w:tcPr>
          <w:p>
            <w:pPr>
              <w:pStyle w:val="TableContents"/>
              <w:spacing w:before="0" w:after="283"/>
              <w:jc w:val="left"/>
              <w:rPr>
                <w:rFonts w:ascii="Wingdings" w:hAnsi="Wingdings"/>
              </w:rPr>
            </w:pPr>
            <w:r>
              <w:rPr>
                <w:rFonts w:ascii="Wingdings" w:hAnsi="Wingdings"/>
              </w:rPr>
              <w:t>o</w:t>
            </w:r>
          </w:p>
        </w:tc>
        <w:tc>
          <w:tcPr>
            <w:tcW w:w="9566" w:type="dxa"/>
            <w:tcBorders/>
            <w:shd w:fill="auto" w:val="clear"/>
          </w:tcPr>
          <w:p>
            <w:pPr>
              <w:pStyle w:val="TableContents"/>
              <w:spacing w:before="0" w:after="283"/>
              <w:rPr/>
            </w:pPr>
            <w:r>
              <w:rPr/>
              <w:t>Soliciting material pursuant to Rule 14a-12 under the Exchange Act (17 CFR 240.14a-12)</w:t>
            </w:r>
          </w:p>
        </w:tc>
        <w:tc>
          <w:tcPr>
            <w:tcW w:w="24"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410" w:type="dxa"/>
            <w:tcBorders/>
            <w:shd w:fill="auto" w:val="clear"/>
          </w:tcPr>
          <w:p>
            <w:pPr>
              <w:pStyle w:val="TableContents"/>
              <w:spacing w:before="0" w:after="283"/>
              <w:rPr/>
            </w:pPr>
            <w:r>
              <w:rPr/>
              <w:t> </w:t>
            </w:r>
          </w:p>
        </w:tc>
        <w:tc>
          <w:tcPr>
            <w:tcW w:w="205" w:type="dxa"/>
            <w:tcBorders/>
            <w:shd w:fill="auto" w:val="clear"/>
          </w:tcPr>
          <w:p>
            <w:pPr>
              <w:pStyle w:val="TableContents"/>
              <w:spacing w:before="0" w:after="283"/>
              <w:jc w:val="left"/>
              <w:rPr>
                <w:rFonts w:ascii="Wingdings" w:hAnsi="Wingdings"/>
              </w:rPr>
            </w:pPr>
            <w:r>
              <w:rPr>
                <w:rFonts w:ascii="Wingdings" w:hAnsi="Wingdings"/>
              </w:rPr>
              <w:t>o</w:t>
            </w:r>
          </w:p>
        </w:tc>
        <w:tc>
          <w:tcPr>
            <w:tcW w:w="9566" w:type="dxa"/>
            <w:tcBorders/>
            <w:shd w:fill="auto" w:val="clear"/>
          </w:tcPr>
          <w:p>
            <w:pPr>
              <w:pStyle w:val="TableContents"/>
              <w:spacing w:before="0" w:after="283"/>
              <w:rPr/>
            </w:pPr>
            <w:r>
              <w:rPr/>
              <w:t>Pre-commencement communications pursuant to Rule 14d-2(b) under the Exchange Act (17 CFR 240.14d-2(b))</w:t>
            </w:r>
          </w:p>
        </w:tc>
        <w:tc>
          <w:tcPr>
            <w:tcW w:w="24"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410" w:type="dxa"/>
            <w:tcBorders/>
            <w:shd w:fill="auto" w:val="clear"/>
          </w:tcPr>
          <w:p>
            <w:pPr>
              <w:pStyle w:val="TableContents"/>
              <w:spacing w:before="0" w:after="283"/>
              <w:rPr/>
            </w:pPr>
            <w:r>
              <w:rPr/>
              <w:t> </w:t>
            </w:r>
          </w:p>
        </w:tc>
        <w:tc>
          <w:tcPr>
            <w:tcW w:w="205" w:type="dxa"/>
            <w:tcBorders/>
            <w:shd w:fill="auto" w:val="clear"/>
          </w:tcPr>
          <w:p>
            <w:pPr>
              <w:pStyle w:val="TableContents"/>
              <w:spacing w:before="0" w:after="283"/>
              <w:jc w:val="left"/>
              <w:rPr>
                <w:rFonts w:ascii="Wingdings" w:hAnsi="Wingdings"/>
              </w:rPr>
            </w:pPr>
            <w:r>
              <w:rPr>
                <w:rFonts w:ascii="Wingdings" w:hAnsi="Wingdings"/>
              </w:rPr>
              <w:t>o</w:t>
            </w:r>
          </w:p>
        </w:tc>
        <w:tc>
          <w:tcPr>
            <w:tcW w:w="9566" w:type="dxa"/>
            <w:tcBorders/>
            <w:shd w:fill="auto" w:val="clear"/>
          </w:tcPr>
          <w:p>
            <w:pPr>
              <w:pStyle w:val="TableContents"/>
              <w:spacing w:before="0" w:after="283"/>
              <w:rPr/>
            </w:pPr>
            <w:r>
              <w:rPr/>
              <w:t>Pre-commencement communications pursuant to Rule 13e-4(c) under the Exchange Act (17 CFR 240.13e-4(c))</w:t>
            </w:r>
          </w:p>
        </w:tc>
        <w:tc>
          <w:tcPr>
            <w:tcW w:w="24" w:type="dxa"/>
            <w:tcBorders/>
            <w:shd w:fill="auto" w:val="clear"/>
          </w:tcPr>
          <w:p>
            <w:pPr>
              <w:pStyle w:val="TableContents"/>
              <w:spacing w:before="0" w:after="283"/>
              <w:rPr>
                <w:sz w:val="4"/>
                <w:szCs w:val="4"/>
              </w:rPr>
            </w:pPr>
            <w:r>
              <w:rPr>
                <w:sz w:val="4"/>
                <w:szCs w:val="4"/>
              </w:rPr>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30" w:type="dxa"/>
          <w:left w:w="30" w:type="dxa"/>
          <w:bottom w:w="30" w:type="dxa"/>
          <w:right w:w="30" w:type="dxa"/>
        </w:tblCellMar>
      </w:tblPr>
      <w:tblGrid>
        <w:gridCol w:w="1163"/>
        <w:gridCol w:w="9042"/>
      </w:tblGrid>
      <w:tr>
        <w:trPr/>
        <w:tc>
          <w:tcPr>
            <w:tcW w:w="1163" w:type="dxa"/>
            <w:tcBorders/>
            <w:shd w:fill="auto" w:val="clear"/>
            <w:vAlign w:val="center"/>
          </w:tcPr>
          <w:p>
            <w:pPr>
              <w:pStyle w:val="TableContents"/>
              <w:spacing w:before="0" w:after="283"/>
              <w:rPr>
                <w:sz w:val="4"/>
                <w:szCs w:val="4"/>
              </w:rPr>
            </w:pPr>
            <w:r>
              <w:rPr>
                <w:sz w:val="4"/>
                <w:szCs w:val="4"/>
              </w:rPr>
            </w:r>
          </w:p>
        </w:tc>
        <w:tc>
          <w:tcPr>
            <w:tcW w:w="9042" w:type="dxa"/>
            <w:tcBorders/>
            <w:shd w:fill="auto" w:val="clear"/>
            <w:vAlign w:val="center"/>
          </w:tcPr>
          <w:p>
            <w:pPr>
              <w:pStyle w:val="TableContents"/>
              <w:spacing w:before="0" w:after="283"/>
              <w:rPr>
                <w:sz w:val="4"/>
                <w:szCs w:val="4"/>
              </w:rPr>
            </w:pPr>
            <w:r>
              <w:rPr>
                <w:sz w:val="4"/>
                <w:szCs w:val="4"/>
              </w:rPr>
            </w:r>
          </w:p>
        </w:tc>
      </w:tr>
      <w:tr>
        <w:trPr/>
        <w:tc>
          <w:tcPr>
            <w:tcW w:w="1163" w:type="dxa"/>
            <w:tcBorders/>
            <w:shd w:fill="auto" w:val="clear"/>
          </w:tcPr>
          <w:p>
            <w:pPr>
              <w:pStyle w:val="TableContents"/>
              <w:spacing w:before="0" w:after="283"/>
              <w:rPr/>
            </w:pPr>
            <w:r>
              <w:rPr>
                <w:b/>
              </w:rPr>
              <w:t>Item 2.02.</w:t>
            </w:r>
            <w:r>
              <w:rPr/>
              <w:t> </w:t>
            </w:r>
          </w:p>
        </w:tc>
        <w:tc>
          <w:tcPr>
            <w:tcW w:w="9042" w:type="dxa"/>
            <w:tcBorders/>
            <w:shd w:fill="auto" w:val="clear"/>
          </w:tcPr>
          <w:p>
            <w:pPr>
              <w:pStyle w:val="TableContents"/>
              <w:spacing w:before="0" w:after="283"/>
              <w:rPr>
                <w:b/>
              </w:rPr>
            </w:pPr>
            <w:r>
              <w:rPr>
                <w:b/>
              </w:rPr>
              <w:t>Results of Operations and Financial Condition.</w:t>
            </w:r>
          </w:p>
        </w:tc>
      </w:tr>
    </w:tbl>
    <w:tbl>
      <w:tblPr>
        <w:tblW w:w="5000" w:type="pct"/>
        <w:jc w:val="left"/>
        <w:tblInd w:w="0" w:type="dxa"/>
        <w:tblCellMar>
          <w:top w:w="0" w:type="dxa"/>
          <w:left w:w="0" w:type="dxa"/>
          <w:bottom w:w="0" w:type="dxa"/>
          <w:right w:w="0" w:type="dxa"/>
        </w:tblCellMar>
      </w:tblPr>
      <w:tblGrid>
        <w:gridCol w:w="508"/>
        <w:gridCol w:w="414"/>
        <w:gridCol w:w="9283"/>
      </w:tblGrid>
      <w:tr>
        <w:trPr/>
        <w:tc>
          <w:tcPr>
            <w:tcW w:w="508" w:type="dxa"/>
            <w:tcBorders/>
            <w:shd w:fill="auto" w:val="clear"/>
          </w:tcPr>
          <w:p>
            <w:pPr>
              <w:pStyle w:val="TableContents"/>
              <w:spacing w:before="0" w:after="283"/>
              <w:rPr/>
            </w:pPr>
            <w:r>
              <w:rPr/>
              <w:t> </w:t>
            </w:r>
          </w:p>
        </w:tc>
        <w:tc>
          <w:tcPr>
            <w:tcW w:w="414" w:type="dxa"/>
            <w:tcBorders/>
            <w:shd w:fill="auto" w:val="clear"/>
          </w:tcPr>
          <w:p>
            <w:pPr>
              <w:pStyle w:val="TableContents"/>
              <w:spacing w:before="0" w:after="283"/>
              <w:jc w:val="left"/>
              <w:rPr/>
            </w:pPr>
            <w:r>
              <w:rPr/>
              <w:t>(a)  </w:t>
            </w:r>
          </w:p>
        </w:tc>
        <w:tc>
          <w:tcPr>
            <w:tcW w:w="9283" w:type="dxa"/>
            <w:tcBorders/>
            <w:shd w:fill="auto" w:val="clear"/>
          </w:tcPr>
          <w:p>
            <w:pPr>
              <w:pStyle w:val="TableContents"/>
              <w:spacing w:before="0" w:after="283"/>
              <w:rPr/>
            </w:pPr>
            <w:r>
              <w:rPr/>
              <w:t>On June 6, 2005, we issued a press release containing our financial results for the quarter and six-months ended April 30, 2005. A copy of our press release is attached hereto as Exhibit 99.1 and is incorporated by reference.</w:t>
            </w:r>
          </w:p>
        </w:tc>
      </w:tr>
    </w:tbl>
    <w:tbl>
      <w:tblPr>
        <w:tblW w:w="5000" w:type="pct"/>
        <w:jc w:val="left"/>
        <w:tblInd w:w="0" w:type="dxa"/>
        <w:tblCellMar>
          <w:top w:w="30" w:type="dxa"/>
          <w:left w:w="30" w:type="dxa"/>
          <w:bottom w:w="30" w:type="dxa"/>
          <w:right w:w="30" w:type="dxa"/>
        </w:tblCellMar>
      </w:tblPr>
      <w:tblGrid>
        <w:gridCol w:w="1158"/>
        <w:gridCol w:w="9047"/>
      </w:tblGrid>
      <w:tr>
        <w:trPr/>
        <w:tc>
          <w:tcPr>
            <w:tcW w:w="1158" w:type="dxa"/>
            <w:tcBorders/>
            <w:shd w:fill="auto" w:val="clear"/>
            <w:vAlign w:val="center"/>
          </w:tcPr>
          <w:p>
            <w:pPr>
              <w:pStyle w:val="TableContents"/>
              <w:spacing w:before="0" w:after="283"/>
              <w:rPr>
                <w:sz w:val="4"/>
                <w:szCs w:val="4"/>
              </w:rPr>
            </w:pPr>
            <w:r>
              <w:rPr>
                <w:sz w:val="4"/>
                <w:szCs w:val="4"/>
              </w:rPr>
            </w:r>
          </w:p>
        </w:tc>
        <w:tc>
          <w:tcPr>
            <w:tcW w:w="9047" w:type="dxa"/>
            <w:tcBorders/>
            <w:shd w:fill="auto" w:val="clear"/>
            <w:vAlign w:val="center"/>
          </w:tcPr>
          <w:p>
            <w:pPr>
              <w:pStyle w:val="TableContents"/>
              <w:spacing w:before="0" w:after="283"/>
              <w:rPr>
                <w:sz w:val="4"/>
                <w:szCs w:val="4"/>
              </w:rPr>
            </w:pPr>
            <w:r>
              <w:rPr>
                <w:sz w:val="4"/>
                <w:szCs w:val="4"/>
              </w:rPr>
            </w:r>
          </w:p>
        </w:tc>
      </w:tr>
      <w:tr>
        <w:trPr/>
        <w:tc>
          <w:tcPr>
            <w:tcW w:w="1158" w:type="dxa"/>
            <w:tcBorders/>
            <w:shd w:fill="auto" w:val="clear"/>
          </w:tcPr>
          <w:p>
            <w:pPr>
              <w:pStyle w:val="TableContents"/>
              <w:spacing w:before="0" w:after="283"/>
              <w:rPr/>
            </w:pPr>
            <w:r>
              <w:rPr>
                <w:b/>
              </w:rPr>
              <w:t>Item 9.01.</w:t>
            </w:r>
            <w:r>
              <w:rPr/>
              <w:t> </w:t>
            </w:r>
          </w:p>
        </w:tc>
        <w:tc>
          <w:tcPr>
            <w:tcW w:w="9047" w:type="dxa"/>
            <w:tcBorders/>
            <w:shd w:fill="auto" w:val="clear"/>
          </w:tcPr>
          <w:p>
            <w:pPr>
              <w:pStyle w:val="TableContents"/>
              <w:spacing w:before="0" w:after="283"/>
              <w:rPr>
                <w:b/>
              </w:rPr>
            </w:pPr>
            <w:r>
              <w:rPr>
                <w:b/>
              </w:rPr>
              <w:t>Financial Statements and Exhibits.</w:t>
            </w:r>
          </w:p>
        </w:tc>
      </w:tr>
    </w:tbl>
    <w:tbl>
      <w:tblPr>
        <w:tblW w:w="5000" w:type="pct"/>
        <w:jc w:val="left"/>
        <w:tblInd w:w="0" w:type="dxa"/>
        <w:tblCellMar>
          <w:top w:w="0" w:type="dxa"/>
          <w:left w:w="0" w:type="dxa"/>
          <w:bottom w:w="0" w:type="dxa"/>
          <w:right w:w="0" w:type="dxa"/>
        </w:tblCellMar>
      </w:tblPr>
      <w:tblGrid>
        <w:gridCol w:w="509"/>
        <w:gridCol w:w="422"/>
        <w:gridCol w:w="9274"/>
      </w:tblGrid>
      <w:tr>
        <w:trPr/>
        <w:tc>
          <w:tcPr>
            <w:tcW w:w="509" w:type="dxa"/>
            <w:tcBorders/>
            <w:shd w:fill="auto" w:val="clear"/>
          </w:tcPr>
          <w:p>
            <w:pPr>
              <w:pStyle w:val="TableContents"/>
              <w:spacing w:before="0" w:after="283"/>
              <w:rPr/>
            </w:pPr>
            <w:r>
              <w:rPr/>
              <w:t> </w:t>
            </w:r>
          </w:p>
        </w:tc>
        <w:tc>
          <w:tcPr>
            <w:tcW w:w="422" w:type="dxa"/>
            <w:tcBorders/>
            <w:shd w:fill="auto" w:val="clear"/>
          </w:tcPr>
          <w:p>
            <w:pPr>
              <w:pStyle w:val="TableContents"/>
              <w:spacing w:before="0" w:after="283"/>
              <w:jc w:val="left"/>
              <w:rPr/>
            </w:pPr>
            <w:r>
              <w:rPr/>
              <w:t>(b)  </w:t>
            </w:r>
          </w:p>
        </w:tc>
        <w:tc>
          <w:tcPr>
            <w:tcW w:w="9274" w:type="dxa"/>
            <w:tcBorders/>
            <w:shd w:fill="auto" w:val="clear"/>
          </w:tcPr>
          <w:p>
            <w:pPr>
              <w:pStyle w:val="TableContents"/>
              <w:spacing w:before="0" w:after="283"/>
              <w:rPr/>
            </w:pPr>
            <w:r>
              <w:rPr/>
              <w:t>Exhibits</w:t>
            </w:r>
          </w:p>
        </w:tc>
      </w:tr>
    </w:tbl>
    <w:tbl>
      <w:tblPr>
        <w:tblW w:w="5000" w:type="pct"/>
        <w:jc w:val="left"/>
        <w:tblInd w:w="0" w:type="dxa"/>
        <w:tblCellMar>
          <w:top w:w="0" w:type="dxa"/>
          <w:left w:w="0" w:type="dxa"/>
          <w:bottom w:w="0" w:type="dxa"/>
          <w:right w:w="0" w:type="dxa"/>
        </w:tblCellMar>
      </w:tblPr>
      <w:tblGrid>
        <w:gridCol w:w="980"/>
        <w:gridCol w:w="587"/>
        <w:gridCol w:w="8638"/>
      </w:tblGrid>
      <w:tr>
        <w:trPr/>
        <w:tc>
          <w:tcPr>
            <w:tcW w:w="980" w:type="dxa"/>
            <w:tcBorders/>
            <w:shd w:fill="auto" w:val="clear"/>
          </w:tcPr>
          <w:p>
            <w:pPr>
              <w:pStyle w:val="TableContents"/>
              <w:spacing w:before="0" w:after="283"/>
              <w:rPr/>
            </w:pPr>
            <w:r>
              <w:rPr/>
              <w:t> </w:t>
            </w:r>
          </w:p>
        </w:tc>
        <w:tc>
          <w:tcPr>
            <w:tcW w:w="587" w:type="dxa"/>
            <w:tcBorders/>
            <w:shd w:fill="auto" w:val="clear"/>
          </w:tcPr>
          <w:p>
            <w:pPr>
              <w:pStyle w:val="TableContents"/>
              <w:spacing w:before="0" w:after="283"/>
              <w:jc w:val="left"/>
              <w:rPr/>
            </w:pPr>
            <w:r>
              <w:rPr/>
              <w:t>99.1  </w:t>
            </w:r>
          </w:p>
        </w:tc>
        <w:tc>
          <w:tcPr>
            <w:tcW w:w="8638" w:type="dxa"/>
            <w:tcBorders/>
            <w:shd w:fill="auto" w:val="clear"/>
          </w:tcPr>
          <w:p>
            <w:pPr>
              <w:pStyle w:val="TableContents"/>
              <w:spacing w:before="0" w:after="283"/>
              <w:rPr/>
            </w:pPr>
            <w:r>
              <w:rPr/>
              <w:t>Press Release dated June 6, 2005 of the Registrant.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jc w:val="center"/>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74"/>
        <w:gridCol w:w="681"/>
        <w:gridCol w:w="805"/>
        <w:gridCol w:w="3051"/>
        <w:gridCol w:w="1294"/>
      </w:tblGrid>
      <w:tr>
        <w:trPr/>
        <w:tc>
          <w:tcPr>
            <w:tcW w:w="4374" w:type="dxa"/>
            <w:tcBorders/>
            <w:shd w:fill="auto" w:val="clear"/>
            <w:vAlign w:val="center"/>
          </w:tcPr>
          <w:p>
            <w:pPr>
              <w:pStyle w:val="TableContents"/>
              <w:spacing w:before="0" w:after="283"/>
              <w:rPr/>
            </w:pPr>
            <w:r>
              <w:rPr/>
              <w:t> </w:t>
            </w:r>
          </w:p>
        </w:tc>
        <w:tc>
          <w:tcPr>
            <w:tcW w:w="681" w:type="dxa"/>
            <w:tcBorders/>
            <w:shd w:fill="auto" w:val="clear"/>
            <w:vAlign w:val="center"/>
          </w:tcPr>
          <w:p>
            <w:pPr>
              <w:pStyle w:val="TableContents"/>
              <w:spacing w:before="0" w:after="283"/>
              <w:rPr/>
            </w:pPr>
            <w:r>
              <w:rPr/>
              <w:t> </w:t>
            </w:r>
          </w:p>
        </w:tc>
        <w:tc>
          <w:tcPr>
            <w:tcW w:w="805" w:type="dxa"/>
            <w:tcBorders/>
            <w:shd w:fill="auto" w:val="clear"/>
            <w:vAlign w:val="center"/>
          </w:tcPr>
          <w:p>
            <w:pPr>
              <w:pStyle w:val="TableContents"/>
              <w:spacing w:before="0" w:after="283"/>
              <w:rPr/>
            </w:pPr>
            <w:r>
              <w:rPr/>
              <w:t> </w:t>
            </w:r>
          </w:p>
        </w:tc>
        <w:tc>
          <w:tcPr>
            <w:tcW w:w="3051" w:type="dxa"/>
            <w:tcBorders/>
            <w:shd w:fill="auto" w:val="clear"/>
            <w:vAlign w:val="center"/>
          </w:tcPr>
          <w:p>
            <w:pPr>
              <w:pStyle w:val="TableContents"/>
              <w:spacing w:before="0" w:after="283"/>
              <w:rPr/>
            </w:pPr>
            <w:r>
              <w:rPr/>
              <w:t> </w:t>
            </w:r>
          </w:p>
        </w:tc>
        <w:tc>
          <w:tcPr>
            <w:tcW w:w="1294" w:type="dxa"/>
            <w:tcBorders/>
            <w:shd w:fill="auto" w:val="clear"/>
            <w:vAlign w:val="center"/>
          </w:tcPr>
          <w:p>
            <w:pPr>
              <w:pStyle w:val="TableContents"/>
              <w:spacing w:before="0" w:after="283"/>
              <w:rPr/>
            </w:pPr>
            <w:r>
              <w:rPr/>
              <w:t> </w:t>
            </w:r>
          </w:p>
        </w:tc>
      </w:tr>
      <w:tr>
        <w:trPr/>
        <w:tc>
          <w:tcPr>
            <w:tcW w:w="4374" w:type="dxa"/>
            <w:tcBorders/>
            <w:shd w:fill="auto" w:val="clear"/>
          </w:tcPr>
          <w:p>
            <w:pPr>
              <w:pStyle w:val="TableContents"/>
              <w:spacing w:before="0" w:after="283"/>
              <w:jc w:val="left"/>
              <w:rPr/>
            </w:pPr>
            <w:r>
              <w:rPr/>
              <w:t> </w:t>
            </w:r>
          </w:p>
        </w:tc>
        <w:tc>
          <w:tcPr>
            <w:tcW w:w="4537" w:type="dxa"/>
            <w:gridSpan w:val="3"/>
            <w:tcBorders/>
            <w:shd w:fill="auto" w:val="clear"/>
            <w:vAlign w:val="center"/>
          </w:tcPr>
          <w:p>
            <w:pPr>
              <w:pStyle w:val="TableContents"/>
              <w:spacing w:before="0" w:after="283"/>
              <w:jc w:val="left"/>
              <w:rPr/>
            </w:pPr>
            <w:r>
              <w:rPr/>
              <w:t>Calavo Growers, Inc.</w:t>
              <w:br/>
              <w:t> </w:t>
            </w:r>
          </w:p>
        </w:tc>
        <w:tc>
          <w:tcPr>
            <w:tcW w:w="1294" w:type="dxa"/>
            <w:tcBorders/>
            <w:shd w:fill="auto" w:val="clear"/>
            <w:vAlign w:val="center"/>
          </w:tcPr>
          <w:p>
            <w:pPr>
              <w:pStyle w:val="TableContents"/>
              <w:spacing w:before="0" w:after="283"/>
              <w:rPr/>
            </w:pPr>
            <w:r>
              <w:rPr/>
              <w:t> </w:t>
            </w:r>
          </w:p>
        </w:tc>
      </w:tr>
      <w:tr>
        <w:trPr/>
        <w:tc>
          <w:tcPr>
            <w:tcW w:w="4374" w:type="dxa"/>
            <w:tcBorders/>
            <w:shd w:fill="auto" w:val="clear"/>
            <w:vAlign w:val="center"/>
          </w:tcPr>
          <w:p>
            <w:pPr>
              <w:pStyle w:val="TableContents"/>
              <w:spacing w:before="0" w:after="283"/>
              <w:jc w:val="left"/>
              <w:rPr/>
            </w:pPr>
            <w:r>
              <w:rPr/>
              <w:t>June 6, 2005 </w:t>
            </w:r>
          </w:p>
        </w:tc>
        <w:tc>
          <w:tcPr>
            <w:tcW w:w="681" w:type="dxa"/>
            <w:tcBorders/>
            <w:shd w:fill="auto" w:val="clear"/>
          </w:tcPr>
          <w:p>
            <w:pPr>
              <w:pStyle w:val="TableContents"/>
              <w:spacing w:before="0" w:after="283"/>
              <w:rPr/>
            </w:pPr>
            <w:r>
              <w:rPr/>
              <w:t>By:  </w:t>
            </w:r>
          </w:p>
        </w:tc>
        <w:tc>
          <w:tcPr>
            <w:tcW w:w="3856" w:type="dxa"/>
            <w:gridSpan w:val="2"/>
            <w:tcBorders>
              <w:bottom w:val="single" w:sz="2" w:space="0" w:color="000000"/>
            </w:tcBorders>
            <w:shd w:fill="auto" w:val="clear"/>
            <w:tcMar>
              <w:bottom w:w="28" w:type="dxa"/>
            </w:tcMar>
            <w:vAlign w:val="center"/>
          </w:tcPr>
          <w:p>
            <w:pPr>
              <w:pStyle w:val="TableContents"/>
              <w:spacing w:before="0" w:after="283"/>
              <w:jc w:val="left"/>
              <w:rPr/>
            </w:pPr>
            <w:r>
              <w:rPr/>
              <w:t>/s/ Lecil E. Cole  </w:t>
            </w:r>
          </w:p>
        </w:tc>
        <w:tc>
          <w:tcPr>
            <w:tcW w:w="1294" w:type="dxa"/>
            <w:tcBorders/>
            <w:shd w:fill="auto" w:val="clear"/>
            <w:vAlign w:val="center"/>
          </w:tcPr>
          <w:p>
            <w:pPr>
              <w:pStyle w:val="TableContents"/>
              <w:spacing w:before="0" w:after="283"/>
              <w:rPr/>
            </w:pPr>
            <w:r>
              <w:rPr/>
              <w:t> </w:t>
            </w:r>
          </w:p>
        </w:tc>
      </w:tr>
      <w:tr>
        <w:trPr/>
        <w:tc>
          <w:tcPr>
            <w:tcW w:w="4374" w:type="dxa"/>
            <w:tcBorders/>
            <w:shd w:fill="auto" w:val="clear"/>
            <w:vAlign w:val="center"/>
          </w:tcPr>
          <w:p>
            <w:pPr>
              <w:pStyle w:val="TableContents"/>
              <w:spacing w:before="0" w:after="283"/>
              <w:jc w:val="left"/>
              <w:rPr/>
            </w:pPr>
            <w:r>
              <w:rPr/>
              <w:t> </w:t>
            </w:r>
          </w:p>
        </w:tc>
        <w:tc>
          <w:tcPr>
            <w:tcW w:w="681" w:type="dxa"/>
            <w:tcBorders/>
            <w:shd w:fill="auto" w:val="clear"/>
            <w:vAlign w:val="center"/>
          </w:tcPr>
          <w:p>
            <w:pPr>
              <w:pStyle w:val="TableContents"/>
              <w:spacing w:before="0" w:after="283"/>
              <w:rPr/>
            </w:pPr>
            <w:r>
              <w:rPr/>
              <w:t> </w:t>
            </w:r>
          </w:p>
        </w:tc>
        <w:tc>
          <w:tcPr>
            <w:tcW w:w="3856" w:type="dxa"/>
            <w:gridSpan w:val="2"/>
            <w:tcBorders/>
            <w:shd w:fill="auto" w:val="clear"/>
            <w:vAlign w:val="center"/>
          </w:tcPr>
          <w:p>
            <w:pPr>
              <w:pStyle w:val="TableContents"/>
              <w:spacing w:before="0" w:after="283"/>
              <w:jc w:val="left"/>
              <w:rPr/>
            </w:pPr>
            <w:r>
              <w:rPr/>
              <w:t>Lecil E. Cole </w:t>
            </w:r>
          </w:p>
        </w:tc>
        <w:tc>
          <w:tcPr>
            <w:tcW w:w="1294" w:type="dxa"/>
            <w:tcBorders/>
            <w:shd w:fill="auto" w:val="clear"/>
            <w:vAlign w:val="center"/>
          </w:tcPr>
          <w:p>
            <w:pPr>
              <w:pStyle w:val="TableContents"/>
              <w:spacing w:before="0" w:after="283"/>
              <w:rPr/>
            </w:pPr>
            <w:r>
              <w:rPr/>
              <w:t> </w:t>
            </w:r>
          </w:p>
        </w:tc>
      </w:tr>
      <w:tr>
        <w:trPr/>
        <w:tc>
          <w:tcPr>
            <w:tcW w:w="4374" w:type="dxa"/>
            <w:tcBorders/>
            <w:shd w:fill="auto" w:val="clear"/>
            <w:vAlign w:val="center"/>
          </w:tcPr>
          <w:p>
            <w:pPr>
              <w:pStyle w:val="TableContents"/>
              <w:spacing w:before="0" w:after="283"/>
              <w:jc w:val="left"/>
              <w:rPr/>
            </w:pPr>
            <w:r>
              <w:rPr/>
              <w:t> </w:t>
            </w:r>
          </w:p>
        </w:tc>
        <w:tc>
          <w:tcPr>
            <w:tcW w:w="681" w:type="dxa"/>
            <w:tcBorders/>
            <w:shd w:fill="auto" w:val="clear"/>
            <w:vAlign w:val="center"/>
          </w:tcPr>
          <w:p>
            <w:pPr>
              <w:pStyle w:val="TableContents"/>
              <w:spacing w:before="0" w:after="283"/>
              <w:rPr/>
            </w:pPr>
            <w:r>
              <w:rPr/>
              <w:t> </w:t>
            </w:r>
          </w:p>
        </w:tc>
        <w:tc>
          <w:tcPr>
            <w:tcW w:w="3856" w:type="dxa"/>
            <w:gridSpan w:val="2"/>
            <w:tcBorders/>
            <w:shd w:fill="auto" w:val="clear"/>
            <w:vAlign w:val="center"/>
          </w:tcPr>
          <w:p>
            <w:pPr>
              <w:pStyle w:val="TableContents"/>
              <w:spacing w:before="0" w:after="283"/>
              <w:jc w:val="left"/>
              <w:rPr/>
            </w:pPr>
            <w:r>
              <w:rPr/>
              <w:t xml:space="preserve">Chairman of the Board of Directors, </w:t>
              <w:br/>
              <w:t>Chief Executive Officer and President</w:t>
              <w:br/>
              <w:t>(Principal Executive Officer)</w:t>
            </w:r>
          </w:p>
        </w:tc>
        <w:tc>
          <w:tcPr>
            <w:tcW w:w="1294" w:type="dxa"/>
            <w:tcBorders/>
            <w:shd w:fill="auto" w:val="clear"/>
            <w:vAlign w:val="center"/>
          </w:tcPr>
          <w:p>
            <w:pPr>
              <w:pStyle w:val="TableContents"/>
              <w:spacing w:before="0" w:after="283"/>
              <w:rPr/>
            </w:pPr>
            <w:r>
              <w:rPr/>
              <w:t> </w:t>
            </w:r>
          </w:p>
        </w:tc>
      </w:tr>
      <w:tr>
        <w:trPr/>
        <w:tc>
          <w:tcPr>
            <w:tcW w:w="4374" w:type="dxa"/>
            <w:tcBorders/>
            <w:shd w:fill="auto" w:val="clear"/>
            <w:vAlign w:val="center"/>
          </w:tcPr>
          <w:p>
            <w:pPr>
              <w:pStyle w:val="TableContents"/>
              <w:spacing w:before="0" w:after="283"/>
              <w:jc w:val="left"/>
              <w:rPr/>
            </w:pPr>
            <w:r>
              <w:rPr/>
              <w:t> </w:t>
            </w:r>
          </w:p>
        </w:tc>
        <w:tc>
          <w:tcPr>
            <w:tcW w:w="681" w:type="dxa"/>
            <w:tcBorders/>
            <w:shd w:fill="auto" w:val="clear"/>
          </w:tcPr>
          <w:p>
            <w:pPr>
              <w:pStyle w:val="TableContents"/>
              <w:spacing w:before="0" w:after="283"/>
              <w:rPr/>
            </w:pPr>
            <w:r>
              <w:rPr/>
              <w:t>  </w:t>
            </w:r>
          </w:p>
        </w:tc>
        <w:tc>
          <w:tcPr>
            <w:tcW w:w="3856"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p>
        </w:tc>
        <w:tc>
          <w:tcPr>
            <w:tcW w:w="1294"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r>
        <w:br w:type="page"/>
      </w:r>
    </w:p>
    <w:p>
      <w:pPr>
        <w:pStyle w:val="Heading5"/>
        <w:jc w:val="left"/>
        <w:rPr/>
      </w:pPr>
      <w:bookmarkStart w:id="2" w:name="v09822exv99w1.htm"/>
      <w:bookmarkStart w:id="3" w:name="ksv09822exv99w1"/>
      <w:bookmarkEnd w:id="2"/>
      <w:bookmarkEnd w:id="3"/>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jc w:val="right"/>
        <w:rPr>
          <w:rFonts w:ascii="Times New Roman;Times;serif" w:hAnsi="Times New Roman;Times;serif"/>
          <w:sz w:val="17"/>
        </w:rPr>
      </w:pPr>
      <w:r>
        <w:rPr>
          <w:rFonts w:ascii="Times New Roman;Times;serif" w:hAnsi="Times New Roman;Times;serif"/>
          <w:b/>
          <w:sz w:val="17"/>
        </w:rPr>
        <w:t>Exhibit 99.1</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sz w:val="17"/>
        </w:rPr>
        <w:t xml:space="preserve">Calavo Growers, Inc. </w:t>
      </w:r>
    </w:p>
    <w:p>
      <w:pPr>
        <w:pStyle w:val="TextBody"/>
        <w:jc w:val="left"/>
        <w:rPr>
          <w:rFonts w:ascii="Times New Roman;Times;serif" w:hAnsi="Times New Roman;Times;serif"/>
          <w:sz w:val="17"/>
        </w:rPr>
      </w:pPr>
      <w:r>
        <w:rPr>
          <w:rFonts w:ascii="Times New Roman;Times;serif" w:hAnsi="Times New Roman;Times;serif"/>
          <w:sz w:val="17"/>
        </w:rPr>
        <w:t>Lee Cole, Calavo Growers, Inc.</w:t>
        <w:br/>
        <w:t>805-525-1245</w:t>
        <w:br/>
        <w:t>or</w:t>
        <w:br/>
        <w:t>Jerry Freisleben, Foley/Freisleben LLC</w:t>
        <w:br/>
        <w:t xml:space="preserve">213-955-0020 </w:t>
      </w:r>
    </w:p>
    <w:p>
      <w:pPr>
        <w:pStyle w:val="TextBody"/>
        <w:jc w:val="center"/>
        <w:rPr>
          <w:rFonts w:ascii="Times New Roman;Times;serif" w:hAnsi="Times New Roman;Times;serif"/>
          <w:sz w:val="17"/>
        </w:rPr>
      </w:pPr>
      <w:r>
        <w:rPr>
          <w:rFonts w:ascii="Times New Roman;Times;serif" w:hAnsi="Times New Roman;Times;serif"/>
          <w:b/>
          <w:sz w:val="17"/>
        </w:rPr>
        <w:t>CALAVO GROWERS, INC. ANNOUNCES FISCAL 2005</w:t>
        <w:br/>
        <w:t>SECOND QUARTER AND FIRST HALF RESULTS</w:t>
      </w:r>
      <w:r>
        <w:rPr>
          <w:rFonts w:ascii="Times New Roman;Times;serif" w:hAnsi="Times New Roman;Times;serif"/>
          <w:sz w:val="17"/>
        </w:rPr>
        <w:t xml:space="preserve"> </w:t>
      </w:r>
    </w:p>
    <w:p>
      <w:pPr>
        <w:pStyle w:val="HorizontalLine"/>
        <w:pBdr>
          <w:bottom w:val="single" w:sz="6" w:space="0" w:color="000000"/>
        </w:pBdr>
        <w:ind w:left="3776" w:right="3776" w:hanging="0"/>
        <w:rPr/>
      </w:pPr>
      <w:r>
        <w:rPr/>
      </w:r>
    </w:p>
    <w:p>
      <w:pPr>
        <w:pStyle w:val="TextBody"/>
        <w:jc w:val="left"/>
        <w:rPr>
          <w:rFonts w:ascii="Times New Roman;Times;serif" w:hAnsi="Times New Roman;Times;serif"/>
          <w:sz w:val="17"/>
        </w:rPr>
      </w:pPr>
      <w:r>
        <w:rPr>
          <w:rFonts w:ascii="Times New Roman;Times;serif" w:hAnsi="Times New Roman;Times;serif"/>
          <w:sz w:val="17"/>
        </w:rPr>
        <w:t xml:space="preserve">Quarterly Highlights Include: </w:t>
      </w:r>
    </w:p>
    <w:tbl>
      <w:tblPr>
        <w:tblW w:w="5000" w:type="pct"/>
        <w:jc w:val="left"/>
        <w:tblInd w:w="0" w:type="dxa"/>
        <w:tblCellMar>
          <w:top w:w="0" w:type="dxa"/>
          <w:left w:w="0" w:type="dxa"/>
          <w:bottom w:w="0" w:type="dxa"/>
          <w:right w:w="0" w:type="dxa"/>
        </w:tblCellMar>
      </w:tblPr>
      <w:tblGrid>
        <w:gridCol w:w="513"/>
        <w:gridCol w:w="411"/>
        <w:gridCol w:w="9257"/>
        <w:gridCol w:w="24"/>
      </w:tblGrid>
      <w:tr>
        <w:trPr/>
        <w:tc>
          <w:tcPr>
            <w:tcW w:w="513" w:type="dxa"/>
            <w:tcBorders/>
            <w:shd w:fill="auto" w:val="clear"/>
          </w:tcPr>
          <w:p>
            <w:pPr>
              <w:pStyle w:val="TableContents"/>
              <w:spacing w:before="0" w:after="283"/>
              <w:rPr/>
            </w:pPr>
            <w:r>
              <w:rPr/>
              <w:t> </w:t>
            </w:r>
          </w:p>
        </w:tc>
        <w:tc>
          <w:tcPr>
            <w:tcW w:w="411" w:type="dxa"/>
            <w:tcBorders/>
            <w:shd w:fill="auto" w:val="clear"/>
          </w:tcPr>
          <w:p>
            <w:pPr>
              <w:pStyle w:val="TableContents"/>
              <w:spacing w:before="0" w:after="283"/>
              <w:jc w:val="left"/>
              <w:rPr/>
            </w:pPr>
            <w:r>
              <w:rPr/>
              <w:t>  </w:t>
            </w:r>
          </w:p>
        </w:tc>
        <w:tc>
          <w:tcPr>
            <w:tcW w:w="9257" w:type="dxa"/>
            <w:tcBorders/>
            <w:shd w:fill="auto" w:val="clear"/>
          </w:tcPr>
          <w:p>
            <w:pPr>
              <w:pStyle w:val="TableContents"/>
              <w:spacing w:before="0" w:after="283"/>
              <w:rPr/>
            </w:pPr>
            <w:r>
              <w:rPr/>
              <w:t>International Avocado Segment Sales Rise By $3.5 million</w:t>
            </w:r>
          </w:p>
        </w:tc>
        <w:tc>
          <w:tcPr>
            <w:tcW w:w="24"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513" w:type="dxa"/>
            <w:tcBorders/>
            <w:shd w:fill="auto" w:val="clear"/>
          </w:tcPr>
          <w:p>
            <w:pPr>
              <w:pStyle w:val="TableContents"/>
              <w:spacing w:before="0" w:after="283"/>
              <w:rPr/>
            </w:pPr>
            <w:r>
              <w:rPr/>
              <w:t> </w:t>
            </w:r>
          </w:p>
        </w:tc>
        <w:tc>
          <w:tcPr>
            <w:tcW w:w="411" w:type="dxa"/>
            <w:tcBorders/>
            <w:shd w:fill="auto" w:val="clear"/>
          </w:tcPr>
          <w:p>
            <w:pPr>
              <w:pStyle w:val="TableContents"/>
              <w:spacing w:before="0" w:after="283"/>
              <w:jc w:val="left"/>
              <w:rPr/>
            </w:pPr>
            <w:r>
              <w:rPr/>
              <w:t>  </w:t>
            </w:r>
          </w:p>
        </w:tc>
        <w:tc>
          <w:tcPr>
            <w:tcW w:w="9257" w:type="dxa"/>
            <w:tcBorders/>
            <w:shd w:fill="auto" w:val="clear"/>
          </w:tcPr>
          <w:p>
            <w:pPr>
              <w:pStyle w:val="TableContents"/>
              <w:spacing w:before="0" w:after="283"/>
              <w:rPr/>
            </w:pPr>
            <w:r>
              <w:rPr/>
              <w:t>Maui Fresh Registers Solid Contribution to International Segment Results</w:t>
            </w:r>
          </w:p>
        </w:tc>
        <w:tc>
          <w:tcPr>
            <w:tcW w:w="24"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513" w:type="dxa"/>
            <w:tcBorders/>
            <w:shd w:fill="auto" w:val="clear"/>
          </w:tcPr>
          <w:p>
            <w:pPr>
              <w:pStyle w:val="TableContents"/>
              <w:spacing w:before="0" w:after="283"/>
              <w:rPr/>
            </w:pPr>
            <w:r>
              <w:rPr/>
              <w:t> </w:t>
            </w:r>
          </w:p>
        </w:tc>
        <w:tc>
          <w:tcPr>
            <w:tcW w:w="411" w:type="dxa"/>
            <w:tcBorders/>
            <w:shd w:fill="auto" w:val="clear"/>
          </w:tcPr>
          <w:p>
            <w:pPr>
              <w:pStyle w:val="TableContents"/>
              <w:spacing w:before="0" w:after="283"/>
              <w:jc w:val="left"/>
              <w:rPr/>
            </w:pPr>
            <w:r>
              <w:rPr/>
              <w:t>  </w:t>
            </w:r>
          </w:p>
        </w:tc>
        <w:tc>
          <w:tcPr>
            <w:tcW w:w="9257" w:type="dxa"/>
            <w:tcBorders/>
            <w:shd w:fill="auto" w:val="clear"/>
          </w:tcPr>
          <w:p>
            <w:pPr>
              <w:pStyle w:val="TableContents"/>
              <w:spacing w:before="0" w:after="283"/>
              <w:rPr/>
            </w:pPr>
            <w:r>
              <w:rPr/>
              <w:t>Ultra-High-Pressure Guacamole Accounts for More Than 20 Percent of Total Processed Product Sales</w:t>
            </w:r>
          </w:p>
        </w:tc>
        <w:tc>
          <w:tcPr>
            <w:tcW w:w="24"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513" w:type="dxa"/>
            <w:tcBorders/>
            <w:shd w:fill="auto" w:val="clear"/>
          </w:tcPr>
          <w:p>
            <w:pPr>
              <w:pStyle w:val="TableContents"/>
              <w:spacing w:before="0" w:after="283"/>
              <w:rPr/>
            </w:pPr>
            <w:r>
              <w:rPr/>
              <w:t> </w:t>
            </w:r>
          </w:p>
        </w:tc>
        <w:tc>
          <w:tcPr>
            <w:tcW w:w="411" w:type="dxa"/>
            <w:tcBorders/>
            <w:shd w:fill="auto" w:val="clear"/>
          </w:tcPr>
          <w:p>
            <w:pPr>
              <w:pStyle w:val="TableContents"/>
              <w:spacing w:before="0" w:after="283"/>
              <w:jc w:val="left"/>
              <w:rPr/>
            </w:pPr>
            <w:r>
              <w:rPr/>
              <w:t>  </w:t>
            </w:r>
          </w:p>
        </w:tc>
        <w:tc>
          <w:tcPr>
            <w:tcW w:w="9257" w:type="dxa"/>
            <w:tcBorders/>
            <w:shd w:fill="auto" w:val="clear"/>
          </w:tcPr>
          <w:p>
            <w:pPr>
              <w:pStyle w:val="TableContents"/>
              <w:spacing w:before="0" w:after="283"/>
              <w:rPr/>
            </w:pPr>
            <w:r>
              <w:rPr/>
              <w:t>Company Completes Corporate Relocation to Santa Paula, Calif.</w:t>
            </w:r>
          </w:p>
        </w:tc>
        <w:tc>
          <w:tcPr>
            <w:tcW w:w="24" w:type="dxa"/>
            <w:tcBorders/>
            <w:shd w:fill="auto" w:val="clear"/>
          </w:tcPr>
          <w:p>
            <w:pPr>
              <w:pStyle w:val="TableContents"/>
              <w:spacing w:before="0" w:after="283"/>
              <w:rPr>
                <w:sz w:val="4"/>
                <w:szCs w:val="4"/>
              </w:rPr>
            </w:pPr>
            <w:r>
              <w:rPr>
                <w:sz w:val="4"/>
                <w:szCs w:val="4"/>
              </w:rPr>
            </w:r>
          </w:p>
        </w:tc>
      </w:tr>
    </w:tbl>
    <w:p>
      <w:pPr>
        <w:pStyle w:val="TextBody"/>
        <w:jc w:val="left"/>
        <w:rPr>
          <w:rFonts w:ascii="Times New Roman;Times;serif" w:hAnsi="Times New Roman;Times;serif"/>
          <w:sz w:val="17"/>
        </w:rPr>
      </w:pPr>
      <w:r>
        <w:rPr>
          <w:rFonts w:ascii="Times New Roman;Times;serif" w:hAnsi="Times New Roman;Times;serif"/>
          <w:sz w:val="17"/>
        </w:rPr>
        <w:t xml:space="preserve">SANTA PAULA, Calif. (June 6, 2005)Calavo Growers, Inc. (Nasdaq-NMS: CVGW), the global leader in packing and marketing fresh and processed avocados and other perishable food products, today reported that net income for the fiscal 2005 second quarter totaled $2.5 million, equal to $0.18 per diluted share, which compares with $2.3 million, or $0.17 per diluted share, in the comparable period one year earlier. Results in the most-recent quarter include a one-time pre-tax gain approximating $1.7 million from the sale of the companys former corporate headquarters in Santa Ana, Calif. </w:t>
      </w:r>
    </w:p>
    <w:p>
      <w:pPr>
        <w:pStyle w:val="TextBody"/>
        <w:jc w:val="left"/>
        <w:rPr/>
      </w:pPr>
      <w:r>
        <w:rPr/>
        <w:t>     </w:t>
      </w:r>
      <w:r>
        <w:rPr>
          <w:rFonts w:ascii="Times New Roman;Times;serif" w:hAnsi="Times New Roman;Times;serif"/>
          <w:sz w:val="17"/>
        </w:rPr>
        <w:t xml:space="preserve">For the three months ended April 30, 2005, Calavo posted revenues of $60.2 million versus $76.4 million in the year-earlier second quarter, primarily owing to sharply lower sales in its California avocado business segment due, in part, to the timing of the domestic harvest by Calavos growers. Earlier, Calavo had issued guidance that its California growers moderate their harvesting as a result of the over-supply of avocados in the marketplace by competing packers that served to adversely impact pricing. A cyclically smaller current-year domestic crop, persistent heavy rains in California, the initial uncertainty over the effect/impact of the year-round introduction of Mexican avocados in the U.S. marketplace, and the lower per-pound pricing also were factors in the quarterly drop in revenue. </w:t>
      </w:r>
    </w:p>
    <w:p>
      <w:pPr>
        <w:pStyle w:val="TextBody"/>
        <w:jc w:val="left"/>
        <w:rPr/>
      </w:pPr>
      <w:r>
        <w:rPr/>
        <w:t>     </w:t>
      </w:r>
      <w:r>
        <w:rPr>
          <w:rFonts w:ascii="Times New Roman;Times;serif" w:hAnsi="Times New Roman;Times;serif"/>
          <w:sz w:val="17"/>
        </w:rPr>
        <w:t xml:space="preserve">Lee E. Cole, the companys chairman, president and chief executive officer, stated: Calavo advised its growers to moderate how they pick their fruit, recognizing that too many pounds of avocados were flooding into the market, even as the size of the crop cyclically contracted from last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year. As a result, we now are seeing increased volume into our two California packinghouses and expect to realize strong quarter-to-quarter advances in both pounds and pricing during the third period, as well as increased domestic market share and returns to growers. </w:t>
      </w:r>
    </w:p>
    <w:p>
      <w:pPr>
        <w:pStyle w:val="TextBody"/>
        <w:jc w:val="left"/>
        <w:rPr/>
      </w:pPr>
      <w:r>
        <w:rPr/>
        <w:t>     </w:t>
      </w:r>
      <w:r>
        <w:rPr>
          <w:rFonts w:ascii="Times New Roman;Times;serif" w:hAnsi="Times New Roman;Times;serif"/>
          <w:sz w:val="17"/>
        </w:rPr>
        <w:t xml:space="preserve">Cole continued, saying: That despite challenging industry conditions, it is gratifying that Calavo nonetheless successfully generated more than $2 million in quarterly operating profit from its three business units. </w:t>
      </w:r>
    </w:p>
    <w:p>
      <w:pPr>
        <w:pStyle w:val="TextBody"/>
        <w:jc w:val="left"/>
        <w:rPr/>
      </w:pPr>
      <w:r>
        <w:rPr/>
        <w:t>     </w:t>
      </w:r>
      <w:r>
        <w:rPr>
          <w:rFonts w:ascii="Times New Roman;Times;serif" w:hAnsi="Times New Roman;Times;serif"/>
          <w:sz w:val="17"/>
        </w:rPr>
        <w:t xml:space="preserve">The company posted net income of $920,000, or $0.07 per diluted share, on sales of $107.9 million for the six months ended April 30, 2005. This compares with profit of $2.0 million, or $0.15 per diluted share, on sales of $125.5 million in last years first half. </w:t>
      </w:r>
    </w:p>
    <w:p>
      <w:pPr>
        <w:pStyle w:val="TextBody"/>
        <w:jc w:val="left"/>
        <w:rPr/>
      </w:pPr>
      <w:r>
        <w:rPr/>
        <w:t>     </w:t>
      </w:r>
      <w:r>
        <w:rPr>
          <w:rFonts w:ascii="Times New Roman;Times;serif" w:hAnsi="Times New Roman;Times;serif"/>
          <w:sz w:val="17"/>
        </w:rPr>
        <w:t xml:space="preserve">Cole stated that the difference in the companys bottom line year over year can be traced substantially to the before-tax effect of approximately $1.7 million in unique items incurred in fiscal 2005and accounted for in cost of sales and sales, general and administrative (SG&amp;A) expensesrelating to, among other items, substantial expenditure for implementing the procedures and financial controls required under Section 404 of the Sarbanes-Oxley Act (SOX). Of nearly $1 million in unusual SG&amp;A items incurred year to date, more than $560,000 result from SOX implementation alone, while other exceptional costs incurred include sharply higher professional fees (approximately $160,000) related to special assignments, and the recent relocation of the companys headquarters to Santa Paula (nearly $120,000), among other items. </w:t>
      </w:r>
    </w:p>
    <w:p>
      <w:pPr>
        <w:pStyle w:val="TextBody"/>
        <w:jc w:val="left"/>
        <w:rPr/>
      </w:pPr>
      <w:r>
        <w:rPr/>
        <w:t>     </w:t>
      </w:r>
      <w:r>
        <w:rPr>
          <w:rFonts w:ascii="Times New Roman;Times;serif" w:hAnsi="Times New Roman;Times;serif"/>
          <w:sz w:val="17"/>
        </w:rPr>
        <w:t xml:space="preserve">Our company remains steadfastly committed to the highest levels of corporate governance and reporting, said Cole, but the standards and practices as currently legislated by SOX come at substantial expense to Calavo and its shareholders. </w:t>
      </w:r>
    </w:p>
    <w:p>
      <w:pPr>
        <w:pStyle w:val="TextBody"/>
        <w:jc w:val="left"/>
        <w:rPr/>
      </w:pPr>
      <w:r>
        <w:rPr/>
        <w:t>     </w:t>
      </w:r>
      <w:r>
        <w:rPr>
          <w:rFonts w:ascii="Times New Roman;Times;serif" w:hAnsi="Times New Roman;Times;serif"/>
          <w:sz w:val="17"/>
        </w:rPr>
        <w:t xml:space="preserve">We are confident that these costs will normalize over time as certain Section 404 procedures become routine, but in the short term, the company expects to continue incurring substantial SOX-related expense. </w:t>
      </w:r>
    </w:p>
    <w:p>
      <w:pPr>
        <w:pStyle w:val="TextBody"/>
        <w:jc w:val="left"/>
        <w:rPr/>
      </w:pPr>
      <w:r>
        <w:rPr/>
        <w:t>     </w:t>
      </w:r>
      <w:r>
        <w:rPr>
          <w:rFonts w:ascii="Times New Roman;Times;serif" w:hAnsi="Times New Roman;Times;serif"/>
          <w:sz w:val="17"/>
        </w:rPr>
        <w:t xml:space="preserve">Unique expenses aside, the company maintains its focused commitment to a rigorous cost discipline and keeping a firm rein on operating expenses, Cole added. </w:t>
      </w:r>
    </w:p>
    <w:p>
      <w:pPr>
        <w:pStyle w:val="TextBody"/>
        <w:jc w:val="left"/>
        <w:rPr>
          <w:rFonts w:ascii="Times New Roman;Times;serif" w:hAnsi="Times New Roman;Times;serif"/>
          <w:sz w:val="17"/>
        </w:rPr>
      </w:pPr>
      <w:r>
        <w:rPr>
          <w:rFonts w:ascii="Times New Roman;Times;serif" w:hAnsi="Times New Roman;Times;serif"/>
          <w:sz w:val="17"/>
        </w:rPr>
        <w:t xml:space="preserve">California Avocados </w:t>
      </w:r>
    </w:p>
    <w:p>
      <w:pPr>
        <w:pStyle w:val="TextBody"/>
        <w:jc w:val="left"/>
        <w:rPr/>
      </w:pPr>
      <w:r>
        <w:rPr/>
        <w:t>     </w:t>
      </w:r>
      <w:r>
        <w:rPr>
          <w:rFonts w:ascii="Times New Roman;Times;serif" w:hAnsi="Times New Roman;Times;serif"/>
          <w:sz w:val="17"/>
        </w:rPr>
        <w:t xml:space="preserve">Second quarter sales in the California Avocado segment fell to $24.5 million from $44.1 million in the corresponding period last year. As stated above, a confluence of factors, most notably the companys recommendation to growers to moderate their harvestbut also a cyclically smaller crop, lower per-pound pricing, unusually wet weather, the initial uncertainty over the effect/impact of the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year-round introduction of Mexican avocados in the U.S. marketplace, and a larger volume of fruit from regions where Calavo enjoys less market sharecontributed to the fall-off in segment sales. As a result, the companys share of the California market in the second quarter declined to 27 percent, which is expected to rise markedly to historic levels in the current period as packing volumes increase. </w:t>
      </w:r>
    </w:p>
    <w:p>
      <w:pPr>
        <w:pStyle w:val="TextBody"/>
        <w:jc w:val="left"/>
        <w:rPr>
          <w:rFonts w:ascii="Times New Roman;Times;serif" w:hAnsi="Times New Roman;Times;serif"/>
          <w:sz w:val="17"/>
        </w:rPr>
      </w:pPr>
      <w:r>
        <w:rPr>
          <w:rFonts w:ascii="Times New Roman;Times;serif" w:hAnsi="Times New Roman;Times;serif"/>
          <w:sz w:val="17"/>
        </w:rPr>
        <w:t xml:space="preserve">International Avocados and Perishable Products </w:t>
      </w:r>
    </w:p>
    <w:p>
      <w:pPr>
        <w:pStyle w:val="TextBody"/>
        <w:jc w:val="left"/>
        <w:rPr/>
      </w:pPr>
      <w:r>
        <w:rPr/>
        <w:t>     </w:t>
      </w:r>
      <w:r>
        <w:rPr>
          <w:rFonts w:ascii="Times New Roman;Times;serif" w:hAnsi="Times New Roman;Times;serif"/>
          <w:sz w:val="17"/>
        </w:rPr>
        <w:t xml:space="preserve">International Avocado sales surged to more than $29.0 million in the second period, a gain of nearly $3.5 million from $25.6 million in the like quarter one year ago. U.S.D.A. import limits on Mexican avocados were formally lifted on Feb. 1, 2005, and the company acted on the opening of the market by importing 641,000 cases of fruit in the most recent period versus 472,000 in last years second quarter. Carton pricing declined slightly year-to-year. The company disclosed that its wholly owned subsidiary Maui Fresh unit enjoyed strong second quarter results which made a solid contribution to operating profit. </w:t>
      </w:r>
    </w:p>
    <w:p>
      <w:pPr>
        <w:pStyle w:val="TextBody"/>
        <w:jc w:val="left"/>
        <w:rPr>
          <w:rFonts w:ascii="Times New Roman;Times;serif" w:hAnsi="Times New Roman;Times;serif"/>
          <w:sz w:val="17"/>
        </w:rPr>
      </w:pPr>
      <w:r>
        <w:rPr>
          <w:rFonts w:ascii="Times New Roman;Times;serif" w:hAnsi="Times New Roman;Times;serif"/>
          <w:sz w:val="17"/>
        </w:rPr>
        <w:t xml:space="preserve">Processed Products </w:t>
      </w:r>
    </w:p>
    <w:p>
      <w:pPr>
        <w:pStyle w:val="TextBody"/>
        <w:jc w:val="left"/>
        <w:rPr/>
      </w:pPr>
      <w:r>
        <w:rPr/>
        <w:t>     </w:t>
      </w:r>
      <w:r>
        <w:rPr>
          <w:rFonts w:ascii="Times New Roman;Times;serif" w:hAnsi="Times New Roman;Times;serif"/>
          <w:sz w:val="17"/>
        </w:rPr>
        <w:t xml:space="preserve">Sales of $6.6 million in the Processed Product segment during the second period are substantially unchanged from the corresponding fiscal 2004 quarter. The company continues to experience increasing acceptance and demand for its ultra-high-pressure guacamole, which accounted for 22 percent of segment sales in the second quarter, up from 15 percent last year. The company disclosed that, during the second quarter, the Albertsons and Ralphs supermarket chains signed on to stock the ultra-high-pressure product. As previously disclosed, the companys restructuring of its processed products business was completed in the fiscal 2005 first quarter, while operations at Calavos Uruapan, Michoacan, Mexico facility continue to be improved and focus is turned to business-development initiatives. </w:t>
      </w:r>
    </w:p>
    <w:p>
      <w:pPr>
        <w:pStyle w:val="TextBody"/>
        <w:jc w:val="left"/>
        <w:rPr>
          <w:rFonts w:ascii="Times New Roman;Times;serif" w:hAnsi="Times New Roman;Times;serif"/>
          <w:sz w:val="17"/>
        </w:rPr>
      </w:pPr>
      <w:r>
        <w:rPr>
          <w:rFonts w:ascii="Times New Roman;Times;serif" w:hAnsi="Times New Roman;Times;serif"/>
          <w:sz w:val="17"/>
        </w:rPr>
        <w:t xml:space="preserve">Summary and Third Quarter Outlook </w:t>
      </w:r>
    </w:p>
    <w:p>
      <w:pPr>
        <w:pStyle w:val="TextBody"/>
        <w:jc w:val="left"/>
        <w:rPr/>
      </w:pPr>
      <w:r>
        <w:rPr/>
        <w:t>     </w:t>
      </w:r>
      <w:r>
        <w:rPr>
          <w:rFonts w:ascii="Times New Roman;Times;serif" w:hAnsi="Times New Roman;Times;serif"/>
          <w:sz w:val="17"/>
        </w:rPr>
        <w:t xml:space="preserve">Cole stated: Moving forward, we anticipate substantial recovery in California Avocado segment sales and market share as volume continues to build at our domestic packinghouses, making allowance for the cyclically smaller 2005 crop size and lower per-pound prices from one year ago. During the second period, we demonstrated an ability to offset, at least in part, the smaller California crop through our market leadership in the import of Mexican avocados which gained velocity with the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sz w:val="17"/>
        </w:rPr>
        <w:t xml:space="preserve">removal of import restrictions. We will continue to focus on the strategic advantage afforded by our Mexican-market leadership to meet domestic and international demand. </w:t>
      </w:r>
    </w:p>
    <w:p>
      <w:pPr>
        <w:pStyle w:val="TextBody"/>
        <w:jc w:val="left"/>
        <w:rPr/>
      </w:pPr>
      <w:r>
        <w:rPr/>
        <w:t>     </w:t>
      </w:r>
      <w:r>
        <w:rPr>
          <w:rFonts w:ascii="Times New Roman;Times;serif" w:hAnsi="Times New Roman;Times;serif"/>
          <w:sz w:val="17"/>
        </w:rPr>
        <w:t xml:space="preserve">I have stressed repeatedlyand it merits saying againthat our management team does not run the company for quarter-to-quarter results. Instead, we are committed to a focused, long-term strategic agenda that will result over time in greater profitability, shareholder value and a larger, more diversified Calavo. Even as we face challengesSOX, volume issues, unseasonable weather and the effect of imports, among themwe remain fully confident were on the right path. We anticipate that the effects of this agenda will continue to evidence themselves in a strengthened operating performance and we expect to complete another successful year, the Calavo CEO concluded. </w:t>
      </w:r>
    </w:p>
    <w:p>
      <w:pPr>
        <w:pStyle w:val="TextBody"/>
        <w:jc w:val="left"/>
        <w:rPr>
          <w:rFonts w:ascii="Times New Roman;Times;serif" w:hAnsi="Times New Roman;Times;serif"/>
          <w:sz w:val="17"/>
        </w:rPr>
      </w:pPr>
      <w:r>
        <w:rPr>
          <w:rFonts w:ascii="Times New Roman;Times;serif" w:hAnsi="Times New Roman;Times;serif"/>
          <w:sz w:val="17"/>
        </w:rPr>
        <w:t xml:space="preserve">About Calavo </w:t>
      </w:r>
    </w:p>
    <w:p>
      <w:pPr>
        <w:pStyle w:val="TextBody"/>
        <w:jc w:val="left"/>
        <w:rPr/>
      </w:pPr>
      <w:r>
        <w:rPr/>
        <w:t>     </w:t>
      </w:r>
      <w:r>
        <w:rPr>
          <w:rFonts w:ascii="Times New Roman;Times;serif" w:hAnsi="Times New Roman;Times;serif"/>
          <w:sz w:val="17"/>
        </w:rPr>
        <w:t xml:space="preserve">Calavo Growers, Inc. is a worldwide leader in the procurement and marketing of fresh avocados and other perishable foods, as well as the manufacturing and distribution of processed avocado products. Founded in 1924, Calavos expertise in marketing and distributing avocados, processed avocados, and other perishable foods allows the company to deliver a wide array of fresh and processed food products to food distributors, produce wholesalers, supermarkets, and restaurants on a global basis. </w:t>
      </w:r>
    </w:p>
    <w:p>
      <w:pPr>
        <w:pStyle w:val="TextBody"/>
        <w:jc w:val="left"/>
        <w:rPr>
          <w:rFonts w:ascii="Times New Roman;Times;serif" w:hAnsi="Times New Roman;Times;serif"/>
          <w:sz w:val="17"/>
        </w:rPr>
      </w:pPr>
      <w:r>
        <w:rPr>
          <w:rFonts w:ascii="Times New Roman;Times;serif" w:hAnsi="Times New Roman;Times;serif"/>
          <w:sz w:val="17"/>
        </w:rPr>
        <w:t xml:space="preserve">Safe Harbor Statement </w:t>
      </w:r>
    </w:p>
    <w:p>
      <w:pPr>
        <w:pStyle w:val="TextBody"/>
        <w:jc w:val="left"/>
        <w:rPr>
          <w:rFonts w:ascii="Times New Roman;Times;serif" w:hAnsi="Times New Roman;Times;serif"/>
          <w:sz w:val="17"/>
        </w:rPr>
      </w:pPr>
      <w:r>
        <w:rPr>
          <w:rFonts w:ascii="Times New Roman;Times;serif" w:hAnsi="Times New Roman;Times;serif"/>
          <w:sz w:val="17"/>
        </w:rPr>
        <w:t xml:space="preserve">This news release contains statements relating to future events and results of Calavo (including certain projections and business trends) that are forward-looking statements as defined in the Private Securities Litigation Reform Act of 1995. Actual results and events may differ from those projected as a result of certain risks and uncertainties. These risks and uncertainties include but are not limited to: increased competition, conducting substantial amounts of business internationally, pricing pressures on agricultural products, adverse weather and growing conditions confronting avocado growers, new governmental regulations, as well as other risks and uncertainties detailed from time to time in the companys Securities and Exchange Commission filings, including, without limitation, the companys Report on Form 10-K for the year ended October 31, 2004. These forward-looking statements are made only as of the date hereof, and the company undertakes no obligation to update or revise the forward-looking statements, whether as a result of new information, future events or otherwise. </w:t>
      </w:r>
    </w:p>
    <w:p>
      <w:pPr>
        <w:pStyle w:val="TextBody"/>
        <w:jc w:val="center"/>
        <w:rPr>
          <w:rFonts w:ascii="Times New Roman;Times;serif" w:hAnsi="Times New Roman;Times;serif"/>
          <w:sz w:val="17"/>
        </w:rPr>
      </w:pPr>
      <w:r>
        <w:rPr>
          <w:rFonts w:ascii="Times New Roman;Times;serif" w:hAnsi="Times New Roman;Times;serif"/>
          <w:sz w:val="17"/>
        </w:rPr>
        <w:t xml:space="preserve"># # #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center"/>
        <w:rPr>
          <w:rFonts w:ascii="Times New Roman;Times;serif" w:hAnsi="Times New Roman;Times;serif"/>
          <w:sz w:val="17"/>
        </w:rPr>
      </w:pPr>
      <w:r>
        <w:rPr>
          <w:rFonts w:ascii="Times New Roman;Times;serif" w:hAnsi="Times New Roman;Times;serif"/>
          <w:b/>
          <w:sz w:val="17"/>
        </w:rPr>
        <w:t>CALAVO GROWERS, INC.</w:t>
        <w:br/>
        <w:t>CONSOLIDATED CONDENSED BALANCE SHEETS (UNAUDITED)</w:t>
        <w:br/>
        <w:t>(All amounts in thousands, except per share amounts)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130"/>
        <w:gridCol w:w="274"/>
        <w:gridCol w:w="178"/>
        <w:gridCol w:w="876"/>
        <w:gridCol w:w="116"/>
        <w:gridCol w:w="274"/>
        <w:gridCol w:w="208"/>
        <w:gridCol w:w="1026"/>
        <w:gridCol w:w="123"/>
      </w:tblGrid>
      <w:tr>
        <w:trPr/>
        <w:tc>
          <w:tcPr>
            <w:tcW w:w="7130"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7130"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054" w:type="dxa"/>
            <w:gridSpan w:val="2"/>
            <w:tcBorders/>
            <w:shd w:fill="auto" w:val="clear"/>
            <w:vAlign w:val="bottom"/>
          </w:tcPr>
          <w:p>
            <w:pPr>
              <w:pStyle w:val="TableContents"/>
              <w:spacing w:before="0" w:after="283"/>
              <w:jc w:val="center"/>
              <w:rPr>
                <w:b/>
              </w:rPr>
            </w:pPr>
            <w:r>
              <w:rPr>
                <w:b/>
              </w:rPr>
              <w:t>April 30,</w:t>
            </w:r>
          </w:p>
        </w:tc>
        <w:tc>
          <w:tcPr>
            <w:tcW w:w="11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234" w:type="dxa"/>
            <w:gridSpan w:val="2"/>
            <w:tcBorders/>
            <w:shd w:fill="auto" w:val="clear"/>
            <w:vAlign w:val="bottom"/>
          </w:tcPr>
          <w:p>
            <w:pPr>
              <w:pStyle w:val="TableContents"/>
              <w:spacing w:before="0" w:after="283"/>
              <w:jc w:val="center"/>
              <w:rPr>
                <w:b/>
              </w:rPr>
            </w:pPr>
            <w:r>
              <w:rPr>
                <w:b/>
              </w:rPr>
              <w:t>October 31,</w:t>
            </w:r>
          </w:p>
        </w:tc>
        <w:tc>
          <w:tcPr>
            <w:tcW w:w="123" w:type="dxa"/>
            <w:tcBorders/>
            <w:shd w:fill="auto" w:val="clear"/>
            <w:vAlign w:val="bottom"/>
          </w:tcPr>
          <w:p>
            <w:pPr>
              <w:pStyle w:val="TableContents"/>
              <w:spacing w:before="0" w:after="283"/>
              <w:rPr/>
            </w:pPr>
            <w:r>
              <w:rPr/>
              <w:t> </w:t>
            </w:r>
          </w:p>
        </w:tc>
      </w:tr>
      <w:tr>
        <w:trPr/>
        <w:tc>
          <w:tcPr>
            <w:tcW w:w="7130"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05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1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23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23" w:type="dxa"/>
            <w:tcBorders/>
            <w:shd w:fill="auto" w:val="clear"/>
            <w:vAlign w:val="bottom"/>
          </w:tcPr>
          <w:p>
            <w:pPr>
              <w:pStyle w:val="TableContents"/>
              <w:spacing w:before="0" w:after="283"/>
              <w:rPr/>
            </w:pPr>
            <w:r>
              <w:rPr/>
              <w:t> </w:t>
            </w:r>
          </w:p>
        </w:tc>
      </w:tr>
      <w:tr>
        <w:trPr/>
        <w:tc>
          <w:tcPr>
            <w:tcW w:w="7130" w:type="dxa"/>
            <w:tcBorders/>
            <w:shd w:fill="CCEEFF" w:val="clear"/>
            <w:vAlign w:val="bottom"/>
          </w:tcPr>
          <w:p>
            <w:pPr>
              <w:pStyle w:val="TableContents"/>
              <w:spacing w:before="0" w:after="0"/>
              <w:ind w:left="225" w:right="0" w:hanging="225"/>
              <w:rPr>
                <w:b/>
              </w:rPr>
            </w:pPr>
            <w:r>
              <w:rPr>
                <w:b/>
              </w:rPr>
              <w:t>Assets</w:t>
            </w:r>
          </w:p>
        </w:tc>
        <w:tc>
          <w:tcPr>
            <w:tcW w:w="274"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r>
      <w:tr>
        <w:trPr/>
        <w:tc>
          <w:tcPr>
            <w:tcW w:w="7130" w:type="dxa"/>
            <w:tcBorders/>
            <w:shd w:fill="auto" w:val="clear"/>
            <w:vAlign w:val="bottom"/>
          </w:tcPr>
          <w:p>
            <w:pPr>
              <w:pStyle w:val="TableContents"/>
              <w:spacing w:before="0" w:after="0"/>
              <w:ind w:left="225" w:right="0" w:hanging="225"/>
              <w:rPr/>
            </w:pPr>
            <w:r>
              <w:rPr/>
              <w:t>Current assets:</w:t>
            </w:r>
          </w:p>
        </w:tc>
        <w:tc>
          <w:tcPr>
            <w:tcW w:w="274"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7130" w:type="dxa"/>
            <w:tcBorders/>
            <w:shd w:fill="CCEEFF" w:val="clear"/>
            <w:vAlign w:val="bottom"/>
          </w:tcPr>
          <w:p>
            <w:pPr>
              <w:pStyle w:val="TableContents"/>
              <w:spacing w:before="0" w:after="0"/>
              <w:ind w:left="450" w:right="0" w:hanging="225"/>
              <w:rPr/>
            </w:pPr>
            <w:r>
              <w:rPr/>
              <w:t>Cash and cash equivalents</w:t>
            </w:r>
          </w:p>
        </w:tc>
        <w:tc>
          <w:tcPr>
            <w:tcW w:w="274"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876" w:type="dxa"/>
            <w:tcBorders/>
            <w:shd w:fill="CCEEFF" w:val="clear"/>
            <w:vAlign w:val="bottom"/>
          </w:tcPr>
          <w:p>
            <w:pPr>
              <w:pStyle w:val="TableContents"/>
              <w:spacing w:before="0" w:after="283"/>
              <w:jc w:val="right"/>
              <w:rPr/>
            </w:pPr>
            <w:r>
              <w:rPr/>
              <w:t>1,058</w:t>
            </w:r>
          </w:p>
        </w:tc>
        <w:tc>
          <w:tcPr>
            <w:tcW w:w="11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w:t>
            </w:r>
          </w:p>
        </w:tc>
        <w:tc>
          <w:tcPr>
            <w:tcW w:w="1026" w:type="dxa"/>
            <w:tcBorders/>
            <w:shd w:fill="CCEEFF" w:val="clear"/>
            <w:vAlign w:val="bottom"/>
          </w:tcPr>
          <w:p>
            <w:pPr>
              <w:pStyle w:val="TableContents"/>
              <w:spacing w:before="0" w:after="283"/>
              <w:jc w:val="right"/>
              <w:rPr/>
            </w:pPr>
            <w:r>
              <w:rPr/>
              <w:t>636</w:t>
            </w:r>
          </w:p>
        </w:tc>
        <w:tc>
          <w:tcPr>
            <w:tcW w:w="123" w:type="dxa"/>
            <w:tcBorders/>
            <w:shd w:fill="CCEEFF" w:val="clear"/>
            <w:vAlign w:val="bottom"/>
          </w:tcPr>
          <w:p>
            <w:pPr>
              <w:pStyle w:val="TableContents"/>
              <w:spacing w:before="0" w:after="283"/>
              <w:rPr/>
            </w:pPr>
            <w:r>
              <w:rPr/>
              <w:t> </w:t>
            </w:r>
          </w:p>
        </w:tc>
      </w:tr>
      <w:tr>
        <w:trPr/>
        <w:tc>
          <w:tcPr>
            <w:tcW w:w="7130" w:type="dxa"/>
            <w:tcBorders/>
            <w:shd w:fill="auto" w:val="clear"/>
            <w:vAlign w:val="bottom"/>
          </w:tcPr>
          <w:p>
            <w:pPr>
              <w:pStyle w:val="TableContents"/>
              <w:spacing w:before="0" w:after="0"/>
              <w:ind w:left="450" w:right="0" w:hanging="225"/>
              <w:rPr/>
            </w:pPr>
            <w:r>
              <w:rPr/>
              <w:t>Accounts receivable, net of allowances of $1,612 (2005) and $1,087 (2004)</w:t>
            </w:r>
          </w:p>
        </w:tc>
        <w:tc>
          <w:tcPr>
            <w:tcW w:w="274"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26,125</w:t>
            </w:r>
          </w:p>
        </w:tc>
        <w:tc>
          <w:tcPr>
            <w:tcW w:w="11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21,131</w:t>
            </w:r>
          </w:p>
        </w:tc>
        <w:tc>
          <w:tcPr>
            <w:tcW w:w="123" w:type="dxa"/>
            <w:tcBorders/>
            <w:shd w:fill="auto" w:val="clear"/>
            <w:vAlign w:val="bottom"/>
          </w:tcPr>
          <w:p>
            <w:pPr>
              <w:pStyle w:val="TableContents"/>
              <w:spacing w:before="0" w:after="283"/>
              <w:rPr/>
            </w:pPr>
            <w:r>
              <w:rPr/>
              <w:t> </w:t>
            </w:r>
          </w:p>
        </w:tc>
      </w:tr>
      <w:tr>
        <w:trPr/>
        <w:tc>
          <w:tcPr>
            <w:tcW w:w="7130" w:type="dxa"/>
            <w:tcBorders/>
            <w:shd w:fill="CCEEFF" w:val="clear"/>
            <w:vAlign w:val="bottom"/>
          </w:tcPr>
          <w:p>
            <w:pPr>
              <w:pStyle w:val="TableContents"/>
              <w:spacing w:before="0" w:after="0"/>
              <w:ind w:left="450" w:right="0" w:hanging="225"/>
              <w:rPr/>
            </w:pPr>
            <w:r>
              <w:rPr/>
              <w:t>Inventories, net</w:t>
            </w:r>
          </w:p>
        </w:tc>
        <w:tc>
          <w:tcPr>
            <w:tcW w:w="274"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13,167</w:t>
            </w:r>
          </w:p>
        </w:tc>
        <w:tc>
          <w:tcPr>
            <w:tcW w:w="11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11,375</w:t>
            </w:r>
          </w:p>
        </w:tc>
        <w:tc>
          <w:tcPr>
            <w:tcW w:w="123" w:type="dxa"/>
            <w:tcBorders/>
            <w:shd w:fill="CCEEFF" w:val="clear"/>
            <w:vAlign w:val="bottom"/>
          </w:tcPr>
          <w:p>
            <w:pPr>
              <w:pStyle w:val="TableContents"/>
              <w:spacing w:before="0" w:after="283"/>
              <w:rPr/>
            </w:pPr>
            <w:r>
              <w:rPr/>
              <w:t> </w:t>
            </w:r>
          </w:p>
        </w:tc>
      </w:tr>
      <w:tr>
        <w:trPr/>
        <w:tc>
          <w:tcPr>
            <w:tcW w:w="7130" w:type="dxa"/>
            <w:tcBorders/>
            <w:shd w:fill="auto" w:val="clear"/>
            <w:vAlign w:val="bottom"/>
          </w:tcPr>
          <w:p>
            <w:pPr>
              <w:pStyle w:val="TableContents"/>
              <w:spacing w:before="0" w:after="0"/>
              <w:ind w:left="450" w:right="0" w:hanging="225"/>
              <w:rPr/>
            </w:pPr>
            <w:r>
              <w:rPr/>
              <w:t>Prepaid expenses and other current assets</w:t>
            </w:r>
          </w:p>
        </w:tc>
        <w:tc>
          <w:tcPr>
            <w:tcW w:w="274"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4,683</w:t>
            </w:r>
          </w:p>
        </w:tc>
        <w:tc>
          <w:tcPr>
            <w:tcW w:w="11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4,598</w:t>
            </w:r>
          </w:p>
        </w:tc>
        <w:tc>
          <w:tcPr>
            <w:tcW w:w="123" w:type="dxa"/>
            <w:tcBorders/>
            <w:shd w:fill="auto" w:val="clear"/>
            <w:vAlign w:val="bottom"/>
          </w:tcPr>
          <w:p>
            <w:pPr>
              <w:pStyle w:val="TableContents"/>
              <w:spacing w:before="0" w:after="283"/>
              <w:rPr/>
            </w:pPr>
            <w:r>
              <w:rPr/>
              <w:t> </w:t>
            </w:r>
          </w:p>
        </w:tc>
      </w:tr>
      <w:tr>
        <w:trPr/>
        <w:tc>
          <w:tcPr>
            <w:tcW w:w="7130" w:type="dxa"/>
            <w:tcBorders/>
            <w:shd w:fill="CCEEFF" w:val="clear"/>
            <w:vAlign w:val="bottom"/>
          </w:tcPr>
          <w:p>
            <w:pPr>
              <w:pStyle w:val="TableContents"/>
              <w:spacing w:before="0" w:after="0"/>
              <w:ind w:left="450" w:right="0" w:hanging="225"/>
              <w:rPr/>
            </w:pPr>
            <w:r>
              <w:rPr/>
              <w:t>Loans to growers</w:t>
            </w:r>
          </w:p>
        </w:tc>
        <w:tc>
          <w:tcPr>
            <w:tcW w:w="274"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152</w:t>
            </w:r>
          </w:p>
        </w:tc>
        <w:tc>
          <w:tcPr>
            <w:tcW w:w="11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209</w:t>
            </w:r>
          </w:p>
        </w:tc>
        <w:tc>
          <w:tcPr>
            <w:tcW w:w="123" w:type="dxa"/>
            <w:tcBorders/>
            <w:shd w:fill="CCEEFF" w:val="clear"/>
            <w:vAlign w:val="bottom"/>
          </w:tcPr>
          <w:p>
            <w:pPr>
              <w:pStyle w:val="TableContents"/>
              <w:spacing w:before="0" w:after="283"/>
              <w:rPr/>
            </w:pPr>
            <w:r>
              <w:rPr/>
              <w:t> </w:t>
            </w:r>
          </w:p>
        </w:tc>
      </w:tr>
      <w:tr>
        <w:trPr/>
        <w:tc>
          <w:tcPr>
            <w:tcW w:w="7130" w:type="dxa"/>
            <w:tcBorders/>
            <w:shd w:fill="auto" w:val="clear"/>
            <w:vAlign w:val="bottom"/>
          </w:tcPr>
          <w:p>
            <w:pPr>
              <w:pStyle w:val="TableContents"/>
              <w:spacing w:before="0" w:after="0"/>
              <w:ind w:left="450" w:right="0" w:hanging="225"/>
              <w:rPr/>
            </w:pPr>
            <w:r>
              <w:rPr/>
              <w:t>Advances to suppliers</w:t>
            </w:r>
          </w:p>
        </w:tc>
        <w:tc>
          <w:tcPr>
            <w:tcW w:w="274"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160</w:t>
            </w:r>
          </w:p>
        </w:tc>
        <w:tc>
          <w:tcPr>
            <w:tcW w:w="11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2,413</w:t>
            </w:r>
          </w:p>
        </w:tc>
        <w:tc>
          <w:tcPr>
            <w:tcW w:w="123" w:type="dxa"/>
            <w:tcBorders/>
            <w:shd w:fill="auto" w:val="clear"/>
            <w:vAlign w:val="bottom"/>
          </w:tcPr>
          <w:p>
            <w:pPr>
              <w:pStyle w:val="TableContents"/>
              <w:spacing w:before="0" w:after="283"/>
              <w:rPr/>
            </w:pPr>
            <w:r>
              <w:rPr/>
              <w:t> </w:t>
            </w:r>
          </w:p>
        </w:tc>
      </w:tr>
      <w:tr>
        <w:trPr/>
        <w:tc>
          <w:tcPr>
            <w:tcW w:w="7130" w:type="dxa"/>
            <w:tcBorders/>
            <w:shd w:fill="CCEEFF" w:val="clear"/>
            <w:vAlign w:val="bottom"/>
          </w:tcPr>
          <w:p>
            <w:pPr>
              <w:pStyle w:val="TableContents"/>
              <w:spacing w:before="0" w:after="0"/>
              <w:ind w:left="450" w:right="0" w:hanging="225"/>
              <w:rPr/>
            </w:pPr>
            <w:r>
              <w:rPr/>
              <w:t>Income tax receivable</w:t>
            </w:r>
          </w:p>
        </w:tc>
        <w:tc>
          <w:tcPr>
            <w:tcW w:w="274"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214</w:t>
            </w:r>
          </w:p>
        </w:tc>
        <w:tc>
          <w:tcPr>
            <w:tcW w:w="11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803</w:t>
            </w:r>
          </w:p>
        </w:tc>
        <w:tc>
          <w:tcPr>
            <w:tcW w:w="123" w:type="dxa"/>
            <w:tcBorders/>
            <w:shd w:fill="CCEEFF" w:val="clear"/>
            <w:vAlign w:val="bottom"/>
          </w:tcPr>
          <w:p>
            <w:pPr>
              <w:pStyle w:val="TableContents"/>
              <w:spacing w:before="0" w:after="283"/>
              <w:rPr/>
            </w:pPr>
            <w:r>
              <w:rPr/>
              <w:t> </w:t>
            </w:r>
          </w:p>
        </w:tc>
      </w:tr>
      <w:tr>
        <w:trPr/>
        <w:tc>
          <w:tcPr>
            <w:tcW w:w="7130" w:type="dxa"/>
            <w:tcBorders/>
            <w:shd w:fill="auto" w:val="clear"/>
            <w:vAlign w:val="bottom"/>
          </w:tcPr>
          <w:p>
            <w:pPr>
              <w:pStyle w:val="TableContents"/>
              <w:spacing w:before="0" w:after="0"/>
              <w:ind w:left="450" w:right="0" w:hanging="225"/>
              <w:rPr/>
            </w:pPr>
            <w:r>
              <w:rPr/>
              <w:t>Deferred income taxes</w:t>
            </w:r>
          </w:p>
        </w:tc>
        <w:tc>
          <w:tcPr>
            <w:tcW w:w="274"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1,775</w:t>
            </w:r>
          </w:p>
        </w:tc>
        <w:tc>
          <w:tcPr>
            <w:tcW w:w="11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1,775</w:t>
            </w:r>
          </w:p>
        </w:tc>
        <w:tc>
          <w:tcPr>
            <w:tcW w:w="123" w:type="dxa"/>
            <w:tcBorders/>
            <w:shd w:fill="auto" w:val="clear"/>
            <w:vAlign w:val="bottom"/>
          </w:tcPr>
          <w:p>
            <w:pPr>
              <w:pStyle w:val="TableContents"/>
              <w:spacing w:before="0" w:after="283"/>
              <w:rPr/>
            </w:pPr>
            <w:r>
              <w:rPr/>
              <w:t> </w:t>
            </w:r>
          </w:p>
        </w:tc>
      </w:tr>
      <w:tr>
        <w:trPr/>
        <w:tc>
          <w:tcPr>
            <w:tcW w:w="7130" w:type="dxa"/>
            <w:tcBorders/>
            <w:shd w:fill="auto" w:val="clear"/>
            <w:vAlign w:val="center"/>
          </w:tcPr>
          <w:p>
            <w:pPr>
              <w:pStyle w:val="TableContents"/>
              <w:spacing w:before="0" w:after="0"/>
              <w:ind w:left="225" w:right="0" w:hanging="225"/>
              <w:rPr/>
            </w:pPr>
            <w:r>
              <w:rPr/>
              <w:t> </w:t>
            </w:r>
          </w:p>
        </w:tc>
        <w:tc>
          <w:tcPr>
            <w:tcW w:w="274" w:type="dxa"/>
            <w:tcBorders/>
            <w:shd w:fill="auto" w:val="clear"/>
            <w:vAlign w:val="center"/>
          </w:tcPr>
          <w:p>
            <w:pPr>
              <w:pStyle w:val="TableContents"/>
              <w:spacing w:before="0" w:after="283"/>
              <w:rPr/>
            </w:pPr>
            <w:r>
              <w:rPr/>
              <w:t> </w:t>
            </w:r>
          </w:p>
        </w:tc>
        <w:tc>
          <w:tcPr>
            <w:tcW w:w="10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2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7130" w:type="dxa"/>
            <w:tcBorders/>
            <w:shd w:fill="CCEEFF" w:val="clear"/>
            <w:vAlign w:val="bottom"/>
          </w:tcPr>
          <w:p>
            <w:pPr>
              <w:pStyle w:val="TableContents"/>
              <w:spacing w:before="0" w:after="0"/>
              <w:ind w:left="675" w:right="0" w:hanging="225"/>
              <w:rPr/>
            </w:pPr>
            <w:r>
              <w:rPr/>
              <w:t>Total current assets</w:t>
            </w:r>
          </w:p>
        </w:tc>
        <w:tc>
          <w:tcPr>
            <w:tcW w:w="274"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47,334</w:t>
            </w:r>
          </w:p>
        </w:tc>
        <w:tc>
          <w:tcPr>
            <w:tcW w:w="11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42,940</w:t>
            </w:r>
          </w:p>
        </w:tc>
        <w:tc>
          <w:tcPr>
            <w:tcW w:w="123" w:type="dxa"/>
            <w:tcBorders/>
            <w:shd w:fill="CCEEFF" w:val="clear"/>
            <w:vAlign w:val="bottom"/>
          </w:tcPr>
          <w:p>
            <w:pPr>
              <w:pStyle w:val="TableContents"/>
              <w:spacing w:before="0" w:after="283"/>
              <w:rPr/>
            </w:pPr>
            <w:r>
              <w:rPr/>
              <w:t> </w:t>
            </w:r>
          </w:p>
        </w:tc>
      </w:tr>
      <w:tr>
        <w:trPr/>
        <w:tc>
          <w:tcPr>
            <w:tcW w:w="7130" w:type="dxa"/>
            <w:tcBorders/>
            <w:shd w:fill="auto" w:val="clear"/>
            <w:vAlign w:val="bottom"/>
          </w:tcPr>
          <w:p>
            <w:pPr>
              <w:pStyle w:val="TableContents"/>
              <w:spacing w:before="0" w:after="0"/>
              <w:ind w:left="225" w:right="0" w:hanging="225"/>
              <w:rPr/>
            </w:pPr>
            <w:r>
              <w:rPr/>
              <w:t>Property, plant, and equipment, net</w:t>
            </w:r>
          </w:p>
        </w:tc>
        <w:tc>
          <w:tcPr>
            <w:tcW w:w="274"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16,868</w:t>
            </w:r>
          </w:p>
        </w:tc>
        <w:tc>
          <w:tcPr>
            <w:tcW w:w="11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17,427</w:t>
            </w:r>
          </w:p>
        </w:tc>
        <w:tc>
          <w:tcPr>
            <w:tcW w:w="123" w:type="dxa"/>
            <w:tcBorders/>
            <w:shd w:fill="auto" w:val="clear"/>
            <w:vAlign w:val="bottom"/>
          </w:tcPr>
          <w:p>
            <w:pPr>
              <w:pStyle w:val="TableContents"/>
              <w:spacing w:before="0" w:after="283"/>
              <w:rPr/>
            </w:pPr>
            <w:r>
              <w:rPr/>
              <w:t> </w:t>
            </w:r>
          </w:p>
        </w:tc>
      </w:tr>
      <w:tr>
        <w:trPr/>
        <w:tc>
          <w:tcPr>
            <w:tcW w:w="7130" w:type="dxa"/>
            <w:tcBorders/>
            <w:shd w:fill="CCEEFF" w:val="clear"/>
            <w:vAlign w:val="bottom"/>
          </w:tcPr>
          <w:p>
            <w:pPr>
              <w:pStyle w:val="TableContents"/>
              <w:spacing w:before="0" w:after="0"/>
              <w:ind w:left="225" w:right="0" w:hanging="225"/>
              <w:rPr/>
            </w:pPr>
            <w:r>
              <w:rPr/>
              <w:t>Building held for sale</w:t>
            </w:r>
          </w:p>
        </w:tc>
        <w:tc>
          <w:tcPr>
            <w:tcW w:w="274"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1,658</w:t>
            </w:r>
          </w:p>
        </w:tc>
        <w:tc>
          <w:tcPr>
            <w:tcW w:w="123" w:type="dxa"/>
            <w:tcBorders/>
            <w:shd w:fill="CCEEFF" w:val="clear"/>
            <w:vAlign w:val="bottom"/>
          </w:tcPr>
          <w:p>
            <w:pPr>
              <w:pStyle w:val="TableContents"/>
              <w:spacing w:before="0" w:after="283"/>
              <w:rPr/>
            </w:pPr>
            <w:r>
              <w:rPr/>
              <w:t> </w:t>
            </w:r>
          </w:p>
        </w:tc>
      </w:tr>
      <w:tr>
        <w:trPr/>
        <w:tc>
          <w:tcPr>
            <w:tcW w:w="7130" w:type="dxa"/>
            <w:tcBorders/>
            <w:shd w:fill="auto" w:val="clear"/>
            <w:vAlign w:val="bottom"/>
          </w:tcPr>
          <w:p>
            <w:pPr>
              <w:pStyle w:val="TableContents"/>
              <w:spacing w:before="0" w:after="0"/>
              <w:ind w:left="225" w:right="0" w:hanging="225"/>
              <w:rPr/>
            </w:pPr>
            <w:r>
              <w:rPr/>
              <w:t>Goodwill</w:t>
            </w:r>
          </w:p>
        </w:tc>
        <w:tc>
          <w:tcPr>
            <w:tcW w:w="274"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3,591</w:t>
            </w:r>
          </w:p>
        </w:tc>
        <w:tc>
          <w:tcPr>
            <w:tcW w:w="11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3,591</w:t>
            </w:r>
          </w:p>
        </w:tc>
        <w:tc>
          <w:tcPr>
            <w:tcW w:w="123" w:type="dxa"/>
            <w:tcBorders/>
            <w:shd w:fill="auto" w:val="clear"/>
            <w:vAlign w:val="bottom"/>
          </w:tcPr>
          <w:p>
            <w:pPr>
              <w:pStyle w:val="TableContents"/>
              <w:spacing w:before="0" w:after="283"/>
              <w:rPr/>
            </w:pPr>
            <w:r>
              <w:rPr/>
              <w:t> </w:t>
            </w:r>
          </w:p>
        </w:tc>
      </w:tr>
      <w:tr>
        <w:trPr/>
        <w:tc>
          <w:tcPr>
            <w:tcW w:w="7130" w:type="dxa"/>
            <w:tcBorders/>
            <w:shd w:fill="CCEEFF" w:val="clear"/>
            <w:vAlign w:val="bottom"/>
          </w:tcPr>
          <w:p>
            <w:pPr>
              <w:pStyle w:val="TableContents"/>
              <w:spacing w:before="0" w:after="0"/>
              <w:ind w:left="225" w:right="0" w:hanging="225"/>
              <w:rPr/>
            </w:pPr>
            <w:r>
              <w:rPr/>
              <w:t>Other assets</w:t>
            </w:r>
          </w:p>
        </w:tc>
        <w:tc>
          <w:tcPr>
            <w:tcW w:w="274"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1,482</w:t>
            </w:r>
          </w:p>
        </w:tc>
        <w:tc>
          <w:tcPr>
            <w:tcW w:w="11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1,782</w:t>
            </w:r>
          </w:p>
        </w:tc>
        <w:tc>
          <w:tcPr>
            <w:tcW w:w="123" w:type="dxa"/>
            <w:tcBorders/>
            <w:shd w:fill="CCEEFF" w:val="clear"/>
            <w:vAlign w:val="bottom"/>
          </w:tcPr>
          <w:p>
            <w:pPr>
              <w:pStyle w:val="TableContents"/>
              <w:spacing w:before="0" w:after="283"/>
              <w:rPr/>
            </w:pPr>
            <w:r>
              <w:rPr/>
              <w:t> </w:t>
            </w:r>
          </w:p>
        </w:tc>
      </w:tr>
      <w:tr>
        <w:trPr/>
        <w:tc>
          <w:tcPr>
            <w:tcW w:w="7130" w:type="dxa"/>
            <w:tcBorders/>
            <w:shd w:fill="auto" w:val="clear"/>
            <w:vAlign w:val="center"/>
          </w:tcPr>
          <w:p>
            <w:pPr>
              <w:pStyle w:val="TableContents"/>
              <w:spacing w:before="0" w:after="0"/>
              <w:ind w:left="225" w:right="0" w:hanging="225"/>
              <w:rPr/>
            </w:pPr>
            <w:r>
              <w:rPr/>
              <w:t> </w:t>
            </w:r>
          </w:p>
        </w:tc>
        <w:tc>
          <w:tcPr>
            <w:tcW w:w="274" w:type="dxa"/>
            <w:tcBorders/>
            <w:shd w:fill="auto" w:val="clear"/>
            <w:vAlign w:val="center"/>
          </w:tcPr>
          <w:p>
            <w:pPr>
              <w:pStyle w:val="TableContents"/>
              <w:spacing w:before="0" w:after="283"/>
              <w:rPr/>
            </w:pPr>
            <w:r>
              <w:rPr/>
              <w:t> </w:t>
            </w:r>
          </w:p>
        </w:tc>
        <w:tc>
          <w:tcPr>
            <w:tcW w:w="10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2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7130" w:type="dxa"/>
            <w:tcBorders/>
            <w:shd w:fill="auto" w:val="clear"/>
            <w:vAlign w:val="bottom"/>
          </w:tcPr>
          <w:p>
            <w:pPr>
              <w:pStyle w:val="TableContents"/>
              <w:spacing w:before="0" w:after="0"/>
              <w:ind w:left="225" w:right="0" w:hanging="225"/>
              <w:rPr/>
            </w:pPr>
            <w:r>
              <w:rPr/>
              <w:t> </w:t>
            </w:r>
          </w:p>
        </w:tc>
        <w:tc>
          <w:tcPr>
            <w:tcW w:w="274"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69,275</w:t>
            </w:r>
          </w:p>
        </w:tc>
        <w:tc>
          <w:tcPr>
            <w:tcW w:w="11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w:t>
            </w:r>
          </w:p>
        </w:tc>
        <w:tc>
          <w:tcPr>
            <w:tcW w:w="1026" w:type="dxa"/>
            <w:tcBorders/>
            <w:shd w:fill="auto" w:val="clear"/>
            <w:vAlign w:val="bottom"/>
          </w:tcPr>
          <w:p>
            <w:pPr>
              <w:pStyle w:val="TableContents"/>
              <w:spacing w:before="0" w:after="283"/>
              <w:jc w:val="right"/>
              <w:rPr/>
            </w:pPr>
            <w:r>
              <w:rPr/>
              <w:t>67,398</w:t>
            </w:r>
          </w:p>
        </w:tc>
        <w:tc>
          <w:tcPr>
            <w:tcW w:w="123" w:type="dxa"/>
            <w:tcBorders/>
            <w:shd w:fill="auto" w:val="clear"/>
            <w:vAlign w:val="bottom"/>
          </w:tcPr>
          <w:p>
            <w:pPr>
              <w:pStyle w:val="TableContents"/>
              <w:spacing w:before="0" w:after="283"/>
              <w:rPr/>
            </w:pPr>
            <w:r>
              <w:rPr/>
              <w:t> </w:t>
            </w:r>
          </w:p>
        </w:tc>
      </w:tr>
      <w:tr>
        <w:trPr/>
        <w:tc>
          <w:tcPr>
            <w:tcW w:w="7130" w:type="dxa"/>
            <w:tcBorders/>
            <w:shd w:fill="auto" w:val="clear"/>
            <w:vAlign w:val="center"/>
          </w:tcPr>
          <w:p>
            <w:pPr>
              <w:pStyle w:val="TableContents"/>
              <w:spacing w:before="0" w:after="0"/>
              <w:ind w:left="225" w:right="0" w:hanging="225"/>
              <w:rPr/>
            </w:pPr>
            <w:r>
              <w:rPr/>
              <w:t> </w:t>
            </w:r>
          </w:p>
        </w:tc>
        <w:tc>
          <w:tcPr>
            <w:tcW w:w="274" w:type="dxa"/>
            <w:tcBorders/>
            <w:shd w:fill="auto" w:val="clear"/>
            <w:vAlign w:val="center"/>
          </w:tcPr>
          <w:p>
            <w:pPr>
              <w:pStyle w:val="TableContents"/>
              <w:spacing w:before="0" w:after="283"/>
              <w:rPr/>
            </w:pPr>
            <w:r>
              <w:rPr/>
              <w:t> </w:t>
            </w:r>
          </w:p>
        </w:tc>
        <w:tc>
          <w:tcPr>
            <w:tcW w:w="10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23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7130" w:type="dxa"/>
            <w:tcBorders/>
            <w:shd w:fill="CCEEFF" w:val="clear"/>
            <w:vAlign w:val="bottom"/>
          </w:tcPr>
          <w:p>
            <w:pPr>
              <w:pStyle w:val="TableContents"/>
              <w:spacing w:before="0" w:after="0"/>
              <w:ind w:left="225" w:right="0" w:hanging="225"/>
              <w:rPr>
                <w:b/>
              </w:rPr>
            </w:pPr>
            <w:r>
              <w:rPr>
                <w:b/>
              </w:rPr>
              <w:t>Liabilities and shareholders equity</w:t>
            </w:r>
          </w:p>
        </w:tc>
        <w:tc>
          <w:tcPr>
            <w:tcW w:w="274"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r>
      <w:tr>
        <w:trPr/>
        <w:tc>
          <w:tcPr>
            <w:tcW w:w="7130" w:type="dxa"/>
            <w:tcBorders/>
            <w:shd w:fill="auto" w:val="clear"/>
            <w:vAlign w:val="bottom"/>
          </w:tcPr>
          <w:p>
            <w:pPr>
              <w:pStyle w:val="TableContents"/>
              <w:spacing w:before="0" w:after="0"/>
              <w:ind w:left="225" w:right="0" w:hanging="225"/>
              <w:rPr/>
            </w:pPr>
            <w:r>
              <w:rPr/>
              <w:t>Current liabilities:</w:t>
            </w:r>
          </w:p>
        </w:tc>
        <w:tc>
          <w:tcPr>
            <w:tcW w:w="274"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7130" w:type="dxa"/>
            <w:tcBorders/>
            <w:shd w:fill="CCEEFF" w:val="clear"/>
            <w:vAlign w:val="bottom"/>
          </w:tcPr>
          <w:p>
            <w:pPr>
              <w:pStyle w:val="TableContents"/>
              <w:spacing w:before="0" w:after="0"/>
              <w:ind w:left="450" w:right="0" w:hanging="225"/>
              <w:rPr/>
            </w:pPr>
            <w:r>
              <w:rPr/>
              <w:t>Payable to growers</w:t>
            </w:r>
          </w:p>
        </w:tc>
        <w:tc>
          <w:tcPr>
            <w:tcW w:w="274"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876" w:type="dxa"/>
            <w:tcBorders/>
            <w:shd w:fill="CCEEFF" w:val="clear"/>
            <w:vAlign w:val="bottom"/>
          </w:tcPr>
          <w:p>
            <w:pPr>
              <w:pStyle w:val="TableContents"/>
              <w:spacing w:before="0" w:after="283"/>
              <w:jc w:val="right"/>
              <w:rPr/>
            </w:pPr>
            <w:r>
              <w:rPr/>
              <w:t>10,070</w:t>
            </w:r>
          </w:p>
        </w:tc>
        <w:tc>
          <w:tcPr>
            <w:tcW w:w="11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jc w:val="left"/>
              <w:rPr/>
            </w:pPr>
            <w:r>
              <w:rPr/>
              <w:t>$</w:t>
            </w:r>
          </w:p>
        </w:tc>
        <w:tc>
          <w:tcPr>
            <w:tcW w:w="1026" w:type="dxa"/>
            <w:tcBorders/>
            <w:shd w:fill="CCEEFF" w:val="clear"/>
            <w:vAlign w:val="bottom"/>
          </w:tcPr>
          <w:p>
            <w:pPr>
              <w:pStyle w:val="TableContents"/>
              <w:spacing w:before="0" w:after="283"/>
              <w:jc w:val="right"/>
              <w:rPr/>
            </w:pPr>
            <w:r>
              <w:rPr/>
              <w:t>5,789</w:t>
            </w:r>
          </w:p>
        </w:tc>
        <w:tc>
          <w:tcPr>
            <w:tcW w:w="123" w:type="dxa"/>
            <w:tcBorders/>
            <w:shd w:fill="CCEEFF" w:val="clear"/>
            <w:vAlign w:val="bottom"/>
          </w:tcPr>
          <w:p>
            <w:pPr>
              <w:pStyle w:val="TableContents"/>
              <w:spacing w:before="0" w:after="283"/>
              <w:rPr/>
            </w:pPr>
            <w:r>
              <w:rPr/>
              <w:t> </w:t>
            </w:r>
          </w:p>
        </w:tc>
      </w:tr>
      <w:tr>
        <w:trPr/>
        <w:tc>
          <w:tcPr>
            <w:tcW w:w="7130" w:type="dxa"/>
            <w:tcBorders/>
            <w:shd w:fill="auto" w:val="clear"/>
            <w:vAlign w:val="bottom"/>
          </w:tcPr>
          <w:p>
            <w:pPr>
              <w:pStyle w:val="TableContents"/>
              <w:spacing w:before="0" w:after="0"/>
              <w:ind w:left="450" w:right="0" w:hanging="225"/>
              <w:rPr/>
            </w:pPr>
            <w:r>
              <w:rPr/>
              <w:t>Trade accounts payable</w:t>
            </w:r>
          </w:p>
        </w:tc>
        <w:tc>
          <w:tcPr>
            <w:tcW w:w="274"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2,237</w:t>
            </w:r>
          </w:p>
        </w:tc>
        <w:tc>
          <w:tcPr>
            <w:tcW w:w="11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2,490</w:t>
            </w:r>
          </w:p>
        </w:tc>
        <w:tc>
          <w:tcPr>
            <w:tcW w:w="123" w:type="dxa"/>
            <w:tcBorders/>
            <w:shd w:fill="auto" w:val="clear"/>
            <w:vAlign w:val="bottom"/>
          </w:tcPr>
          <w:p>
            <w:pPr>
              <w:pStyle w:val="TableContents"/>
              <w:spacing w:before="0" w:after="283"/>
              <w:rPr/>
            </w:pPr>
            <w:r>
              <w:rPr/>
              <w:t> </w:t>
            </w:r>
          </w:p>
        </w:tc>
      </w:tr>
      <w:tr>
        <w:trPr/>
        <w:tc>
          <w:tcPr>
            <w:tcW w:w="7130" w:type="dxa"/>
            <w:tcBorders/>
            <w:shd w:fill="CCEEFF" w:val="clear"/>
            <w:vAlign w:val="bottom"/>
          </w:tcPr>
          <w:p>
            <w:pPr>
              <w:pStyle w:val="TableContents"/>
              <w:spacing w:before="0" w:after="0"/>
              <w:ind w:left="450" w:right="0" w:hanging="225"/>
              <w:rPr/>
            </w:pPr>
            <w:r>
              <w:rPr/>
              <w:t>Accrued expenses</w:t>
            </w:r>
          </w:p>
        </w:tc>
        <w:tc>
          <w:tcPr>
            <w:tcW w:w="274"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10,287</w:t>
            </w:r>
          </w:p>
        </w:tc>
        <w:tc>
          <w:tcPr>
            <w:tcW w:w="11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8,234</w:t>
            </w:r>
          </w:p>
        </w:tc>
        <w:tc>
          <w:tcPr>
            <w:tcW w:w="123" w:type="dxa"/>
            <w:tcBorders/>
            <w:shd w:fill="CCEEFF" w:val="clear"/>
            <w:vAlign w:val="bottom"/>
          </w:tcPr>
          <w:p>
            <w:pPr>
              <w:pStyle w:val="TableContents"/>
              <w:spacing w:before="0" w:after="283"/>
              <w:rPr/>
            </w:pPr>
            <w:r>
              <w:rPr/>
              <w:t> </w:t>
            </w:r>
          </w:p>
        </w:tc>
      </w:tr>
      <w:tr>
        <w:trPr/>
        <w:tc>
          <w:tcPr>
            <w:tcW w:w="7130" w:type="dxa"/>
            <w:tcBorders/>
            <w:shd w:fill="auto" w:val="clear"/>
            <w:vAlign w:val="bottom"/>
          </w:tcPr>
          <w:p>
            <w:pPr>
              <w:pStyle w:val="TableContents"/>
              <w:spacing w:before="0" w:after="0"/>
              <w:ind w:left="450" w:right="0" w:hanging="225"/>
              <w:rPr/>
            </w:pPr>
            <w:r>
              <w:rPr/>
              <w:t>Short-term borrowings</w:t>
            </w:r>
          </w:p>
        </w:tc>
        <w:tc>
          <w:tcPr>
            <w:tcW w:w="274"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710</w:t>
            </w:r>
          </w:p>
        </w:tc>
        <w:tc>
          <w:tcPr>
            <w:tcW w:w="11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2,000</w:t>
            </w:r>
          </w:p>
        </w:tc>
        <w:tc>
          <w:tcPr>
            <w:tcW w:w="123" w:type="dxa"/>
            <w:tcBorders/>
            <w:shd w:fill="auto" w:val="clear"/>
            <w:vAlign w:val="bottom"/>
          </w:tcPr>
          <w:p>
            <w:pPr>
              <w:pStyle w:val="TableContents"/>
              <w:spacing w:before="0" w:after="283"/>
              <w:rPr/>
            </w:pPr>
            <w:r>
              <w:rPr/>
              <w:t> </w:t>
            </w:r>
          </w:p>
        </w:tc>
      </w:tr>
      <w:tr>
        <w:trPr/>
        <w:tc>
          <w:tcPr>
            <w:tcW w:w="7130" w:type="dxa"/>
            <w:tcBorders/>
            <w:shd w:fill="CCEEFF" w:val="clear"/>
            <w:vAlign w:val="bottom"/>
          </w:tcPr>
          <w:p>
            <w:pPr>
              <w:pStyle w:val="TableContents"/>
              <w:spacing w:before="0" w:after="0"/>
              <w:ind w:left="450" w:right="0" w:hanging="225"/>
              <w:rPr/>
            </w:pPr>
            <w:r>
              <w:rPr/>
              <w:t>Dividend payable</w:t>
            </w:r>
          </w:p>
        </w:tc>
        <w:tc>
          <w:tcPr>
            <w:tcW w:w="274"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4,052</w:t>
            </w:r>
          </w:p>
        </w:tc>
        <w:tc>
          <w:tcPr>
            <w:tcW w:w="123" w:type="dxa"/>
            <w:tcBorders/>
            <w:shd w:fill="CCEEFF" w:val="clear"/>
            <w:vAlign w:val="bottom"/>
          </w:tcPr>
          <w:p>
            <w:pPr>
              <w:pStyle w:val="TableContents"/>
              <w:spacing w:before="0" w:after="283"/>
              <w:rPr/>
            </w:pPr>
            <w:r>
              <w:rPr/>
              <w:t> </w:t>
            </w:r>
          </w:p>
        </w:tc>
      </w:tr>
      <w:tr>
        <w:trPr/>
        <w:tc>
          <w:tcPr>
            <w:tcW w:w="7130" w:type="dxa"/>
            <w:tcBorders/>
            <w:shd w:fill="auto" w:val="clear"/>
            <w:vAlign w:val="bottom"/>
          </w:tcPr>
          <w:p>
            <w:pPr>
              <w:pStyle w:val="TableContents"/>
              <w:spacing w:before="0" w:after="0"/>
              <w:ind w:left="450" w:right="0" w:hanging="225"/>
              <w:rPr/>
            </w:pPr>
            <w:r>
              <w:rPr/>
              <w:t>Current portion of long-term obligations</w:t>
            </w:r>
          </w:p>
        </w:tc>
        <w:tc>
          <w:tcPr>
            <w:tcW w:w="274"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19</w:t>
            </w:r>
          </w:p>
        </w:tc>
        <w:tc>
          <w:tcPr>
            <w:tcW w:w="11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22</w:t>
            </w:r>
          </w:p>
        </w:tc>
        <w:tc>
          <w:tcPr>
            <w:tcW w:w="123" w:type="dxa"/>
            <w:tcBorders/>
            <w:shd w:fill="auto" w:val="clear"/>
            <w:vAlign w:val="bottom"/>
          </w:tcPr>
          <w:p>
            <w:pPr>
              <w:pStyle w:val="TableContents"/>
              <w:spacing w:before="0" w:after="283"/>
              <w:rPr/>
            </w:pPr>
            <w:r>
              <w:rPr/>
              <w:t> </w:t>
            </w:r>
          </w:p>
        </w:tc>
      </w:tr>
      <w:tr>
        <w:trPr/>
        <w:tc>
          <w:tcPr>
            <w:tcW w:w="7130" w:type="dxa"/>
            <w:tcBorders/>
            <w:shd w:fill="auto" w:val="clear"/>
            <w:vAlign w:val="center"/>
          </w:tcPr>
          <w:p>
            <w:pPr>
              <w:pStyle w:val="TableContents"/>
              <w:spacing w:before="0" w:after="0"/>
              <w:ind w:left="225" w:right="0" w:hanging="225"/>
              <w:rPr/>
            </w:pPr>
            <w:r>
              <w:rPr/>
              <w:t> </w:t>
            </w:r>
          </w:p>
        </w:tc>
        <w:tc>
          <w:tcPr>
            <w:tcW w:w="274" w:type="dxa"/>
            <w:tcBorders/>
            <w:shd w:fill="auto" w:val="clear"/>
            <w:vAlign w:val="center"/>
          </w:tcPr>
          <w:p>
            <w:pPr>
              <w:pStyle w:val="TableContents"/>
              <w:spacing w:before="0" w:after="283"/>
              <w:rPr/>
            </w:pPr>
            <w:r>
              <w:rPr/>
              <w:t> </w:t>
            </w:r>
          </w:p>
        </w:tc>
        <w:tc>
          <w:tcPr>
            <w:tcW w:w="10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2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7130" w:type="dxa"/>
            <w:tcBorders/>
            <w:shd w:fill="CCEEFF" w:val="clear"/>
            <w:vAlign w:val="bottom"/>
          </w:tcPr>
          <w:p>
            <w:pPr>
              <w:pStyle w:val="TableContents"/>
              <w:spacing w:before="0" w:after="0"/>
              <w:ind w:left="675" w:right="0" w:hanging="225"/>
              <w:rPr/>
            </w:pPr>
            <w:r>
              <w:rPr/>
              <w:t>Total current liabilities</w:t>
            </w:r>
          </w:p>
        </w:tc>
        <w:tc>
          <w:tcPr>
            <w:tcW w:w="274"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23,323</w:t>
            </w:r>
          </w:p>
        </w:tc>
        <w:tc>
          <w:tcPr>
            <w:tcW w:w="11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22,587</w:t>
            </w:r>
          </w:p>
        </w:tc>
        <w:tc>
          <w:tcPr>
            <w:tcW w:w="123" w:type="dxa"/>
            <w:tcBorders/>
            <w:shd w:fill="CCEEFF" w:val="clear"/>
            <w:vAlign w:val="bottom"/>
          </w:tcPr>
          <w:p>
            <w:pPr>
              <w:pStyle w:val="TableContents"/>
              <w:spacing w:before="0" w:after="283"/>
              <w:rPr/>
            </w:pPr>
            <w:r>
              <w:rPr/>
              <w:t> </w:t>
            </w:r>
          </w:p>
        </w:tc>
      </w:tr>
      <w:tr>
        <w:trPr/>
        <w:tc>
          <w:tcPr>
            <w:tcW w:w="7130" w:type="dxa"/>
            <w:tcBorders/>
            <w:shd w:fill="auto" w:val="clear"/>
            <w:vAlign w:val="bottom"/>
          </w:tcPr>
          <w:p>
            <w:pPr>
              <w:pStyle w:val="TableContents"/>
              <w:spacing w:before="0" w:after="0"/>
              <w:ind w:left="225" w:right="0" w:hanging="225"/>
              <w:rPr/>
            </w:pPr>
            <w:r>
              <w:rPr/>
              <w:t>Long-term liabilities:</w:t>
            </w:r>
          </w:p>
        </w:tc>
        <w:tc>
          <w:tcPr>
            <w:tcW w:w="274"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7130" w:type="dxa"/>
            <w:tcBorders/>
            <w:shd w:fill="CCEEFF" w:val="clear"/>
            <w:vAlign w:val="bottom"/>
          </w:tcPr>
          <w:p>
            <w:pPr>
              <w:pStyle w:val="TableContents"/>
              <w:spacing w:before="0" w:after="0"/>
              <w:ind w:left="450" w:right="0" w:hanging="225"/>
              <w:rPr/>
            </w:pPr>
            <w:r>
              <w:rPr/>
              <w:t>Long-term obligations, less current portion</w:t>
            </w:r>
          </w:p>
        </w:tc>
        <w:tc>
          <w:tcPr>
            <w:tcW w:w="274"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18</w:t>
            </w:r>
          </w:p>
        </w:tc>
        <w:tc>
          <w:tcPr>
            <w:tcW w:w="11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34</w:t>
            </w:r>
          </w:p>
        </w:tc>
        <w:tc>
          <w:tcPr>
            <w:tcW w:w="123" w:type="dxa"/>
            <w:tcBorders/>
            <w:shd w:fill="CCEEFF" w:val="clear"/>
            <w:vAlign w:val="bottom"/>
          </w:tcPr>
          <w:p>
            <w:pPr>
              <w:pStyle w:val="TableContents"/>
              <w:spacing w:before="0" w:after="283"/>
              <w:rPr/>
            </w:pPr>
            <w:r>
              <w:rPr/>
              <w:t> </w:t>
            </w:r>
          </w:p>
        </w:tc>
      </w:tr>
      <w:tr>
        <w:trPr/>
        <w:tc>
          <w:tcPr>
            <w:tcW w:w="7130" w:type="dxa"/>
            <w:tcBorders/>
            <w:shd w:fill="auto" w:val="clear"/>
            <w:vAlign w:val="bottom"/>
          </w:tcPr>
          <w:p>
            <w:pPr>
              <w:pStyle w:val="TableContents"/>
              <w:spacing w:before="0" w:after="0"/>
              <w:ind w:left="450" w:right="0" w:hanging="225"/>
              <w:rPr/>
            </w:pPr>
            <w:r>
              <w:rPr/>
              <w:t>Deferred income taxes</w:t>
            </w:r>
          </w:p>
        </w:tc>
        <w:tc>
          <w:tcPr>
            <w:tcW w:w="274"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840</w:t>
            </w:r>
          </w:p>
        </w:tc>
        <w:tc>
          <w:tcPr>
            <w:tcW w:w="11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840</w:t>
            </w:r>
          </w:p>
        </w:tc>
        <w:tc>
          <w:tcPr>
            <w:tcW w:w="123" w:type="dxa"/>
            <w:tcBorders/>
            <w:shd w:fill="auto" w:val="clear"/>
            <w:vAlign w:val="bottom"/>
          </w:tcPr>
          <w:p>
            <w:pPr>
              <w:pStyle w:val="TableContents"/>
              <w:spacing w:before="0" w:after="283"/>
              <w:rPr/>
            </w:pPr>
            <w:r>
              <w:rPr/>
              <w:t> </w:t>
            </w:r>
          </w:p>
        </w:tc>
      </w:tr>
      <w:tr>
        <w:trPr/>
        <w:tc>
          <w:tcPr>
            <w:tcW w:w="7130" w:type="dxa"/>
            <w:tcBorders/>
            <w:shd w:fill="auto" w:val="clear"/>
            <w:vAlign w:val="center"/>
          </w:tcPr>
          <w:p>
            <w:pPr>
              <w:pStyle w:val="TableContents"/>
              <w:spacing w:before="0" w:after="0"/>
              <w:ind w:left="225" w:right="0" w:hanging="225"/>
              <w:rPr/>
            </w:pPr>
            <w:r>
              <w:rPr/>
              <w:t> </w:t>
            </w:r>
          </w:p>
        </w:tc>
        <w:tc>
          <w:tcPr>
            <w:tcW w:w="274" w:type="dxa"/>
            <w:tcBorders/>
            <w:shd w:fill="auto" w:val="clear"/>
            <w:vAlign w:val="center"/>
          </w:tcPr>
          <w:p>
            <w:pPr>
              <w:pStyle w:val="TableContents"/>
              <w:spacing w:before="0" w:after="283"/>
              <w:rPr/>
            </w:pPr>
            <w:r>
              <w:rPr/>
              <w:t> </w:t>
            </w:r>
          </w:p>
        </w:tc>
        <w:tc>
          <w:tcPr>
            <w:tcW w:w="10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2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7130" w:type="dxa"/>
            <w:tcBorders/>
            <w:shd w:fill="CCEEFF" w:val="clear"/>
            <w:vAlign w:val="bottom"/>
          </w:tcPr>
          <w:p>
            <w:pPr>
              <w:pStyle w:val="TableContents"/>
              <w:spacing w:before="0" w:after="0"/>
              <w:ind w:left="675" w:right="0" w:hanging="225"/>
              <w:rPr/>
            </w:pPr>
            <w:r>
              <w:rPr/>
              <w:t>Total long-term liabilities</w:t>
            </w:r>
          </w:p>
        </w:tc>
        <w:tc>
          <w:tcPr>
            <w:tcW w:w="274"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858</w:t>
            </w:r>
          </w:p>
        </w:tc>
        <w:tc>
          <w:tcPr>
            <w:tcW w:w="11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874</w:t>
            </w:r>
          </w:p>
        </w:tc>
        <w:tc>
          <w:tcPr>
            <w:tcW w:w="123" w:type="dxa"/>
            <w:tcBorders/>
            <w:shd w:fill="CCEEFF" w:val="clear"/>
            <w:vAlign w:val="bottom"/>
          </w:tcPr>
          <w:p>
            <w:pPr>
              <w:pStyle w:val="TableContents"/>
              <w:spacing w:before="0" w:after="283"/>
              <w:rPr/>
            </w:pPr>
            <w:r>
              <w:rPr/>
              <w:t> </w:t>
            </w:r>
          </w:p>
        </w:tc>
      </w:tr>
      <w:tr>
        <w:trPr/>
        <w:tc>
          <w:tcPr>
            <w:tcW w:w="7130" w:type="dxa"/>
            <w:tcBorders/>
            <w:shd w:fill="auto" w:val="clear"/>
            <w:vAlign w:val="bottom"/>
          </w:tcPr>
          <w:p>
            <w:pPr>
              <w:pStyle w:val="TableContents"/>
              <w:spacing w:before="0" w:after="0"/>
              <w:ind w:left="225" w:right="0" w:hanging="225"/>
              <w:rPr/>
            </w:pPr>
            <w:r>
              <w:rPr/>
              <w:t>Commitments and contingencies</w:t>
            </w:r>
          </w:p>
        </w:tc>
        <w:tc>
          <w:tcPr>
            <w:tcW w:w="274"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7130" w:type="dxa"/>
            <w:tcBorders/>
            <w:shd w:fill="CCEEFF" w:val="clear"/>
            <w:vAlign w:val="bottom"/>
          </w:tcPr>
          <w:p>
            <w:pPr>
              <w:pStyle w:val="TableContents"/>
              <w:spacing w:before="0" w:after="0"/>
              <w:ind w:left="225" w:right="0" w:hanging="225"/>
              <w:rPr/>
            </w:pPr>
            <w:r>
              <w:rPr/>
              <w:t>Total shareholders equity</w:t>
            </w:r>
          </w:p>
        </w:tc>
        <w:tc>
          <w:tcPr>
            <w:tcW w:w="274"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45,094</w:t>
            </w:r>
          </w:p>
        </w:tc>
        <w:tc>
          <w:tcPr>
            <w:tcW w:w="11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43,937</w:t>
            </w:r>
          </w:p>
        </w:tc>
        <w:tc>
          <w:tcPr>
            <w:tcW w:w="123" w:type="dxa"/>
            <w:tcBorders/>
            <w:shd w:fill="CCEEFF" w:val="clear"/>
            <w:vAlign w:val="bottom"/>
          </w:tcPr>
          <w:p>
            <w:pPr>
              <w:pStyle w:val="TableContents"/>
              <w:spacing w:before="0" w:after="283"/>
              <w:rPr/>
            </w:pPr>
            <w:r>
              <w:rPr/>
              <w:t> </w:t>
            </w:r>
          </w:p>
        </w:tc>
      </w:tr>
      <w:tr>
        <w:trPr/>
        <w:tc>
          <w:tcPr>
            <w:tcW w:w="7130" w:type="dxa"/>
            <w:tcBorders/>
            <w:shd w:fill="auto" w:val="clear"/>
            <w:vAlign w:val="center"/>
          </w:tcPr>
          <w:p>
            <w:pPr>
              <w:pStyle w:val="TableContents"/>
              <w:spacing w:before="0" w:after="0"/>
              <w:ind w:left="225" w:right="0" w:hanging="225"/>
              <w:rPr/>
            </w:pPr>
            <w:r>
              <w:rPr/>
              <w:t> </w:t>
            </w:r>
          </w:p>
        </w:tc>
        <w:tc>
          <w:tcPr>
            <w:tcW w:w="274" w:type="dxa"/>
            <w:tcBorders/>
            <w:shd w:fill="auto" w:val="clear"/>
            <w:vAlign w:val="center"/>
          </w:tcPr>
          <w:p>
            <w:pPr>
              <w:pStyle w:val="TableContents"/>
              <w:spacing w:before="0" w:after="283"/>
              <w:rPr/>
            </w:pPr>
            <w:r>
              <w:rPr/>
              <w:t> </w:t>
            </w:r>
          </w:p>
        </w:tc>
        <w:tc>
          <w:tcPr>
            <w:tcW w:w="10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2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7130" w:type="dxa"/>
            <w:tcBorders/>
            <w:shd w:fill="auto" w:val="clear"/>
            <w:vAlign w:val="bottom"/>
          </w:tcPr>
          <w:p>
            <w:pPr>
              <w:pStyle w:val="TableContents"/>
              <w:spacing w:before="0" w:after="0"/>
              <w:ind w:left="225" w:right="0" w:hanging="225"/>
              <w:rPr/>
            </w:pPr>
            <w:r>
              <w:rPr/>
              <w:t> </w:t>
            </w:r>
          </w:p>
        </w:tc>
        <w:tc>
          <w:tcPr>
            <w:tcW w:w="274"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69,275</w:t>
            </w:r>
          </w:p>
        </w:tc>
        <w:tc>
          <w:tcPr>
            <w:tcW w:w="11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left"/>
              <w:rPr/>
            </w:pPr>
            <w:r>
              <w:rPr/>
              <w:t>$</w:t>
            </w:r>
          </w:p>
        </w:tc>
        <w:tc>
          <w:tcPr>
            <w:tcW w:w="1026" w:type="dxa"/>
            <w:tcBorders/>
            <w:shd w:fill="auto" w:val="clear"/>
            <w:vAlign w:val="bottom"/>
          </w:tcPr>
          <w:p>
            <w:pPr>
              <w:pStyle w:val="TableContents"/>
              <w:spacing w:before="0" w:after="283"/>
              <w:jc w:val="right"/>
              <w:rPr/>
            </w:pPr>
            <w:r>
              <w:rPr/>
              <w:t>67,398</w:t>
            </w:r>
          </w:p>
        </w:tc>
        <w:tc>
          <w:tcPr>
            <w:tcW w:w="123" w:type="dxa"/>
            <w:tcBorders/>
            <w:shd w:fill="auto" w:val="clear"/>
            <w:vAlign w:val="bottom"/>
          </w:tcPr>
          <w:p>
            <w:pPr>
              <w:pStyle w:val="TableContents"/>
              <w:spacing w:before="0" w:after="283"/>
              <w:rPr/>
            </w:pPr>
            <w:r>
              <w:rPr/>
              <w:t> </w:t>
            </w:r>
          </w:p>
        </w:tc>
      </w:tr>
      <w:tr>
        <w:trPr/>
        <w:tc>
          <w:tcPr>
            <w:tcW w:w="7130" w:type="dxa"/>
            <w:tcBorders/>
            <w:shd w:fill="auto" w:val="clear"/>
            <w:vAlign w:val="center"/>
          </w:tcPr>
          <w:p>
            <w:pPr>
              <w:pStyle w:val="TableContents"/>
              <w:spacing w:before="0" w:after="0"/>
              <w:ind w:left="225" w:right="0" w:hanging="225"/>
              <w:rPr/>
            </w:pPr>
            <w:r>
              <w:rPr/>
              <w:t> </w:t>
            </w:r>
          </w:p>
        </w:tc>
        <w:tc>
          <w:tcPr>
            <w:tcW w:w="274" w:type="dxa"/>
            <w:tcBorders/>
            <w:shd w:fill="auto" w:val="clear"/>
            <w:vAlign w:val="center"/>
          </w:tcPr>
          <w:p>
            <w:pPr>
              <w:pStyle w:val="TableContents"/>
              <w:spacing w:before="0" w:after="283"/>
              <w:rPr/>
            </w:pPr>
            <w:r>
              <w:rPr/>
              <w:t> </w:t>
            </w:r>
          </w:p>
        </w:tc>
        <w:tc>
          <w:tcPr>
            <w:tcW w:w="10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123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center"/>
        <w:rPr>
          <w:rFonts w:ascii="Times New Roman;Times;serif" w:hAnsi="Times New Roman;Times;serif"/>
          <w:sz w:val="17"/>
        </w:rPr>
      </w:pPr>
      <w:r>
        <w:rPr>
          <w:rFonts w:ascii="Times New Roman;Times;serif" w:hAnsi="Times New Roman;Times;serif"/>
          <w:b/>
          <w:sz w:val="17"/>
        </w:rPr>
        <w:t>CALAVO GROWERS, INC.</w:t>
        <w:br/>
        <w:t>CONSOLIDATED CONDENSED STATEMENTS OF INCOME (UNAUDITED)</w:t>
        <w:br/>
        <w:t>(All amounts in thousands, except per share amounts)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811"/>
        <w:gridCol w:w="242"/>
        <w:gridCol w:w="169"/>
        <w:gridCol w:w="835"/>
        <w:gridCol w:w="112"/>
        <w:gridCol w:w="250"/>
        <w:gridCol w:w="169"/>
        <w:gridCol w:w="836"/>
        <w:gridCol w:w="104"/>
        <w:gridCol w:w="242"/>
        <w:gridCol w:w="152"/>
        <w:gridCol w:w="824"/>
        <w:gridCol w:w="125"/>
        <w:gridCol w:w="242"/>
        <w:gridCol w:w="152"/>
        <w:gridCol w:w="823"/>
        <w:gridCol w:w="117"/>
      </w:tblGrid>
      <w:tr>
        <w:trPr/>
        <w:tc>
          <w:tcPr>
            <w:tcW w:w="4811"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811"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2371" w:type="dxa"/>
            <w:gridSpan w:val="6"/>
            <w:tcBorders/>
            <w:shd w:fill="auto" w:val="clear"/>
            <w:vAlign w:val="bottom"/>
          </w:tcPr>
          <w:p>
            <w:pPr>
              <w:pStyle w:val="TableContents"/>
              <w:spacing w:before="0" w:after="283"/>
              <w:jc w:val="center"/>
              <w:rPr>
                <w:b/>
              </w:rPr>
            </w:pPr>
            <w:r>
              <w:rPr>
                <w:b/>
              </w:rPr>
              <w:t>Three months ended</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2318" w:type="dxa"/>
            <w:gridSpan w:val="6"/>
            <w:tcBorders/>
            <w:shd w:fill="auto" w:val="clear"/>
            <w:vAlign w:val="bottom"/>
          </w:tcPr>
          <w:p>
            <w:pPr>
              <w:pStyle w:val="TableContents"/>
              <w:spacing w:before="0" w:after="283"/>
              <w:jc w:val="center"/>
              <w:rPr>
                <w:b/>
              </w:rPr>
            </w:pPr>
            <w:r>
              <w:rPr>
                <w:b/>
              </w:rPr>
              <w:t>Six months ended</w:t>
            </w:r>
          </w:p>
        </w:tc>
        <w:tc>
          <w:tcPr>
            <w:tcW w:w="117" w:type="dxa"/>
            <w:tcBorders/>
            <w:shd w:fill="auto" w:val="clear"/>
            <w:vAlign w:val="bottom"/>
          </w:tcPr>
          <w:p>
            <w:pPr>
              <w:pStyle w:val="TableContents"/>
              <w:spacing w:before="0" w:after="283"/>
              <w:rPr/>
            </w:pPr>
            <w:r>
              <w:rPr/>
              <w:t> </w:t>
            </w:r>
          </w:p>
        </w:tc>
      </w:tr>
      <w:tr>
        <w:trPr/>
        <w:tc>
          <w:tcPr>
            <w:tcW w:w="4811"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2371"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April 30,</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2318"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April 30,</w:t>
            </w:r>
          </w:p>
        </w:tc>
        <w:tc>
          <w:tcPr>
            <w:tcW w:w="117" w:type="dxa"/>
            <w:tcBorders/>
            <w:shd w:fill="auto" w:val="clear"/>
            <w:vAlign w:val="bottom"/>
          </w:tcPr>
          <w:p>
            <w:pPr>
              <w:pStyle w:val="TableContents"/>
              <w:spacing w:before="0" w:after="283"/>
              <w:rPr/>
            </w:pPr>
            <w:r>
              <w:rPr/>
              <w:t> </w:t>
            </w:r>
          </w:p>
        </w:tc>
      </w:tr>
      <w:tr>
        <w:trPr/>
        <w:tc>
          <w:tcPr>
            <w:tcW w:w="4811"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00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12"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00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7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2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7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17" w:type="dxa"/>
            <w:tcBorders/>
            <w:shd w:fill="auto" w:val="clear"/>
            <w:vAlign w:val="bottom"/>
          </w:tcPr>
          <w:p>
            <w:pPr>
              <w:pStyle w:val="TableContents"/>
              <w:spacing w:before="0" w:after="283"/>
              <w:rPr/>
            </w:pPr>
            <w:r>
              <w:rPr/>
              <w:t> </w:t>
            </w:r>
          </w:p>
        </w:tc>
      </w:tr>
      <w:tr>
        <w:trPr/>
        <w:tc>
          <w:tcPr>
            <w:tcW w:w="4811" w:type="dxa"/>
            <w:tcBorders/>
            <w:shd w:fill="CCEEFF" w:val="clear"/>
            <w:vAlign w:val="bottom"/>
          </w:tcPr>
          <w:p>
            <w:pPr>
              <w:pStyle w:val="TableContents"/>
              <w:spacing w:before="0" w:after="0"/>
              <w:ind w:left="225" w:right="0" w:hanging="225"/>
              <w:rPr/>
            </w:pPr>
            <w:r>
              <w:rPr/>
              <w:t>Net sales</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5" w:type="dxa"/>
            <w:tcBorders/>
            <w:shd w:fill="CCEEFF" w:val="clear"/>
            <w:vAlign w:val="bottom"/>
          </w:tcPr>
          <w:p>
            <w:pPr>
              <w:pStyle w:val="TableContents"/>
              <w:spacing w:before="0" w:after="283"/>
              <w:jc w:val="right"/>
              <w:rPr/>
            </w:pPr>
            <w:r>
              <w:rPr/>
              <w:t>60,206</w:t>
            </w:r>
          </w:p>
        </w:tc>
        <w:tc>
          <w:tcPr>
            <w:tcW w:w="112"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6" w:type="dxa"/>
            <w:tcBorders/>
            <w:shd w:fill="CCEEFF" w:val="clear"/>
            <w:vAlign w:val="bottom"/>
          </w:tcPr>
          <w:p>
            <w:pPr>
              <w:pStyle w:val="TableContents"/>
              <w:spacing w:before="0" w:after="283"/>
              <w:jc w:val="right"/>
              <w:rPr/>
            </w:pPr>
            <w:r>
              <w:rPr/>
              <w:t>76,421</w:t>
            </w:r>
          </w:p>
        </w:tc>
        <w:tc>
          <w:tcPr>
            <w:tcW w:w="104"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24" w:type="dxa"/>
            <w:tcBorders/>
            <w:shd w:fill="CCEEFF" w:val="clear"/>
            <w:vAlign w:val="bottom"/>
          </w:tcPr>
          <w:p>
            <w:pPr>
              <w:pStyle w:val="TableContents"/>
              <w:spacing w:before="0" w:after="283"/>
              <w:jc w:val="right"/>
              <w:rPr/>
            </w:pPr>
            <w:r>
              <w:rPr/>
              <w:t>107,877</w:t>
            </w:r>
          </w:p>
        </w:tc>
        <w:tc>
          <w:tcPr>
            <w:tcW w:w="12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125,464</w:t>
            </w:r>
          </w:p>
        </w:tc>
        <w:tc>
          <w:tcPr>
            <w:tcW w:w="117" w:type="dxa"/>
            <w:tcBorders/>
            <w:shd w:fill="CCEEFF" w:val="clear"/>
            <w:vAlign w:val="bottom"/>
          </w:tcPr>
          <w:p>
            <w:pPr>
              <w:pStyle w:val="TableContents"/>
              <w:spacing w:before="0" w:after="283"/>
              <w:rPr/>
            </w:pPr>
            <w:r>
              <w:rPr/>
              <w:t> </w:t>
            </w:r>
          </w:p>
        </w:tc>
      </w:tr>
      <w:tr>
        <w:trPr/>
        <w:tc>
          <w:tcPr>
            <w:tcW w:w="4811" w:type="dxa"/>
            <w:tcBorders/>
            <w:shd w:fill="auto" w:val="clear"/>
            <w:vAlign w:val="bottom"/>
          </w:tcPr>
          <w:p>
            <w:pPr>
              <w:pStyle w:val="TableContents"/>
              <w:spacing w:before="0" w:after="0"/>
              <w:ind w:left="225" w:right="0" w:hanging="225"/>
              <w:rPr/>
            </w:pPr>
            <w:r>
              <w:rPr/>
              <w:t>Cost of sales</w:t>
            </w:r>
          </w:p>
        </w:tc>
        <w:tc>
          <w:tcPr>
            <w:tcW w:w="24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53,851</w:t>
            </w:r>
          </w:p>
        </w:tc>
        <w:tc>
          <w:tcPr>
            <w:tcW w:w="112"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jc w:val="right"/>
              <w:rPr/>
            </w:pPr>
            <w:r>
              <w:rPr/>
              <w:t>68,668</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99,570</w:t>
            </w:r>
          </w:p>
        </w:tc>
        <w:tc>
          <w:tcPr>
            <w:tcW w:w="12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114,627</w:t>
            </w:r>
          </w:p>
        </w:tc>
        <w:tc>
          <w:tcPr>
            <w:tcW w:w="117" w:type="dxa"/>
            <w:tcBorders/>
            <w:shd w:fill="auto" w:val="clear"/>
            <w:vAlign w:val="bottom"/>
          </w:tcPr>
          <w:p>
            <w:pPr>
              <w:pStyle w:val="TableContents"/>
              <w:spacing w:before="0" w:after="283"/>
              <w:rPr/>
            </w:pPr>
            <w:r>
              <w:rPr/>
              <w:t> </w:t>
            </w:r>
          </w:p>
        </w:tc>
      </w:tr>
      <w:tr>
        <w:trPr/>
        <w:tc>
          <w:tcPr>
            <w:tcW w:w="4811" w:type="dxa"/>
            <w:tcBorders/>
            <w:shd w:fill="auto" w:val="clear"/>
            <w:vAlign w:val="center"/>
          </w:tcPr>
          <w:p>
            <w:pPr>
              <w:pStyle w:val="TableContents"/>
              <w:spacing w:before="0" w:after="0"/>
              <w:ind w:left="225" w:right="0" w:hanging="225"/>
              <w:rPr/>
            </w:pPr>
            <w:r>
              <w:rPr/>
              <w:t> </w:t>
            </w:r>
          </w:p>
        </w:tc>
        <w:tc>
          <w:tcPr>
            <w:tcW w:w="242" w:type="dxa"/>
            <w:tcBorders/>
            <w:shd w:fill="auto" w:val="clear"/>
            <w:vAlign w:val="center"/>
          </w:tcPr>
          <w:p>
            <w:pPr>
              <w:pStyle w:val="TableContents"/>
              <w:spacing w:before="0" w:after="283"/>
              <w:rPr/>
            </w:pPr>
            <w:r>
              <w:rPr/>
              <w:t> </w:t>
            </w:r>
          </w:p>
        </w:tc>
        <w:tc>
          <w:tcPr>
            <w:tcW w:w="10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0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811" w:type="dxa"/>
            <w:tcBorders/>
            <w:shd w:fill="CCEEFF" w:val="clear"/>
            <w:vAlign w:val="bottom"/>
          </w:tcPr>
          <w:p>
            <w:pPr>
              <w:pStyle w:val="TableContents"/>
              <w:spacing w:before="0" w:after="0"/>
              <w:ind w:left="225" w:right="0" w:hanging="225"/>
              <w:rPr/>
            </w:pPr>
            <w:r>
              <w:rPr/>
              <w:t>Gross margin</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6,355</w:t>
            </w:r>
          </w:p>
        </w:tc>
        <w:tc>
          <w:tcPr>
            <w:tcW w:w="112"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pPr>
            <w:r>
              <w:rPr/>
              <w:t>7,753</w:t>
            </w:r>
          </w:p>
        </w:tc>
        <w:tc>
          <w:tcPr>
            <w:tcW w:w="104"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8,307</w:t>
            </w:r>
          </w:p>
        </w:tc>
        <w:tc>
          <w:tcPr>
            <w:tcW w:w="12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10,837</w:t>
            </w:r>
          </w:p>
        </w:tc>
        <w:tc>
          <w:tcPr>
            <w:tcW w:w="117" w:type="dxa"/>
            <w:tcBorders/>
            <w:shd w:fill="CCEEFF" w:val="clear"/>
            <w:vAlign w:val="bottom"/>
          </w:tcPr>
          <w:p>
            <w:pPr>
              <w:pStyle w:val="TableContents"/>
              <w:spacing w:before="0" w:after="283"/>
              <w:rPr/>
            </w:pPr>
            <w:r>
              <w:rPr/>
              <w:t> </w:t>
            </w:r>
          </w:p>
        </w:tc>
      </w:tr>
      <w:tr>
        <w:trPr/>
        <w:tc>
          <w:tcPr>
            <w:tcW w:w="4811" w:type="dxa"/>
            <w:tcBorders/>
            <w:shd w:fill="auto" w:val="clear"/>
            <w:vAlign w:val="bottom"/>
          </w:tcPr>
          <w:p>
            <w:pPr>
              <w:pStyle w:val="TableContents"/>
              <w:spacing w:before="0" w:after="0"/>
              <w:ind w:left="225" w:right="0" w:hanging="225"/>
              <w:rPr/>
            </w:pPr>
            <w:r>
              <w:rPr/>
              <w:t>Selling, general and administrative</w:t>
            </w:r>
          </w:p>
        </w:tc>
        <w:tc>
          <w:tcPr>
            <w:tcW w:w="24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4,307</w:t>
            </w:r>
          </w:p>
        </w:tc>
        <w:tc>
          <w:tcPr>
            <w:tcW w:w="112"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jc w:val="right"/>
              <w:rPr/>
            </w:pPr>
            <w:r>
              <w:rPr/>
              <w:t>3,969</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8,820</w:t>
            </w:r>
          </w:p>
        </w:tc>
        <w:tc>
          <w:tcPr>
            <w:tcW w:w="12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7,656</w:t>
            </w:r>
          </w:p>
        </w:tc>
        <w:tc>
          <w:tcPr>
            <w:tcW w:w="117" w:type="dxa"/>
            <w:tcBorders/>
            <w:shd w:fill="auto" w:val="clear"/>
            <w:vAlign w:val="bottom"/>
          </w:tcPr>
          <w:p>
            <w:pPr>
              <w:pStyle w:val="TableContents"/>
              <w:spacing w:before="0" w:after="283"/>
              <w:rPr/>
            </w:pPr>
            <w:r>
              <w:rPr/>
              <w:t> </w:t>
            </w:r>
          </w:p>
        </w:tc>
      </w:tr>
      <w:tr>
        <w:trPr/>
        <w:tc>
          <w:tcPr>
            <w:tcW w:w="4811" w:type="dxa"/>
            <w:tcBorders/>
            <w:shd w:fill="auto" w:val="clear"/>
            <w:vAlign w:val="center"/>
          </w:tcPr>
          <w:p>
            <w:pPr>
              <w:pStyle w:val="TableContents"/>
              <w:spacing w:before="0" w:after="0"/>
              <w:ind w:left="225" w:right="0" w:hanging="225"/>
              <w:rPr/>
            </w:pPr>
            <w:r>
              <w:rPr/>
              <w:t> </w:t>
            </w:r>
          </w:p>
        </w:tc>
        <w:tc>
          <w:tcPr>
            <w:tcW w:w="242" w:type="dxa"/>
            <w:tcBorders/>
            <w:shd w:fill="auto" w:val="clear"/>
            <w:vAlign w:val="center"/>
          </w:tcPr>
          <w:p>
            <w:pPr>
              <w:pStyle w:val="TableContents"/>
              <w:spacing w:before="0" w:after="283"/>
              <w:rPr/>
            </w:pPr>
            <w:r>
              <w:rPr/>
              <w:t> </w:t>
            </w:r>
          </w:p>
        </w:tc>
        <w:tc>
          <w:tcPr>
            <w:tcW w:w="10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0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811" w:type="dxa"/>
            <w:tcBorders/>
            <w:shd w:fill="CCEEFF" w:val="clear"/>
            <w:vAlign w:val="bottom"/>
          </w:tcPr>
          <w:p>
            <w:pPr>
              <w:pStyle w:val="TableContents"/>
              <w:spacing w:before="0" w:after="0"/>
              <w:ind w:left="225" w:right="0" w:hanging="225"/>
              <w:rPr/>
            </w:pPr>
            <w:r>
              <w:rPr/>
              <w:t>Operating income (loss)</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2,048</w:t>
            </w:r>
          </w:p>
        </w:tc>
        <w:tc>
          <w:tcPr>
            <w:tcW w:w="112"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pPr>
            <w:r>
              <w:rPr/>
              <w:t>3,784</w:t>
            </w:r>
          </w:p>
        </w:tc>
        <w:tc>
          <w:tcPr>
            <w:tcW w:w="104"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824" w:type="dxa"/>
            <w:tcBorders/>
            <w:shd w:fill="CCEEFF" w:val="clear"/>
            <w:vAlign w:val="bottom"/>
          </w:tcPr>
          <w:p>
            <w:pPr>
              <w:pStyle w:val="TableContents"/>
              <w:spacing w:before="0" w:after="283"/>
              <w:jc w:val="right"/>
              <w:rPr/>
            </w:pPr>
            <w:r>
              <w:rPr/>
              <w:t>(513</w:t>
            </w:r>
          </w:p>
        </w:tc>
        <w:tc>
          <w:tcPr>
            <w:tcW w:w="125" w:type="dxa"/>
            <w:tcBorders/>
            <w:shd w:fill="CCEEFF" w:val="clear"/>
            <w:vAlign w:val="bottom"/>
          </w:tcPr>
          <w:p>
            <w:pPr>
              <w:pStyle w:val="TableContents"/>
              <w:spacing w:before="0" w:after="283"/>
              <w:rPr/>
            </w:pPr>
            <w:r>
              <w:rPr/>
              <w:t>)</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3,181</w:t>
            </w:r>
          </w:p>
        </w:tc>
        <w:tc>
          <w:tcPr>
            <w:tcW w:w="117" w:type="dxa"/>
            <w:tcBorders/>
            <w:shd w:fill="CCEEFF" w:val="clear"/>
            <w:vAlign w:val="bottom"/>
          </w:tcPr>
          <w:p>
            <w:pPr>
              <w:pStyle w:val="TableContents"/>
              <w:spacing w:before="0" w:after="283"/>
              <w:rPr/>
            </w:pPr>
            <w:r>
              <w:rPr/>
              <w:t> </w:t>
            </w:r>
          </w:p>
        </w:tc>
      </w:tr>
      <w:tr>
        <w:trPr/>
        <w:tc>
          <w:tcPr>
            <w:tcW w:w="4811" w:type="dxa"/>
            <w:tcBorders/>
            <w:shd w:fill="auto" w:val="clear"/>
            <w:vAlign w:val="bottom"/>
          </w:tcPr>
          <w:p>
            <w:pPr>
              <w:pStyle w:val="TableContents"/>
              <w:spacing w:before="0" w:after="0"/>
              <w:ind w:left="225" w:right="0" w:hanging="225"/>
              <w:rPr/>
            </w:pPr>
            <w:r>
              <w:rPr/>
              <w:t>Other income, net</w:t>
            </w:r>
          </w:p>
        </w:tc>
        <w:tc>
          <w:tcPr>
            <w:tcW w:w="24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1,909</w:t>
            </w:r>
          </w:p>
        </w:tc>
        <w:tc>
          <w:tcPr>
            <w:tcW w:w="112"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jc w:val="right"/>
              <w:rPr/>
            </w:pPr>
            <w:r>
              <w:rPr/>
              <w:t>106</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1,991</w:t>
            </w:r>
          </w:p>
        </w:tc>
        <w:tc>
          <w:tcPr>
            <w:tcW w:w="12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220</w:t>
            </w:r>
          </w:p>
        </w:tc>
        <w:tc>
          <w:tcPr>
            <w:tcW w:w="117" w:type="dxa"/>
            <w:tcBorders/>
            <w:shd w:fill="auto" w:val="clear"/>
            <w:vAlign w:val="bottom"/>
          </w:tcPr>
          <w:p>
            <w:pPr>
              <w:pStyle w:val="TableContents"/>
              <w:spacing w:before="0" w:after="283"/>
              <w:rPr/>
            </w:pPr>
            <w:r>
              <w:rPr/>
              <w:t> </w:t>
            </w:r>
          </w:p>
        </w:tc>
      </w:tr>
      <w:tr>
        <w:trPr/>
        <w:tc>
          <w:tcPr>
            <w:tcW w:w="4811" w:type="dxa"/>
            <w:tcBorders/>
            <w:shd w:fill="auto" w:val="clear"/>
            <w:vAlign w:val="center"/>
          </w:tcPr>
          <w:p>
            <w:pPr>
              <w:pStyle w:val="TableContents"/>
              <w:spacing w:before="0" w:after="0"/>
              <w:ind w:left="225" w:right="0" w:hanging="225"/>
              <w:rPr/>
            </w:pPr>
            <w:r>
              <w:rPr/>
              <w:t> </w:t>
            </w:r>
          </w:p>
        </w:tc>
        <w:tc>
          <w:tcPr>
            <w:tcW w:w="242" w:type="dxa"/>
            <w:tcBorders/>
            <w:shd w:fill="auto" w:val="clear"/>
            <w:vAlign w:val="center"/>
          </w:tcPr>
          <w:p>
            <w:pPr>
              <w:pStyle w:val="TableContents"/>
              <w:spacing w:before="0" w:after="283"/>
              <w:rPr/>
            </w:pPr>
            <w:r>
              <w:rPr/>
              <w:t> </w:t>
            </w:r>
          </w:p>
        </w:tc>
        <w:tc>
          <w:tcPr>
            <w:tcW w:w="10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0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811" w:type="dxa"/>
            <w:tcBorders/>
            <w:shd w:fill="CCEEFF" w:val="clear"/>
            <w:vAlign w:val="bottom"/>
          </w:tcPr>
          <w:p>
            <w:pPr>
              <w:pStyle w:val="TableContents"/>
              <w:spacing w:before="0" w:after="0"/>
              <w:ind w:left="225" w:right="0" w:hanging="225"/>
              <w:rPr/>
            </w:pPr>
            <w:r>
              <w:rPr/>
              <w:t>Income before provision for income taxes</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3,957</w:t>
            </w:r>
          </w:p>
        </w:tc>
        <w:tc>
          <w:tcPr>
            <w:tcW w:w="112"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pPr>
            <w:r>
              <w:rPr/>
              <w:t>3,890</w:t>
            </w:r>
          </w:p>
        </w:tc>
        <w:tc>
          <w:tcPr>
            <w:tcW w:w="104"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1,478</w:t>
            </w:r>
          </w:p>
        </w:tc>
        <w:tc>
          <w:tcPr>
            <w:tcW w:w="12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3,401</w:t>
            </w:r>
          </w:p>
        </w:tc>
        <w:tc>
          <w:tcPr>
            <w:tcW w:w="117" w:type="dxa"/>
            <w:tcBorders/>
            <w:shd w:fill="CCEEFF" w:val="clear"/>
            <w:vAlign w:val="bottom"/>
          </w:tcPr>
          <w:p>
            <w:pPr>
              <w:pStyle w:val="TableContents"/>
              <w:spacing w:before="0" w:after="283"/>
              <w:rPr/>
            </w:pPr>
            <w:r>
              <w:rPr/>
              <w:t> </w:t>
            </w:r>
          </w:p>
        </w:tc>
      </w:tr>
      <w:tr>
        <w:trPr/>
        <w:tc>
          <w:tcPr>
            <w:tcW w:w="4811" w:type="dxa"/>
            <w:tcBorders/>
            <w:shd w:fill="auto" w:val="clear"/>
            <w:vAlign w:val="bottom"/>
          </w:tcPr>
          <w:p>
            <w:pPr>
              <w:pStyle w:val="TableContents"/>
              <w:spacing w:before="0" w:after="0"/>
              <w:ind w:left="225" w:right="0" w:hanging="225"/>
              <w:rPr/>
            </w:pPr>
            <w:r>
              <w:rPr/>
              <w:t>Provision for income taxes</w:t>
            </w:r>
          </w:p>
        </w:tc>
        <w:tc>
          <w:tcPr>
            <w:tcW w:w="24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1,490</w:t>
            </w:r>
          </w:p>
        </w:tc>
        <w:tc>
          <w:tcPr>
            <w:tcW w:w="112"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jc w:val="right"/>
              <w:rPr/>
            </w:pPr>
            <w:r>
              <w:rPr/>
              <w:t>1,556</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558</w:t>
            </w:r>
          </w:p>
        </w:tc>
        <w:tc>
          <w:tcPr>
            <w:tcW w:w="12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1,361</w:t>
            </w:r>
          </w:p>
        </w:tc>
        <w:tc>
          <w:tcPr>
            <w:tcW w:w="117" w:type="dxa"/>
            <w:tcBorders/>
            <w:shd w:fill="auto" w:val="clear"/>
            <w:vAlign w:val="bottom"/>
          </w:tcPr>
          <w:p>
            <w:pPr>
              <w:pStyle w:val="TableContents"/>
              <w:spacing w:before="0" w:after="283"/>
              <w:rPr/>
            </w:pPr>
            <w:r>
              <w:rPr/>
              <w:t> </w:t>
            </w:r>
          </w:p>
        </w:tc>
      </w:tr>
      <w:tr>
        <w:trPr/>
        <w:tc>
          <w:tcPr>
            <w:tcW w:w="4811" w:type="dxa"/>
            <w:tcBorders/>
            <w:shd w:fill="auto" w:val="clear"/>
            <w:vAlign w:val="center"/>
          </w:tcPr>
          <w:p>
            <w:pPr>
              <w:pStyle w:val="TableContents"/>
              <w:spacing w:before="0" w:after="0"/>
              <w:ind w:left="225" w:right="0" w:hanging="225"/>
              <w:rPr/>
            </w:pPr>
            <w:r>
              <w:rPr/>
              <w:t> </w:t>
            </w:r>
          </w:p>
        </w:tc>
        <w:tc>
          <w:tcPr>
            <w:tcW w:w="242" w:type="dxa"/>
            <w:tcBorders/>
            <w:shd w:fill="auto" w:val="clear"/>
            <w:vAlign w:val="center"/>
          </w:tcPr>
          <w:p>
            <w:pPr>
              <w:pStyle w:val="TableContents"/>
              <w:spacing w:before="0" w:after="283"/>
              <w:rPr/>
            </w:pPr>
            <w:r>
              <w:rPr/>
              <w:t> </w:t>
            </w:r>
          </w:p>
        </w:tc>
        <w:tc>
          <w:tcPr>
            <w:tcW w:w="10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0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811" w:type="dxa"/>
            <w:tcBorders/>
            <w:shd w:fill="CCEEFF" w:val="clear"/>
            <w:vAlign w:val="bottom"/>
          </w:tcPr>
          <w:p>
            <w:pPr>
              <w:pStyle w:val="TableContents"/>
              <w:spacing w:before="0" w:after="0"/>
              <w:ind w:left="225" w:right="0" w:hanging="225"/>
              <w:rPr/>
            </w:pPr>
            <w:r>
              <w:rPr/>
              <w:t>Net income</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5" w:type="dxa"/>
            <w:tcBorders/>
            <w:shd w:fill="CCEEFF" w:val="clear"/>
            <w:vAlign w:val="bottom"/>
          </w:tcPr>
          <w:p>
            <w:pPr>
              <w:pStyle w:val="TableContents"/>
              <w:spacing w:before="0" w:after="283"/>
              <w:jc w:val="right"/>
              <w:rPr/>
            </w:pPr>
            <w:r>
              <w:rPr/>
              <w:t>2,467</w:t>
            </w:r>
          </w:p>
        </w:tc>
        <w:tc>
          <w:tcPr>
            <w:tcW w:w="112"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6" w:type="dxa"/>
            <w:tcBorders/>
            <w:shd w:fill="CCEEFF" w:val="clear"/>
            <w:vAlign w:val="bottom"/>
          </w:tcPr>
          <w:p>
            <w:pPr>
              <w:pStyle w:val="TableContents"/>
              <w:spacing w:before="0" w:after="283"/>
              <w:jc w:val="right"/>
              <w:rPr/>
            </w:pPr>
            <w:r>
              <w:rPr/>
              <w:t>2,334</w:t>
            </w:r>
          </w:p>
        </w:tc>
        <w:tc>
          <w:tcPr>
            <w:tcW w:w="104"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24" w:type="dxa"/>
            <w:tcBorders/>
            <w:shd w:fill="CCEEFF" w:val="clear"/>
            <w:vAlign w:val="bottom"/>
          </w:tcPr>
          <w:p>
            <w:pPr>
              <w:pStyle w:val="TableContents"/>
              <w:spacing w:before="0" w:after="283"/>
              <w:jc w:val="right"/>
              <w:rPr/>
            </w:pPr>
            <w:r>
              <w:rPr/>
              <w:t>920</w:t>
            </w:r>
          </w:p>
        </w:tc>
        <w:tc>
          <w:tcPr>
            <w:tcW w:w="12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2,040</w:t>
            </w:r>
          </w:p>
        </w:tc>
        <w:tc>
          <w:tcPr>
            <w:tcW w:w="117" w:type="dxa"/>
            <w:tcBorders/>
            <w:shd w:fill="CCEEFF" w:val="clear"/>
            <w:vAlign w:val="bottom"/>
          </w:tcPr>
          <w:p>
            <w:pPr>
              <w:pStyle w:val="TableContents"/>
              <w:spacing w:before="0" w:after="283"/>
              <w:rPr/>
            </w:pPr>
            <w:r>
              <w:rPr/>
              <w:t> </w:t>
            </w:r>
          </w:p>
        </w:tc>
      </w:tr>
      <w:tr>
        <w:trPr/>
        <w:tc>
          <w:tcPr>
            <w:tcW w:w="4811" w:type="dxa"/>
            <w:tcBorders/>
            <w:shd w:fill="auto" w:val="clear"/>
            <w:vAlign w:val="center"/>
          </w:tcPr>
          <w:p>
            <w:pPr>
              <w:pStyle w:val="TableContents"/>
              <w:spacing w:before="0" w:after="0"/>
              <w:ind w:left="225" w:right="0" w:hanging="225"/>
              <w:rPr/>
            </w:pPr>
            <w:r>
              <w:rPr/>
              <w:t> </w:t>
            </w:r>
          </w:p>
        </w:tc>
        <w:tc>
          <w:tcPr>
            <w:tcW w:w="242" w:type="dxa"/>
            <w:tcBorders/>
            <w:shd w:fill="auto" w:val="clear"/>
            <w:vAlign w:val="center"/>
          </w:tcPr>
          <w:p>
            <w:pPr>
              <w:pStyle w:val="TableContents"/>
              <w:spacing w:before="0" w:after="283"/>
              <w:rPr/>
            </w:pPr>
            <w:r>
              <w:rPr/>
              <w:t> </w:t>
            </w:r>
          </w:p>
        </w:tc>
        <w:tc>
          <w:tcPr>
            <w:tcW w:w="10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0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811" w:type="dxa"/>
            <w:tcBorders/>
            <w:shd w:fill="auto" w:val="clear"/>
            <w:vAlign w:val="bottom"/>
          </w:tcPr>
          <w:p>
            <w:pPr>
              <w:pStyle w:val="TableContents"/>
              <w:spacing w:before="0" w:after="0"/>
              <w:ind w:left="225" w:right="0" w:hanging="225"/>
              <w:rPr/>
            </w:pPr>
            <w:r>
              <w:rPr/>
              <w:t>Net income per share:</w:t>
            </w:r>
          </w:p>
        </w:tc>
        <w:tc>
          <w:tcPr>
            <w:tcW w:w="24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811" w:type="dxa"/>
            <w:tcBorders/>
            <w:shd w:fill="CCEEFF" w:val="clear"/>
            <w:vAlign w:val="bottom"/>
          </w:tcPr>
          <w:p>
            <w:pPr>
              <w:pStyle w:val="TableContents"/>
              <w:spacing w:before="0" w:after="0"/>
              <w:ind w:left="450" w:right="0" w:hanging="225"/>
              <w:rPr/>
            </w:pPr>
            <w:r>
              <w:rPr/>
              <w:t>Basic</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5" w:type="dxa"/>
            <w:tcBorders/>
            <w:shd w:fill="CCEEFF" w:val="clear"/>
            <w:vAlign w:val="bottom"/>
          </w:tcPr>
          <w:p>
            <w:pPr>
              <w:pStyle w:val="TableContents"/>
              <w:spacing w:before="0" w:after="283"/>
              <w:jc w:val="right"/>
              <w:rPr/>
            </w:pPr>
            <w:r>
              <w:rPr/>
              <w:t>0.18</w:t>
            </w:r>
          </w:p>
        </w:tc>
        <w:tc>
          <w:tcPr>
            <w:tcW w:w="112"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6" w:type="dxa"/>
            <w:tcBorders/>
            <w:shd w:fill="CCEEFF" w:val="clear"/>
            <w:vAlign w:val="bottom"/>
          </w:tcPr>
          <w:p>
            <w:pPr>
              <w:pStyle w:val="TableContents"/>
              <w:spacing w:before="0" w:after="283"/>
              <w:jc w:val="right"/>
              <w:rPr/>
            </w:pPr>
            <w:r>
              <w:rPr/>
              <w:t>0.17</w:t>
            </w:r>
          </w:p>
        </w:tc>
        <w:tc>
          <w:tcPr>
            <w:tcW w:w="104"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24" w:type="dxa"/>
            <w:tcBorders/>
            <w:shd w:fill="CCEEFF" w:val="clear"/>
            <w:vAlign w:val="bottom"/>
          </w:tcPr>
          <w:p>
            <w:pPr>
              <w:pStyle w:val="TableContents"/>
              <w:spacing w:before="0" w:after="283"/>
              <w:jc w:val="right"/>
              <w:rPr/>
            </w:pPr>
            <w:r>
              <w:rPr/>
              <w:t>0.07</w:t>
            </w:r>
          </w:p>
        </w:tc>
        <w:tc>
          <w:tcPr>
            <w:tcW w:w="12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0.15</w:t>
            </w:r>
          </w:p>
        </w:tc>
        <w:tc>
          <w:tcPr>
            <w:tcW w:w="117" w:type="dxa"/>
            <w:tcBorders/>
            <w:shd w:fill="CCEEFF" w:val="clear"/>
            <w:vAlign w:val="bottom"/>
          </w:tcPr>
          <w:p>
            <w:pPr>
              <w:pStyle w:val="TableContents"/>
              <w:spacing w:before="0" w:after="283"/>
              <w:rPr/>
            </w:pPr>
            <w:r>
              <w:rPr/>
              <w:t> </w:t>
            </w:r>
          </w:p>
        </w:tc>
      </w:tr>
      <w:tr>
        <w:trPr/>
        <w:tc>
          <w:tcPr>
            <w:tcW w:w="4811" w:type="dxa"/>
            <w:tcBorders/>
            <w:shd w:fill="auto" w:val="clear"/>
            <w:vAlign w:val="center"/>
          </w:tcPr>
          <w:p>
            <w:pPr>
              <w:pStyle w:val="TableContents"/>
              <w:spacing w:before="0" w:after="0"/>
              <w:ind w:left="225" w:right="0" w:hanging="225"/>
              <w:rPr/>
            </w:pPr>
            <w:r>
              <w:rPr/>
              <w:t> </w:t>
            </w:r>
          </w:p>
        </w:tc>
        <w:tc>
          <w:tcPr>
            <w:tcW w:w="242" w:type="dxa"/>
            <w:tcBorders/>
            <w:shd w:fill="auto" w:val="clear"/>
            <w:vAlign w:val="center"/>
          </w:tcPr>
          <w:p>
            <w:pPr>
              <w:pStyle w:val="TableContents"/>
              <w:spacing w:before="0" w:after="283"/>
              <w:rPr/>
            </w:pPr>
            <w:r>
              <w:rPr/>
              <w:t> </w:t>
            </w:r>
          </w:p>
        </w:tc>
        <w:tc>
          <w:tcPr>
            <w:tcW w:w="10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0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811" w:type="dxa"/>
            <w:tcBorders/>
            <w:shd w:fill="auto" w:val="clear"/>
            <w:vAlign w:val="bottom"/>
          </w:tcPr>
          <w:p>
            <w:pPr>
              <w:pStyle w:val="TableContents"/>
              <w:spacing w:before="0" w:after="0"/>
              <w:ind w:left="450" w:right="0" w:hanging="225"/>
              <w:rPr/>
            </w:pPr>
            <w:r>
              <w:rPr/>
              <w:t>Diluted</w:t>
            </w:r>
          </w:p>
        </w:tc>
        <w:tc>
          <w:tcPr>
            <w:tcW w:w="24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835" w:type="dxa"/>
            <w:tcBorders/>
            <w:shd w:fill="auto" w:val="clear"/>
            <w:vAlign w:val="bottom"/>
          </w:tcPr>
          <w:p>
            <w:pPr>
              <w:pStyle w:val="TableContents"/>
              <w:spacing w:before="0" w:after="283"/>
              <w:jc w:val="right"/>
              <w:rPr/>
            </w:pPr>
            <w:r>
              <w:rPr/>
              <w:t>0.18</w:t>
            </w:r>
          </w:p>
        </w:tc>
        <w:tc>
          <w:tcPr>
            <w:tcW w:w="112"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836" w:type="dxa"/>
            <w:tcBorders/>
            <w:shd w:fill="auto" w:val="clear"/>
            <w:vAlign w:val="bottom"/>
          </w:tcPr>
          <w:p>
            <w:pPr>
              <w:pStyle w:val="TableContents"/>
              <w:spacing w:before="0" w:after="283"/>
              <w:jc w:val="right"/>
              <w:rPr/>
            </w:pPr>
            <w:r>
              <w:rPr/>
              <w:t>0.17</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24" w:type="dxa"/>
            <w:tcBorders/>
            <w:shd w:fill="auto" w:val="clear"/>
            <w:vAlign w:val="bottom"/>
          </w:tcPr>
          <w:p>
            <w:pPr>
              <w:pStyle w:val="TableContents"/>
              <w:spacing w:before="0" w:after="283"/>
              <w:jc w:val="right"/>
              <w:rPr/>
            </w:pPr>
            <w:r>
              <w:rPr/>
              <w:t>0.07</w:t>
            </w:r>
          </w:p>
        </w:tc>
        <w:tc>
          <w:tcPr>
            <w:tcW w:w="12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0.15</w:t>
            </w:r>
          </w:p>
        </w:tc>
        <w:tc>
          <w:tcPr>
            <w:tcW w:w="117" w:type="dxa"/>
            <w:tcBorders/>
            <w:shd w:fill="auto" w:val="clear"/>
            <w:vAlign w:val="bottom"/>
          </w:tcPr>
          <w:p>
            <w:pPr>
              <w:pStyle w:val="TableContents"/>
              <w:spacing w:before="0" w:after="283"/>
              <w:rPr/>
            </w:pPr>
            <w:r>
              <w:rPr/>
              <w:t> </w:t>
            </w:r>
          </w:p>
        </w:tc>
      </w:tr>
      <w:tr>
        <w:trPr/>
        <w:tc>
          <w:tcPr>
            <w:tcW w:w="4811" w:type="dxa"/>
            <w:tcBorders/>
            <w:shd w:fill="auto" w:val="clear"/>
            <w:vAlign w:val="center"/>
          </w:tcPr>
          <w:p>
            <w:pPr>
              <w:pStyle w:val="TableContents"/>
              <w:spacing w:before="0" w:after="0"/>
              <w:ind w:left="225" w:right="0" w:hanging="225"/>
              <w:rPr/>
            </w:pPr>
            <w:r>
              <w:rPr/>
              <w:t> </w:t>
            </w:r>
          </w:p>
        </w:tc>
        <w:tc>
          <w:tcPr>
            <w:tcW w:w="242" w:type="dxa"/>
            <w:tcBorders/>
            <w:shd w:fill="auto" w:val="clear"/>
            <w:vAlign w:val="center"/>
          </w:tcPr>
          <w:p>
            <w:pPr>
              <w:pStyle w:val="TableContents"/>
              <w:spacing w:before="0" w:after="283"/>
              <w:rPr/>
            </w:pPr>
            <w:r>
              <w:rPr/>
              <w:t> </w:t>
            </w:r>
          </w:p>
        </w:tc>
        <w:tc>
          <w:tcPr>
            <w:tcW w:w="10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0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811" w:type="dxa"/>
            <w:tcBorders/>
            <w:shd w:fill="CCEEFF" w:val="clear"/>
            <w:vAlign w:val="bottom"/>
          </w:tcPr>
          <w:p>
            <w:pPr>
              <w:pStyle w:val="TableContents"/>
              <w:spacing w:before="0" w:after="0"/>
              <w:ind w:left="225" w:right="0" w:hanging="225"/>
              <w:rPr/>
            </w:pPr>
            <w:r>
              <w:rPr/>
              <w:t>Number of shares used in per share computation:</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r>
      <w:tr>
        <w:trPr/>
        <w:tc>
          <w:tcPr>
            <w:tcW w:w="4811" w:type="dxa"/>
            <w:tcBorders/>
            <w:shd w:fill="auto" w:val="clear"/>
            <w:vAlign w:val="bottom"/>
          </w:tcPr>
          <w:p>
            <w:pPr>
              <w:pStyle w:val="TableContents"/>
              <w:spacing w:before="0" w:after="0"/>
              <w:ind w:left="450" w:right="0" w:hanging="225"/>
              <w:rPr/>
            </w:pPr>
            <w:r>
              <w:rPr/>
              <w:t>Basic</w:t>
            </w:r>
          </w:p>
        </w:tc>
        <w:tc>
          <w:tcPr>
            <w:tcW w:w="242"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13,507</w:t>
            </w:r>
          </w:p>
        </w:tc>
        <w:tc>
          <w:tcPr>
            <w:tcW w:w="112"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jc w:val="right"/>
              <w:rPr/>
            </w:pPr>
            <w:r>
              <w:rPr/>
              <w:t>13,507</w:t>
            </w:r>
          </w:p>
        </w:tc>
        <w:tc>
          <w:tcPr>
            <w:tcW w:w="104"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13,507</w:t>
            </w:r>
          </w:p>
        </w:tc>
        <w:tc>
          <w:tcPr>
            <w:tcW w:w="12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13,488</w:t>
            </w:r>
          </w:p>
        </w:tc>
        <w:tc>
          <w:tcPr>
            <w:tcW w:w="117" w:type="dxa"/>
            <w:tcBorders/>
            <w:shd w:fill="auto" w:val="clear"/>
            <w:vAlign w:val="bottom"/>
          </w:tcPr>
          <w:p>
            <w:pPr>
              <w:pStyle w:val="TableContents"/>
              <w:spacing w:before="0" w:after="283"/>
              <w:rPr/>
            </w:pPr>
            <w:r>
              <w:rPr/>
              <w:t> </w:t>
            </w:r>
          </w:p>
        </w:tc>
      </w:tr>
      <w:tr>
        <w:trPr/>
        <w:tc>
          <w:tcPr>
            <w:tcW w:w="4811" w:type="dxa"/>
            <w:tcBorders/>
            <w:shd w:fill="auto" w:val="clear"/>
            <w:vAlign w:val="center"/>
          </w:tcPr>
          <w:p>
            <w:pPr>
              <w:pStyle w:val="TableContents"/>
              <w:spacing w:before="0" w:after="0"/>
              <w:ind w:left="225" w:right="0" w:hanging="225"/>
              <w:rPr/>
            </w:pPr>
            <w:r>
              <w:rPr/>
              <w:t> </w:t>
            </w:r>
          </w:p>
        </w:tc>
        <w:tc>
          <w:tcPr>
            <w:tcW w:w="242" w:type="dxa"/>
            <w:tcBorders/>
            <w:shd w:fill="auto" w:val="clear"/>
            <w:vAlign w:val="center"/>
          </w:tcPr>
          <w:p>
            <w:pPr>
              <w:pStyle w:val="TableContents"/>
              <w:spacing w:before="0" w:after="283"/>
              <w:rPr/>
            </w:pPr>
            <w:r>
              <w:rPr/>
              <w:t> </w:t>
            </w:r>
          </w:p>
        </w:tc>
        <w:tc>
          <w:tcPr>
            <w:tcW w:w="10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0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811" w:type="dxa"/>
            <w:tcBorders/>
            <w:shd w:fill="CCEEFF" w:val="clear"/>
            <w:vAlign w:val="bottom"/>
          </w:tcPr>
          <w:p>
            <w:pPr>
              <w:pStyle w:val="TableContents"/>
              <w:spacing w:before="0" w:after="0"/>
              <w:ind w:left="450" w:right="0" w:hanging="225"/>
              <w:rPr/>
            </w:pPr>
            <w:r>
              <w:rPr/>
              <w:t>Diluted</w:t>
            </w:r>
          </w:p>
        </w:tc>
        <w:tc>
          <w:tcPr>
            <w:tcW w:w="242"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13,580</w:t>
            </w:r>
          </w:p>
        </w:tc>
        <w:tc>
          <w:tcPr>
            <w:tcW w:w="112"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pPr>
            <w:r>
              <w:rPr/>
              <w:t>13,589</w:t>
            </w:r>
          </w:p>
        </w:tc>
        <w:tc>
          <w:tcPr>
            <w:tcW w:w="104"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13,581</w:t>
            </w:r>
          </w:p>
        </w:tc>
        <w:tc>
          <w:tcPr>
            <w:tcW w:w="12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13,571</w:t>
            </w:r>
          </w:p>
        </w:tc>
        <w:tc>
          <w:tcPr>
            <w:tcW w:w="117" w:type="dxa"/>
            <w:tcBorders/>
            <w:shd w:fill="CCEEFF" w:val="clear"/>
            <w:vAlign w:val="bottom"/>
          </w:tcPr>
          <w:p>
            <w:pPr>
              <w:pStyle w:val="TableContents"/>
              <w:spacing w:before="0" w:after="283"/>
              <w:rPr/>
            </w:pPr>
            <w:r>
              <w:rPr/>
              <w:t> </w:t>
            </w:r>
          </w:p>
        </w:tc>
      </w:tr>
      <w:tr>
        <w:trPr/>
        <w:tc>
          <w:tcPr>
            <w:tcW w:w="4811" w:type="dxa"/>
            <w:tcBorders/>
            <w:shd w:fill="auto" w:val="clear"/>
            <w:vAlign w:val="center"/>
          </w:tcPr>
          <w:p>
            <w:pPr>
              <w:pStyle w:val="TableContents"/>
              <w:spacing w:before="0" w:after="0"/>
              <w:ind w:left="225" w:right="0" w:hanging="225"/>
              <w:rPr/>
            </w:pPr>
            <w:r>
              <w:rPr/>
              <w:t> </w:t>
            </w:r>
          </w:p>
        </w:tc>
        <w:tc>
          <w:tcPr>
            <w:tcW w:w="242" w:type="dxa"/>
            <w:tcBorders/>
            <w:shd w:fill="auto" w:val="clear"/>
            <w:vAlign w:val="center"/>
          </w:tcPr>
          <w:p>
            <w:pPr>
              <w:pStyle w:val="TableContents"/>
              <w:spacing w:before="0" w:after="283"/>
              <w:rPr/>
            </w:pPr>
            <w:r>
              <w:rPr/>
              <w:t> </w:t>
            </w:r>
          </w:p>
        </w:tc>
        <w:tc>
          <w:tcPr>
            <w:tcW w:w="10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rPr/>
            </w:pPr>
            <w:r>
              <w:rPr/>
              <w:t> </w:t>
            </w:r>
          </w:p>
        </w:tc>
        <w:tc>
          <w:tcPr>
            <w:tcW w:w="10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 </w:t>
            </w:r>
          </w:p>
        </w:tc>
        <w:tc>
          <w:tcPr>
            <w:tcW w:w="9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6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2159</Words>
  <CharactersWithSpaces>14401</CharactersWithSpaces>
  <Paragraphs>938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