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tLeast" w:line="142" w:before="0" w:after="240"/>
        <w:ind w:left="0" w:right="0" w:hanging="0"/>
        <w:jc w:val="center"/>
        <w:rPr/>
      </w:pPr>
      <w:bookmarkStart w:id="0" w:name="cvgw-20250318x8k.htm"/>
      <w:bookmarkStart w:id="1" w:name="kscvgw20250318x8k"/>
      <w:bookmarkEnd w:id="0"/>
      <w:bookmarkEnd w:id="1"/>
      <w:r>
        <w:rPr/>
        <w:t>​</w:t>
      </w:r>
    </w:p>
    <w:p>
      <w:pPr>
        <w:pStyle w:val="TextBody"/>
        <w:bidi w:val="0"/>
        <w:spacing w:before="0" w:after="0"/>
        <w:ind w:left="0" w:right="0" w:hanging="0"/>
        <w:jc w:val="center"/>
        <w:rPr>
          <w:rFonts w:ascii="Times New Roman;Times;serif" w:hAnsi="Times New Roman;Times;serif"/>
          <w:sz w:val="20"/>
        </w:rPr>
      </w:pPr>
      <w:bookmarkStart w:id="2" w:name="_c86bd336_d5a6_49ca_9e50_92ee062c8f1f"/>
      <w:bookmarkEnd w:id="2"/>
      <w:r>
        <w:rPr>
          <w:rFonts w:ascii="Times New Roman;Times;serif" w:hAnsi="Times New Roman;Times;serif"/>
          <w:sz w:val="20"/>
        </w:rPr>
        <w:t>UNITED STATES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CURRENT REPORT PURSUANT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 SECTION 13 OR 15(d) OF THE</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SECURITIES EXCHANGE ACT OF 1934</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March 18, 2025</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CALAVO GROWERS,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D-tUINOeUUqRU0hWylGPIQ_2_4"/>
      <w:bookmarkStart w:id="4" w:name="Tc_KFQbvvrTe0SaoH61VtXqyw_2_2"/>
      <w:bookmarkStart w:id="5" w:name="Tc_PGLbax7dR0KKMB19CMrybw_2_0"/>
      <w:bookmarkStart w:id="6" w:name="_6f2b2057_2775_4400_87ce_f96fc3cd9ebf"/>
      <w:bookmarkStart w:id="7" w:name="Tc_D-tUINOeUUqRU0hWylGPIQ_2_4"/>
      <w:bookmarkStart w:id="8" w:name="Tc_KFQbvvrTe0SaoH61VtXqyw_2_2"/>
      <w:bookmarkStart w:id="9" w:name="Tc_PGLbax7dR0KKMB19CMrybw_2_0"/>
      <w:bookmarkStart w:id="10" w:name="_6f2b2057_2775_4400_87ce_f96fc3cd9ebf"/>
      <w:bookmarkEnd w:id="7"/>
      <w:bookmarkEnd w:id="8"/>
      <w:bookmarkEnd w:id="9"/>
      <w:bookmarkEnd w:id="10"/>
    </w:p>
    <w:tbl>
      <w:tblPr>
        <w:tblW w:w="6970" w:type="dxa"/>
        <w:jc w:val="left"/>
        <w:tblInd w:w="0" w:type="dxa"/>
        <w:tblLayout w:type="fixed"/>
        <w:tblCellMar>
          <w:top w:w="0" w:type="dxa"/>
          <w:left w:w="0" w:type="dxa"/>
          <w:bottom w:w="0" w:type="dxa"/>
          <w:right w:w="0" w:type="dxa"/>
        </w:tblCellMar>
      </w:tblPr>
      <w:tblGrid>
        <w:gridCol w:w="2491"/>
        <w:gridCol w:w="266"/>
        <w:gridCol w:w="2296"/>
        <w:gridCol w:w="266"/>
        <w:gridCol w:w="165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581785" cy="175260"/>
                      <wp:effectExtent l="0" t="0" r="0" b="0"/>
                      <wp:wrapNone/>
                      <wp:docPr id="1" name="Frame1"/>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457960" cy="175260"/>
                      <wp:effectExtent l="0" t="0" r="0" b="0"/>
                      <wp:wrapNone/>
                      <wp:docPr id="2" name="Frame2"/>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California</w:t>
            </w:r>
          </w:p>
        </w:tc>
        <w:tc>
          <w:tcPr>
            <w:tcW w:w="266" w:type="dxa"/>
            <w:tcBorders/>
            <w:vAlign w:val="center"/>
          </w:tcPr>
          <w:p>
            <w:pPr>
              <w:pStyle w:val="TableContents"/>
              <w:bidi w:val="0"/>
              <w:spacing w:before="0" w:after="0"/>
              <w:ind w:left="0" w:right="0" w:hanging="0"/>
              <w:jc w:val="center"/>
              <w:rPr/>
            </w:pPr>
            <w:r>
              <w:rPr/>
              <w:t>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000-33385</w:t>
            </w:r>
          </w:p>
        </w:tc>
        <w:tc>
          <w:tcPr>
            <w:tcW w:w="266" w:type="dxa"/>
            <w:tcBorders/>
            <w:vAlign w:val="center"/>
          </w:tcPr>
          <w:p>
            <w:pPr>
              <w:pStyle w:val="TableContents"/>
              <w:bidi w:val="0"/>
              <w:spacing w:before="0" w:after="0"/>
              <w:ind w:left="0" w:right="0" w:hanging="0"/>
              <w:jc w:val="center"/>
              <w:rPr/>
            </w:pPr>
            <w:r>
              <w:rPr/>
              <w:t>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33-0945304</w:t>
            </w:r>
          </w:p>
        </w:tc>
      </w:tr>
      <w:tr>
        <w:trPr/>
        <w:tc>
          <w:tcPr>
            <w:tcW w:w="24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w:t>
              <w:br/>
              <w:t>jurisdiction of incorporation)</w:t>
            </w:r>
          </w:p>
        </w:tc>
        <w:tc>
          <w:tcPr>
            <w:tcW w:w="266" w:type="dxa"/>
            <w:tcBorders/>
            <w:vAlign w:val="center"/>
          </w:tcPr>
          <w:p>
            <w:pPr>
              <w:pStyle w:val="TableContents"/>
              <w:bidi w:val="0"/>
              <w:spacing w:before="0" w:after="0"/>
              <w:ind w:left="0" w:right="0" w:hanging="0"/>
              <w:jc w:val="left"/>
              <w:rPr/>
            </w:pPr>
            <w:r>
              <w:rPr/>
              <w:t>​</w:t>
            </w:r>
          </w:p>
        </w:tc>
        <w:tc>
          <w:tcPr>
            <w:tcW w:w="22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66" w:type="dxa"/>
            <w:tcBorders/>
            <w:vAlign w:val="center"/>
          </w:tcPr>
          <w:p>
            <w:pPr>
              <w:pStyle w:val="TableContents"/>
              <w:bidi w:val="0"/>
              <w:spacing w:before="0" w:after="0"/>
              <w:ind w:left="0" w:right="0" w:hanging="0"/>
              <w:jc w:val="center"/>
              <w:rPr/>
            </w:pPr>
            <w:r>
              <w:rPr/>
              <w:t>​</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tbl>
      <w:tblPr>
        <w:tblW w:w="4663" w:type="dxa"/>
        <w:jc w:val="left"/>
        <w:tblInd w:w="0" w:type="dxa"/>
        <w:tblLayout w:type="fixed"/>
        <w:tblCellMar>
          <w:top w:w="0" w:type="dxa"/>
          <w:left w:w="0" w:type="dxa"/>
          <w:bottom w:w="0" w:type="dxa"/>
          <w:right w:w="0" w:type="dxa"/>
        </w:tblCellMar>
      </w:tblPr>
      <w:tblGrid>
        <w:gridCol w:w="3301"/>
        <w:gridCol w:w="326"/>
        <w:gridCol w:w="1036"/>
      </w:tblGrid>
      <w:tr>
        <w:trPr/>
        <w:tc>
          <w:tcPr>
            <w:tcW w:w="3301" w:type="dxa"/>
            <w:tcBorders/>
            <w:vAlign w:val="center"/>
          </w:tcPr>
          <w:p>
            <w:pPr>
              <w:pStyle w:val="TableContents"/>
              <w:bidi w:val="0"/>
              <w:spacing w:before="0" w:after="0"/>
              <w:ind w:left="0" w:right="0" w:hanging="0"/>
              <w:jc w:val="left"/>
              <w:rPr>
                <w:shd w:fill="00FF00" w:val="clear"/>
              </w:rPr>
            </w:pPr>
            <w:r>
              <w:rPr>
                <w:shd w:fill="00FF00" w:val="clea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1141-A Cummings Road,</w:t>
              <w:br/>
              <w:t>Santa Paula,</w:t>
            </w:r>
            <w:r>
              <w:rPr>
                <w:rFonts w:ascii="Times New Roman;Times;serif" w:hAnsi="Times New Roman;Times;serif"/>
                <w:sz w:val="20"/>
              </w:rPr>
              <w:t xml:space="preserve"> </w:t>
            </w:r>
            <w:r>
              <w:rPr>
                <w:rFonts w:ascii="Times New Roman;Times;serif" w:hAnsi="Times New Roman;Times;serif"/>
                <w:b/>
                <w:sz w:val="20"/>
              </w:rPr>
              <w:t>California</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91360</w:t>
            </w:r>
          </w:p>
        </w:tc>
      </w:tr>
      <w:tr>
        <w:trPr/>
        <w:tc>
          <w:tcPr>
            <w:tcW w:w="33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26" w:type="dxa"/>
            <w:tcBorders/>
            <w:vAlign w:val="center"/>
          </w:tcPr>
          <w:p>
            <w:pPr>
              <w:pStyle w:val="TableContents"/>
              <w:bidi w:val="0"/>
              <w:spacing w:before="0" w:after="240"/>
              <w:ind w:left="0" w:right="0" w:hanging="0"/>
              <w:jc w:val="center"/>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(805) 525-1245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240"/>
        <w:ind w:left="0" w:right="0" w:hanging="0"/>
        <w:jc w:val="center"/>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00"/>
        <w:ind w:left="0" w:right="0" w:firstLine="36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200"/>
        <w:ind w:left="0" w:right="0" w:firstLine="36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200"/>
        <w:ind w:left="0" w:right="0" w:firstLine="36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200"/>
        <w:ind w:left="0" w:right="0" w:firstLine="36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aGoQUQ1_a02SVarqAh2LcQ_1_4"/>
      <w:bookmarkStart w:id="12" w:name="Tc_SaAKAjmTe02upSK2gl4ocQ_1_2"/>
      <w:bookmarkStart w:id="13" w:name="Tc_b78t-TI24Ei0gEhgrUkU1g_1_0"/>
      <w:bookmarkStart w:id="14" w:name="_838c3056_fe13_4ff4_a95e_42ed8c4c43af"/>
      <w:bookmarkStart w:id="15" w:name="Tc_aGoQUQ1_a02SVarqAh2LcQ_1_4"/>
      <w:bookmarkStart w:id="16" w:name="Tc_SaAKAjmTe02upSK2gl4ocQ_1_2"/>
      <w:bookmarkStart w:id="17" w:name="Tc_b78t-TI24Ei0gEhgrUkU1g_1_0"/>
      <w:bookmarkStart w:id="18" w:name="_838c3056_fe13_4ff4_a95e_42ed8c4c43af"/>
      <w:bookmarkEnd w:id="15"/>
      <w:bookmarkEnd w:id="16"/>
      <w:bookmarkEnd w:id="17"/>
      <w:bookmarkEnd w:id="18"/>
    </w:p>
    <w:tbl>
      <w:tblPr>
        <w:tblW w:w="7435" w:type="dxa"/>
        <w:jc w:val="left"/>
        <w:tblInd w:w="0" w:type="dxa"/>
        <w:tblLayout w:type="fixed"/>
        <w:tblCellMar>
          <w:top w:w="0" w:type="dxa"/>
          <w:left w:w="0" w:type="dxa"/>
          <w:bottom w:w="0" w:type="dxa"/>
          <w:right w:w="0" w:type="dxa"/>
        </w:tblCellMar>
      </w:tblPr>
      <w:tblGrid>
        <w:gridCol w:w="1576"/>
        <w:gridCol w:w="266"/>
        <w:gridCol w:w="1621"/>
        <w:gridCol w:w="266"/>
        <w:gridCol w:w="370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00760" cy="175260"/>
                      <wp:effectExtent l="0" t="0" r="0" b="0"/>
                      <wp:wrapNone/>
                      <wp:docPr id="4" name="Frame4"/>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68910" cy="175260"/>
                      <wp:effectExtent l="0" t="0" r="0" b="0"/>
                      <wp:wrapNone/>
                      <wp:docPr id="5" name="Frame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029335" cy="175260"/>
                      <wp:effectExtent l="0" t="0" r="0" b="0"/>
                      <wp:wrapNone/>
                      <wp:docPr id="6" name="Frame6"/>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68910" cy="175260"/>
                      <wp:effectExtent l="0" t="0" r="0" b="0"/>
                      <wp:wrapNone/>
                      <wp:docPr id="7" name="Frame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353310" cy="175260"/>
                      <wp:effectExtent l="0" t="0" r="0" b="0"/>
                      <wp:wrapNone/>
                      <wp:docPr id="8" name="Frame8"/>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266" w:type="dxa"/>
            <w:tcBorders/>
            <w:vAlign w:val="center"/>
          </w:tcPr>
          <w:p>
            <w:pPr>
              <w:pStyle w:val="TableContents"/>
              <w:bidi w:val="0"/>
              <w:spacing w:before="0" w:after="0"/>
              <w:ind w:left="0" w:right="0" w:hanging="0"/>
              <w:jc w:val="left"/>
              <w:rPr/>
            </w:pPr>
            <w:r>
              <w:rPr/>
              <w:t>​</w:t>
            </w:r>
          </w:p>
        </w:tc>
        <w:tc>
          <w:tcPr>
            <w:tcW w:w="16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CVGW</w:t>
            </w:r>
          </w:p>
        </w:tc>
        <w:tc>
          <w:tcPr>
            <w:tcW w:w="26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8" w:space="1" w:color="000000"/>
          <w:bottom w:val="single" w:sz="24" w:space="1" w:color="000000"/>
        </w:pBdr>
        <w:bidi w:val="0"/>
        <w:spacing w:lineRule="atLeast" w:line="142"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 w:name="_ff759223_b888_40b7_b219_2e88bac16ea4"/>
      <w:bookmarkEnd w:id="19"/>
      <w:r>
        <w:rPr>
          <w:rFonts w:ascii="Times New Roman;Times;serif" w:hAnsi="Times New Roman;Times;serif"/>
          <w:b/>
          <w:sz w:val="20"/>
        </w:rPr>
        <w:t>Item 8.01 Other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March 16, 2025, the Board of Directors of Calavo Growers, Inc. (the “Company”) approved a share repurchase program authorizing the Company to repurchase up to $25,000,000 of its outstanding shares of common stock, par value $0.001 per share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Repurchases under the program may be made from time to time in accordance with applicable securities laws and regulations, using a variety of methods, including open market purchases, privately negotiated transactions, and Rule 10b5-1 trading plans under the Securities Exchange Act of 1934, as amended.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share repurchase program does not require the Company to acquire any specific number of shares, and may be modified, suspended, or discontinued at any time at the discretion of the Board of Directors or management. The timing, amount, and method of repurchases will depend on a variety of factors, including market conditions, the Company’s financial position, regulatory requirements, and other strategic considerations.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This disclosure contains forward-looking statements regarding the Company’s stock repurchase program. Actual results may differ due to various risks and uncertainties, as outlined in the Company’s most recent filings with the Securities and Exchange Commission.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 w:name="_0f90aad3_8153_435e_b473_70a86eccb37c"/>
      <w:bookmarkEnd w:id="20"/>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w:t>
      </w:r>
    </w:p>
    <w:tbl>
      <w:tblPr>
        <w:tblW w:w="5883" w:type="dxa"/>
        <w:jc w:val="left"/>
        <w:tblInd w:w="0" w:type="dxa"/>
        <w:tblLayout w:type="fixed"/>
        <w:tblCellMar>
          <w:top w:w="0" w:type="dxa"/>
          <w:left w:w="0" w:type="dxa"/>
          <w:bottom w:w="0" w:type="dxa"/>
          <w:right w:w="0" w:type="dxa"/>
        </w:tblCellMar>
      </w:tblPr>
      <w:tblGrid>
        <w:gridCol w:w="346"/>
        <w:gridCol w:w="466"/>
        <w:gridCol w:w="5071"/>
      </w:tblGrid>
      <w:tr>
        <w:trPr/>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55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Exhibits</w:t>
            </w:r>
          </w:p>
        </w:tc>
      </w:tr>
      <w:tr>
        <w:trPr/>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5071" w:type="dxa"/>
            <w:tcBorders/>
            <w:vAlign w:val="center"/>
          </w:tcPr>
          <w:p>
            <w:pPr>
              <w:pStyle w:val="TableContents"/>
              <w:bidi w:val="0"/>
              <w:spacing w:before="0" w:after="0"/>
              <w:ind w:left="0" w:right="0" w:hanging="0"/>
              <w:jc w:val="left"/>
              <w:rPr/>
            </w:pPr>
            <w:hyperlink w:anchor="cvgw-20250318xex99d1.htm">
              <w:r>
                <w:rPr>
                  <w:rStyle w:val="InternetLink"/>
                  <w:rFonts w:ascii="Times New Roman;Times;serif" w:hAnsi="Times New Roman;Times;serif"/>
                  <w:b w:val="false"/>
                  <w:i w:val="false"/>
                  <w:caps w:val="false"/>
                  <w:smallCaps w:val="false"/>
                  <w:sz w:val="20"/>
                </w:rPr>
                <w:t>Press release dated March 18, 2025 of the Registrant.</w:t>
              </w:r>
            </w:hyperlink>
          </w:p>
        </w:tc>
      </w:tr>
      <w:tr>
        <w:trPr/>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00"/>
        <w:ind w:left="0" w:right="0" w:hanging="0"/>
        <w:jc w:val="center"/>
        <w:rPr>
          <w:rFonts w:ascii="Times New Roman;Times;serif" w:hAnsi="Times New Roman;Times;serif"/>
          <w:b/>
          <w:sz w:val="20"/>
        </w:rPr>
      </w:pPr>
      <w:bookmarkStart w:id="21" w:name="_b6e632f8_4d2f_420a_a171_0ad81b54d66b"/>
      <w:bookmarkEnd w:id="21"/>
      <w:r>
        <w:rPr>
          <w:rFonts w:ascii="Times New Roman;Times;serif" w:hAnsi="Times New Roman;Times;serif"/>
          <w:b/>
          <w:sz w:val="20"/>
        </w:rPr>
        <w:t>SIGNATURE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5851" w:type="dxa"/>
        <w:jc w:val="left"/>
        <w:tblInd w:w="0" w:type="dxa"/>
        <w:tblLayout w:type="fixed"/>
        <w:tblCellMar>
          <w:top w:w="0" w:type="dxa"/>
          <w:left w:w="0" w:type="dxa"/>
          <w:bottom w:w="0" w:type="dxa"/>
          <w:right w:w="0" w:type="dxa"/>
        </w:tblCellMar>
      </w:tblPr>
      <w:tblGrid>
        <w:gridCol w:w="1411"/>
        <w:gridCol w:w="1089"/>
        <w:gridCol w:w="3351"/>
      </w:tblGrid>
      <w:tr>
        <w:trPr/>
        <w:tc>
          <w:tcPr>
            <w:tcW w:w="1411"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Calavo Growers, Inc.</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18, 2025</w:t>
            </w:r>
          </w:p>
        </w:tc>
        <w:tc>
          <w:tcPr>
            <w:tcW w:w="4440" w:type="dxa"/>
            <w:gridSpan w:val="2"/>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Lecil Cole</w:t>
            </w:r>
          </w:p>
        </w:tc>
      </w:tr>
      <w:tr>
        <w:trPr/>
        <w:tc>
          <w:tcPr>
            <w:tcW w:w="1411"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Lecil Cole</w:t>
            </w:r>
          </w:p>
        </w:tc>
      </w:tr>
      <w:tr>
        <w:trPr/>
        <w:tc>
          <w:tcPr>
            <w:tcW w:w="1411"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right"/>
        <w:rPr>
          <w:rFonts w:ascii="Times New Roman;Times;serif" w:hAnsi="Times New Roman;Times;serif"/>
          <w:b/>
          <w:sz w:val="20"/>
        </w:rPr>
      </w:pPr>
      <w:bookmarkStart w:id="22" w:name="cvgw-20250318xex99d1.htm"/>
      <w:bookmarkStart w:id="23" w:name="kscvgw20250318xex99d1"/>
      <w:bookmarkEnd w:id="22"/>
      <w:bookmarkEnd w:id="23"/>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pPr>
      <w:r>
        <w:rPr/>
        <w:drawing>
          <wp:inline distT="0" distB="0" distL="0" distR="0">
            <wp:extent cx="1952625" cy="10668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952625" cy="106680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8"/>
        </w:rPr>
      </w:pPr>
      <w:r>
        <w:rPr>
          <w:rFonts w:ascii="Times New Roman;Times;serif" w:hAnsi="Times New Roman;Times;serif"/>
          <w:b/>
          <w:sz w:val="28"/>
        </w:rPr>
        <w:t>Calavo Growers, Inc. Announces $25 Million Stock Repurchase Program</w:t>
      </w:r>
    </w:p>
    <w:p>
      <w:pPr>
        <w:pStyle w:val="TextBody"/>
        <w:bidi w:val="0"/>
        <w:spacing w:before="0" w:after="0"/>
        <w:ind w:left="0" w:right="0" w:hanging="0"/>
        <w:jc w:val="center"/>
        <w:rPr>
          <w:rFonts w:ascii="Times New Roman;Times;serif" w:hAnsi="Times New Roman;Times;serif"/>
          <w:i/>
          <w:sz w:val="26"/>
        </w:rPr>
      </w:pPr>
      <w:r>
        <w:rPr>
          <w:rFonts w:ascii="Times New Roman;Times;serif" w:hAnsi="Times New Roman;Times;serif"/>
          <w:i/>
          <w:sz w:val="26"/>
        </w:rPr>
        <w:t>Strong Balance Sheet and Robust Liquidity Position Company for Buybacks to Enhance</w:t>
      </w:r>
    </w:p>
    <w:p>
      <w:pPr>
        <w:pStyle w:val="TextBody"/>
        <w:bidi w:val="0"/>
        <w:spacing w:before="0" w:after="0"/>
        <w:ind w:left="0" w:right="0" w:hanging="0"/>
        <w:jc w:val="center"/>
        <w:rPr>
          <w:rFonts w:ascii="Times New Roman;Times;serif" w:hAnsi="Times New Roman;Times;serif"/>
          <w:i/>
          <w:sz w:val="26"/>
        </w:rPr>
      </w:pPr>
      <w:r>
        <w:rPr>
          <w:rFonts w:ascii="Times New Roman;Times;serif" w:hAnsi="Times New Roman;Times;serif"/>
          <w:i/>
          <w:sz w:val="26"/>
        </w:rPr>
        <w:t>Shareholder Value</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SANTA PAULA, Calif., March 18, 2025 (GLOBE NEWSWIRE)</w:t>
      </w:r>
      <w:r>
        <w:rPr>
          <w:rFonts w:ascii="Times New Roman;Times;serif" w:hAnsi="Times New Roman;Times;serif"/>
          <w:sz w:val="20"/>
        </w:rPr>
        <w:t xml:space="preserve"> – Calavo Growers, Inc. (</w:t>
      </w:r>
      <w:r>
        <w:rPr>
          <w:rFonts w:ascii="Times New Roman;Times;serif" w:hAnsi="Times New Roman;Times;serif"/>
          <w:b/>
          <w:sz w:val="20"/>
        </w:rPr>
        <w:t>Nasdaq-GS:</w:t>
      </w:r>
      <w:r>
        <w:rPr>
          <w:rFonts w:ascii="Times New Roman;Times;serif" w:hAnsi="Times New Roman;Times;serif"/>
          <w:sz w:val="20"/>
        </w:rPr>
        <w:t xml:space="preserve"> </w:t>
      </w:r>
      <w:r>
        <w:rPr>
          <w:rFonts w:ascii="Times New Roman;Times;serif" w:hAnsi="Times New Roman;Times;serif"/>
          <w:b/>
          <w:sz w:val="20"/>
        </w:rPr>
        <w:t>CVGW</w:t>
      </w:r>
      <w:r>
        <w:rPr>
          <w:rFonts w:ascii="Times New Roman;Times;serif" w:hAnsi="Times New Roman;Times;serif"/>
          <w:sz w:val="20"/>
        </w:rPr>
        <w:t>), a global leader in the avocado industry and provider of value-added fresh food (the “Company” or “Calavo”), today announced that its Board of Directors has authorized a share repurchase program of up to $25 million of the Company's outstanding common stock.</w:t>
      </w:r>
    </w:p>
    <w:p>
      <w:pPr>
        <w:pStyle w:val="TextBody"/>
        <w:bidi w:val="0"/>
        <w:spacing w:before="0" w:after="240"/>
        <w:ind w:left="0" w:right="0" w:hanging="0"/>
        <w:jc w:val="left"/>
        <w:rPr/>
      </w:pPr>
      <w:r>
        <w:rPr/>
        <w:t>“</w:t>
      </w:r>
      <w:r>
        <w:rPr>
          <w:rFonts w:ascii="Times New Roman;Times;serif" w:hAnsi="Times New Roman;Times;serif"/>
          <w:sz w:val="20"/>
        </w:rPr>
        <w:t>This repurchase program underscores our confidence in our long-term strategy, financial position, and ability to drive shareholder value,” said Lee Cole, President and CEO of Calavo. “Together with our strong balance sheet, expected cash flow generation, and robust liquidity position, this repurchase program demonstrates our commitment to our shareholders while maintaining our flexibility to invest in strategic growth initiatives and operational improvements.”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authorized to repurchase up to $25 million of its common stock. Repurchases may be conducted through open-market transactions at prevailing market prices, privately negotiated transactions, or Rule 10b5-1 trading plans as permitted under federal securities laws and regulations. The repurchase program remains in effect until March 18, 2027, unless extended or terminated earlier by the Board of Directors. The timing, volume, and pricing of repurchases will be determined by the Company’s management with oversight from the Board and will depend upon market conditions, the Company’s financial position, regulatory requirements and other strategic considerations.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About Calavo Growers,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Calavo Growers, Inc. (Nasdaq: CVGW) is a global leader in the processing and distribution of avocados, tomatoes, papayas, and guacamole. Founded in 1924, Calavo operates a vertically integrated business model, serving retail grocery, foodservice, club stores, and food distributors worldwide. Headquartered in Santa Paula, California, Calavo maintains operations throughout the U.S. and Mexico. Learn more at www.calavo.com.</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press release contains forward-looking statements, including expectations regarding stock repurchases, financial performance, and future business strategies. These statements are subject to risks and uncertainties that could cause actual results to differ materially. Please refer to Calavo’s most recent Form 10-K and Form 10-Q filings with the Securities and Exchange Commission for a discussion of these risks.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Investor Contact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Julie Kegley, Senior Vice President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Profiles,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calavo@finprofiles.com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310-622-8246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931</Words>
  <Characters>5481</Characters>
  <CharactersWithSpaces>6409</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