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sz w:val="20"/>
        </w:rPr>
      </w:pPr>
      <w:bookmarkStart w:id="0" w:name="tmb-20240228xdefa14a.htm"/>
      <w:bookmarkStart w:id="1" w:name="kstmb20240228xdefa14a"/>
      <w:bookmarkEnd w:id="0"/>
      <w:bookmarkEnd w:id="1"/>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 Pursuant to Section 14(a) of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(Amendment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by the Registrant  ☒                             Filed by a Party other than the Registrant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Check the appropriate box:</w:t>
      </w:r>
    </w:p>
    <w:tbl>
      <w:tblPr>
        <w:tblW w:w="6632" w:type="dxa"/>
        <w:jc w:val="center"/>
        <w:tblInd w:w="0" w:type="dxa"/>
        <w:tblLayout w:type="fixed"/>
        <w:tblCellMar>
          <w:top w:w="0" w:type="dxa"/>
          <w:left w:w="0" w:type="dxa"/>
          <w:bottom w:w="0" w:type="dxa"/>
          <w:right w:w="0" w:type="dxa"/>
        </w:tblCellMar>
      </w:tblPr>
      <w:tblGrid>
        <w:gridCol w:w="331"/>
        <w:gridCol w:w="6301"/>
      </w:tblGrid>
      <w:tr>
        <w:trPr/>
        <w:tc>
          <w:tcPr>
            <w:tcW w:w="33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Preliminary Proxy Statement</w:t>
            </w:r>
          </w:p>
        </w:tc>
      </w:tr>
      <w:tr>
        <w:trPr/>
        <w:tc>
          <w:tcPr>
            <w:tcW w:w="33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Confidential, for Use of the Commission Only (as permitted by Rule 14a-6(e)(2))</w:t>
            </w:r>
          </w:p>
        </w:tc>
      </w:tr>
      <w:tr>
        <w:trPr/>
        <w:tc>
          <w:tcPr>
            <w:tcW w:w="33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Definitive Proxy Statement</w:t>
            </w:r>
          </w:p>
        </w:tc>
      </w:tr>
      <w:tr>
        <w:trPr/>
        <w:tc>
          <w:tcPr>
            <w:tcW w:w="33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Definitive Additional Materials</w:t>
            </w:r>
          </w:p>
        </w:tc>
      </w:tr>
      <w:tr>
        <w:trPr/>
        <w:tc>
          <w:tcPr>
            <w:tcW w:w="33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Soliciting Material Pursuant to Section 240.14a-12</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Registrant as Specified in Its Charter)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(Name of Person(s) Filing Proxy Statement, if other than the Registrant)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Payment of Filing Fee (Check the appropriate box):</w:t>
      </w:r>
    </w:p>
    <w:tbl>
      <w:tblPr>
        <w:tblW w:w="6118" w:type="dxa"/>
        <w:jc w:val="center"/>
        <w:tblInd w:w="0" w:type="dxa"/>
        <w:tblLayout w:type="fixed"/>
        <w:tblCellMar>
          <w:top w:w="0" w:type="dxa"/>
          <w:left w:w="0" w:type="dxa"/>
          <w:bottom w:w="0" w:type="dxa"/>
          <w:right w:w="0" w:type="dxa"/>
        </w:tblCellMar>
      </w:tblPr>
      <w:tblGrid>
        <w:gridCol w:w="331"/>
        <w:gridCol w:w="266"/>
        <w:gridCol w:w="5521"/>
      </w:tblGrid>
      <w:tr>
        <w:trPr/>
        <w:tc>
          <w:tcPr>
            <w:tcW w:w="33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55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 fee required</w:t>
            </w:r>
          </w:p>
        </w:tc>
      </w:tr>
      <w:tr>
        <w:trPr/>
        <w:tc>
          <w:tcPr>
            <w:tcW w:w="33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283"/>
              <w:ind w:left="0" w:right="0" w:hanging="0"/>
              <w:jc w:val="left"/>
              <w:rPr>
                <w:sz w:val="4"/>
                <w:szCs w:val="4"/>
              </w:rPr>
            </w:pPr>
            <w:r>
              <w:rPr>
                <w:sz w:val="4"/>
                <w:szCs w:val="4"/>
              </w:rPr>
            </w:r>
          </w:p>
        </w:tc>
        <w:tc>
          <w:tcPr>
            <w:tcW w:w="55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Fee computed on table below per Exchange Act Rules 14a-6(i)(1) and 0-11.</w:t>
            </w:r>
          </w:p>
        </w:tc>
      </w:tr>
      <w:tr>
        <w:trPr/>
        <w:tc>
          <w:tcPr>
            <w:tcW w:w="33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283"/>
              <w:ind w:left="0" w:right="0" w:hanging="0"/>
              <w:jc w:val="left"/>
              <w:rPr>
                <w:sz w:val="4"/>
                <w:szCs w:val="4"/>
              </w:rPr>
            </w:pPr>
            <w:r>
              <w:rPr>
                <w:sz w:val="4"/>
                <w:szCs w:val="4"/>
              </w:rPr>
            </w:r>
          </w:p>
        </w:tc>
        <w:tc>
          <w:tcPr>
            <w:tcW w:w="55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Fee paid previously with preliminary materials.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3085" w:type="dxa"/>
        <w:jc w:val="center"/>
        <w:tblInd w:w="0" w:type="dxa"/>
        <w:tblLayout w:type="fixed"/>
        <w:tblCellMar>
          <w:top w:w="0" w:type="dxa"/>
          <w:left w:w="0" w:type="dxa"/>
          <w:bottom w:w="0" w:type="dxa"/>
          <w:right w:w="0" w:type="dxa"/>
        </w:tblCellMar>
      </w:tblPr>
      <w:tblGrid>
        <w:gridCol w:w="12735"/>
        <w:gridCol w:w="35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Your Vote Counts! *Please check the meeting materials for any special requirements for meeting attendance. If you are attending the meeting in person, you will need to request a ballot to vote these shares. Smartphone users Point your camera here and vote without entering a control number For complete information and to vote, visit www.ProxyVote.com Control # V30299-P05724 CALAVO GROWERS, INC. 2024 Annual Meeting Vote by April 23, 2024 11:59 PM ET You invested in CALAVO GROWERS, INC. and it’s time to vote! You have the right to vote on proposals being presented at the Annual Meeting. This is an important notice regarding the availability of proxy material for the shareholder meeting to be held on April 24, 2024. Get informed before you vote View the Notice and Proxy Statement and Annual Report online OR you can receive a free paper or email copy of the material(s) by requesting prior to April 10, 2024.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in Person or Virtually at the Meeting* April 24, 2024 1:00 p.m., PDT 15765 W. Telegraph Road Santa Paula, California 93060 Or meeting live via the Internet-please visit www.virtualshareholdermeeting.com/CVGW2024 CALAVO GROWERS, INC. 1141A CUMMINGS ROAD SANTA PAULA, CA 93060 ATTN: SHAWN MUNSELL</w:t>
            </w:r>
          </w:p>
        </w:tc>
      </w:tr>
    </w:tbl>
    <w:tbl>
      <w:tblPr>
        <w:tblW w:w="12950" w:type="dxa"/>
        <w:jc w:val="center"/>
        <w:tblInd w:w="0" w:type="dxa"/>
        <w:tblLayout w:type="fixed"/>
        <w:tblCellMar>
          <w:top w:w="0" w:type="dxa"/>
          <w:left w:w="0" w:type="dxa"/>
          <w:bottom w:w="0" w:type="dxa"/>
          <w:right w:w="0" w:type="dxa"/>
        </w:tblCellMar>
      </w:tblPr>
      <w:tblGrid>
        <w:gridCol w:w="12735"/>
        <w:gridCol w:w="21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THIS IS NOT A VOTABLE BALLOT This is an overview of the proposals being presented at the upcoming shareholder meeting. Please follow the instructions on the reverse side to vote these important matters. Vote at www.ProxyVote.com Prefer to receive an email instead? While voting on www.ProxyVote.com, be sure to click “Delivery Settings”. V30300-P05724 Voting Items Board Recommends 1. ELECTION OF DIRECTORS For Nominees: 01) Farha Aslam 02) Marc L. Brown 03) Michael A. DiGregorio 04) James D. Helin 05) Steven W. Hollister 06) Kathleen M. Holmgren 07) J. Link Leavens 08) Adriana G. Mendizabal 2. RATIFICATION OF APPOINTMENT OF DELOITTE &amp; TOUCHE LLP AS INDEPENDENT REGISTERED PUBLIC ACCOUNTING FIRM OF CALAVO GROWERS, INC. FOR THE YEAR ENDING OCTOBER 31, 2024 For 3. ADVISORY VOTE APPROVING THE EXECUTIVE COMPENSATION DISCLOSED IN THE ACCOMPANYING PROXY STATEMENT For 4. ADVISORY VOTE ON THE FREQUENCY OF HOLDING FUTURE ADVISORY VOTES ON EXECUTIVE COMPENSATION 1 Year 5. OTHER BUSINESS. In their discretion, the proxies are authorized to vote upon such other business as may properly come before the meeting and at any and all adjournments or postponements thereof. The Board of Directors, at present, knows of no other business to be presented at the meeting.</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3117</Characters>
  <CharactersWithSpaces>3711</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