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55562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556250"/>
                    </a:xfrm>
                    <a:prstGeom prst="rect">
                      <a:avLst/>
                    </a:prstGeom>
                    <a:noFill/>
                  </pic:spPr>
                </pic:pic>
              </a:graphicData>
            </a:graphic>
          </wp:anchor>
        </w:drawing>
      </w:r>
    </w:p>
    <w:p>
      <w:pPr>
        <w:spacing w:after="0" w:line="1256"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Lindeman Bruce John</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CALAVO GROWERS, INC.</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1141-A CUMMINGS 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CALAVO GROWERS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CVGW</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8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04/23/2026</w:t>
      </w:r>
    </w:p>
    <w:p>
      <w:pPr>
        <w:spacing w:after="0" w:line="20" w:lineRule="exact"/>
        <w:rPr>
          <w:sz w:val="24"/>
          <w:szCs w:val="24"/>
          <w:color w:val="auto"/>
        </w:rPr>
      </w:pPr>
      <w:r>
        <w:rPr>
          <w:sz w:val="24"/>
          <w:szCs w:val="24"/>
          <w:color w:val="auto"/>
        </w:rPr>
        <w:br w:type="column"/>
      </w:r>
    </w:p>
    <w:p>
      <w:pPr>
        <w:ind w:left="-6" w:right="620" w:firstLine="6"/>
        <w:spacing w:after="0" w:line="265"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1"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2"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774"/>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15" w:lineRule="exact"/>
        <w:rPr>
          <w:sz w:val="24"/>
          <w:szCs w:val="24"/>
          <w:color w:val="auto"/>
        </w:rPr>
      </w:pPr>
    </w:p>
    <w:p>
      <w:pPr>
        <w:sectPr>
          <w:pgSz w:w="11900" w:h="16838" w:orient="portrait"/>
          <w:cols w:equalWidth="0" w:num="3">
            <w:col w:w="3180" w:space="720"/>
            <w:col w:w="3140" w:space="686"/>
            <w:col w:w="3354"/>
          </w:cols>
          <w:pgMar w:left="460" w:top="216" w:right="359" w:bottom="1440" w:gutter="0" w:footer="0" w:header="0"/>
          <w:type w:val="continuous"/>
        </w:sectPr>
      </w:pPr>
    </w:p>
    <w:p>
      <w:pPr>
        <w:spacing w:after="0" w:line="2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SANTA PAULA CA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93060</w:t>
            </w:r>
          </w:p>
        </w:tc>
      </w:tr>
      <w:tr>
        <w:trPr>
          <w:trHeight w:val="151"/>
        </w:trPr>
        <w:tc>
          <w:tcPr>
            <w:tcW w:w="2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6"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71" w:lineRule="exact"/>
        <w:rPr>
          <w:sz w:val="24"/>
          <w:szCs w:val="24"/>
          <w:color w:val="auto"/>
        </w:rPr>
      </w:pPr>
    </w:p>
    <w:p>
      <w:pPr>
        <w:sectPr>
          <w:pgSz w:w="11900" w:h="16838" w:orient="portrait"/>
          <w:cols w:equalWidth="0" w:num="2">
            <w:col w:w="3740" w:space="16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0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40" w:type="dxa"/>
            <w:vAlign w:val="bottom"/>
            <w:gridSpan w:val="2"/>
          </w:tcPr>
          <w:p>
            <w:pPr>
              <w:ind w:left="70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8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6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740" w:type="dxa"/>
            <w:vAlign w:val="bottom"/>
            <w:gridSpan w:val="2"/>
          </w:tcPr>
          <w:p>
            <w:pPr>
              <w:ind w:left="800"/>
              <w:spacing w:after="0"/>
              <w:rPr>
                <w:sz w:val="20"/>
                <w:szCs w:val="20"/>
                <w:color w:val="auto"/>
              </w:rPr>
            </w:pPr>
            <w:r>
              <w:rPr>
                <w:rFonts w:ascii="Times New Roman" w:cs="Times New Roman" w:eastAsia="Times New Roman" w:hAnsi="Times New Roman"/>
                <w:sz w:val="17"/>
                <w:szCs w:val="17"/>
                <w:color w:val="0000FF"/>
              </w:rPr>
              <w:t>04/23/2026</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39"/>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22"/>
                <w:szCs w:val="22"/>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7"/>
                <w:szCs w:val="17"/>
                <w:color w:val="0000FF"/>
                <w:w w:val="93"/>
              </w:rPr>
              <w:t>4,259</w:t>
            </w:r>
          </w:p>
        </w:tc>
        <w:tc>
          <w:tcPr>
            <w:tcW w:w="6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ind w:right="14"/>
              <w:spacing w:after="0"/>
              <w:rPr>
                <w:sz w:val="20"/>
                <w:szCs w:val="20"/>
                <w:color w:val="auto"/>
              </w:rPr>
            </w:pPr>
            <w:r>
              <w:rPr>
                <w:rFonts w:ascii="Times New Roman" w:cs="Times New Roman" w:eastAsia="Times New Roman" w:hAnsi="Times New Roman"/>
                <w:sz w:val="11"/>
                <w:szCs w:val="11"/>
                <w:color w:val="008000"/>
              </w:rPr>
              <w:t>(1)</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26,143</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740" w:type="dxa"/>
            <w:vAlign w:val="bottom"/>
            <w:gridSpan w:val="2"/>
          </w:tcPr>
          <w:p>
            <w:pPr>
              <w:ind w:left="800"/>
              <w:spacing w:after="0"/>
              <w:rPr>
                <w:sz w:val="20"/>
                <w:szCs w:val="20"/>
                <w:color w:val="auto"/>
              </w:rPr>
            </w:pPr>
            <w:r>
              <w:rPr>
                <w:rFonts w:ascii="Times New Roman" w:cs="Times New Roman" w:eastAsia="Times New Roman" w:hAnsi="Times New Roman"/>
                <w:sz w:val="17"/>
                <w:szCs w:val="17"/>
                <w:color w:val="0000FF"/>
              </w:rPr>
              <w:t>04/23/2026</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39"/>
              <w:spacing w:after="0"/>
              <w:rPr>
                <w:sz w:val="20"/>
                <w:szCs w:val="20"/>
                <w:color w:val="auto"/>
              </w:rPr>
            </w:pPr>
            <w:r>
              <w:rPr>
                <w:rFonts w:ascii="Times New Roman" w:cs="Times New Roman" w:eastAsia="Times New Roman" w:hAnsi="Times New Roman"/>
                <w:sz w:val="13"/>
                <w:szCs w:val="13"/>
                <w:color w:val="0000FF"/>
              </w:rPr>
              <w:t>F</w:t>
            </w:r>
          </w:p>
        </w:tc>
        <w:tc>
          <w:tcPr>
            <w:tcW w:w="160" w:type="dxa"/>
            <w:vAlign w:val="bottom"/>
          </w:tcPr>
          <w:p>
            <w:pPr>
              <w:spacing w:after="0"/>
              <w:rPr>
                <w:sz w:val="22"/>
                <w:szCs w:val="22"/>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7"/>
                <w:szCs w:val="17"/>
                <w:color w:val="0000FF"/>
                <w:w w:val="93"/>
              </w:rPr>
              <w:t>1,587</w:t>
            </w:r>
          </w:p>
        </w:tc>
        <w:tc>
          <w:tcPr>
            <w:tcW w:w="6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gridSpan w:val="3"/>
          </w:tcPr>
          <w:p>
            <w:pPr>
              <w:jc w:val="center"/>
              <w:ind w:right="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27.86</w:t>
            </w:r>
          </w:p>
        </w:tc>
        <w:tc>
          <w:tcPr>
            <w:tcW w:w="11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24,556</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00" w:type="dxa"/>
            <w:vAlign w:val="bottom"/>
            <w:tcBorders>
              <w:bottom w:val="single" w:sz="8" w:color="2C2C2C"/>
            </w:tcBorders>
            <w:gridSpan w:val="6"/>
          </w:tcPr>
          <w:p>
            <w:pPr>
              <w:spacing w:after="0"/>
              <w:rPr>
                <w:sz w:val="8"/>
                <w:szCs w:val="8"/>
                <w:color w:val="auto"/>
              </w:rPr>
            </w:pPr>
          </w:p>
        </w:tc>
        <w:tc>
          <w:tcPr>
            <w:tcW w:w="2540" w:type="dxa"/>
            <w:vAlign w:val="bottom"/>
            <w:tcBorders>
              <w:bottom w:val="single" w:sz="8" w:color="2C2C2C"/>
            </w:tcBorders>
            <w:gridSpan w:val="5"/>
          </w:tcPr>
          <w:p>
            <w:pPr>
              <w:spacing w:after="0"/>
              <w:rPr>
                <w:sz w:val="8"/>
                <w:szCs w:val="8"/>
                <w:color w:val="auto"/>
              </w:rPr>
            </w:pPr>
          </w:p>
        </w:tc>
        <w:tc>
          <w:tcPr>
            <w:tcW w:w="780" w:type="dxa"/>
            <w:vAlign w:val="bottom"/>
            <w:tcBorders>
              <w:bottom w:val="single" w:sz="8" w:color="2C2C2C"/>
            </w:tcBorders>
            <w:gridSpan w:val="3"/>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0" w:type="dxa"/>
            <w:vAlign w:val="bottom"/>
            <w:gridSpan w:val="11"/>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gridSpan w:val="2"/>
            <w:vMerge w:val="restart"/>
          </w:tcPr>
          <w:p>
            <w:pPr>
              <w:jc w:val="center"/>
              <w:ind w:right="19"/>
              <w:spacing w:after="0"/>
              <w:rPr>
                <w:sz w:val="20"/>
                <w:szCs w:val="20"/>
                <w:color w:val="auto"/>
              </w:rPr>
            </w:pPr>
            <w:r>
              <w:rPr>
                <w:rFonts w:ascii="Times New Roman" w:cs="Times New Roman" w:eastAsia="Times New Roman" w:hAnsi="Times New Roman"/>
                <w:sz w:val="11"/>
                <w:szCs w:val="11"/>
                <w:color w:val="008000"/>
                <w:w w:val="93"/>
              </w:rPr>
              <w:t>(2)</w:t>
            </w:r>
          </w:p>
        </w:tc>
        <w:tc>
          <w:tcPr>
            <w:tcW w:w="160" w:type="dxa"/>
            <w:vAlign w:val="bottom"/>
          </w:tcPr>
          <w:p>
            <w:pPr>
              <w:spacing w:after="0"/>
              <w:rPr>
                <w:sz w:val="15"/>
                <w:szCs w:val="15"/>
                <w:color w:val="auto"/>
              </w:rPr>
            </w:pP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(2)</w:t>
            </w:r>
          </w:p>
        </w:tc>
        <w:tc>
          <w:tcPr>
            <w:tcW w:w="6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4,259</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80" w:type="dxa"/>
            <w:vAlign w:val="bottom"/>
            <w:vMerge w:val="restart"/>
          </w:tcPr>
          <w:p>
            <w:pPr>
              <w:ind w:left="240"/>
              <w:spacing w:after="0" w:line="143" w:lineRule="exact"/>
              <w:rPr>
                <w:sz w:val="20"/>
                <w:szCs w:val="20"/>
                <w:color w:val="auto"/>
              </w:rPr>
            </w:pPr>
            <w:r>
              <w:rPr>
                <w:rFonts w:ascii="Times New Roman" w:cs="Times New Roman" w:eastAsia="Times New Roman" w:hAnsi="Times New Roman"/>
                <w:sz w:val="13"/>
                <w:szCs w:val="13"/>
                <w:color w:val="0000FF"/>
              </w:rPr>
              <w:t>04/23/2026</w:t>
            </w:r>
          </w:p>
        </w:tc>
        <w:tc>
          <w:tcPr>
            <w:tcW w:w="1100" w:type="dxa"/>
            <w:vAlign w:val="bottom"/>
          </w:tcPr>
          <w:p>
            <w:pPr>
              <w:spacing w:after="0"/>
              <w:rPr>
                <w:sz w:val="5"/>
                <w:szCs w:val="5"/>
                <w:color w:val="auto"/>
              </w:rPr>
            </w:pPr>
          </w:p>
        </w:tc>
        <w:tc>
          <w:tcPr>
            <w:tcW w:w="64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5"/>
                <w:szCs w:val="5"/>
                <w:color w:val="auto"/>
              </w:rPr>
            </w:pPr>
          </w:p>
        </w:tc>
        <w:tc>
          <w:tcPr>
            <w:tcW w:w="80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4,259</w:t>
            </w: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vMerge w:val="restart"/>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jc w:val="right"/>
              <w:ind w:right="100"/>
              <w:spacing w:after="0" w:line="143"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gridSpan w:val="2"/>
            <w:vMerge w:val="restart"/>
          </w:tcPr>
          <w:p>
            <w:pPr>
              <w:jc w:val="center"/>
              <w:ind w:right="19"/>
              <w:spacing w:after="0"/>
              <w:rPr>
                <w:sz w:val="20"/>
                <w:szCs w:val="20"/>
                <w:color w:val="auto"/>
              </w:rPr>
            </w:pPr>
            <w:r>
              <w:rPr>
                <w:rFonts w:ascii="Times New Roman" w:cs="Times New Roman" w:eastAsia="Times New Roman" w:hAnsi="Times New Roman"/>
                <w:sz w:val="11"/>
                <w:szCs w:val="11"/>
                <w:color w:val="008000"/>
                <w:w w:val="93"/>
              </w:rPr>
              <w:t>(3)</w:t>
            </w:r>
          </w:p>
        </w:tc>
        <w:tc>
          <w:tcPr>
            <w:tcW w:w="160" w:type="dxa"/>
            <w:vAlign w:val="bottom"/>
          </w:tcPr>
          <w:p>
            <w:pPr>
              <w:spacing w:after="0"/>
              <w:rPr>
                <w:sz w:val="15"/>
                <w:szCs w:val="15"/>
                <w:color w:val="auto"/>
              </w:rPr>
            </w:pP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(3)</w:t>
            </w:r>
          </w:p>
        </w:tc>
        <w:tc>
          <w:tcPr>
            <w:tcW w:w="6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2,220</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580" w:type="dxa"/>
            <w:vAlign w:val="bottom"/>
            <w:vMerge w:val="restart"/>
          </w:tcPr>
          <w:p>
            <w:pPr>
              <w:jc w:val="right"/>
              <w:spacing w:after="0" w:line="143" w:lineRule="exact"/>
              <w:rPr>
                <w:sz w:val="20"/>
                <w:szCs w:val="20"/>
                <w:color w:val="auto"/>
              </w:rPr>
            </w:pPr>
            <w:r>
              <w:rPr>
                <w:rFonts w:ascii="Times New Roman" w:cs="Times New Roman" w:eastAsia="Times New Roman" w:hAnsi="Times New Roman"/>
                <w:sz w:val="13"/>
                <w:szCs w:val="13"/>
                <w:color w:val="0000FF"/>
              </w:rPr>
              <w:t>2,200</w:t>
            </w:r>
          </w:p>
        </w:tc>
        <w:tc>
          <w:tcPr>
            <w:tcW w:w="28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-2463800</wp:posOffset>
            </wp:positionV>
            <wp:extent cx="29210" cy="24688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46888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CVGW common stock.</w:t>
      </w:r>
    </w:p>
    <w:p>
      <w:pPr>
        <w:spacing w:after="0" w:line="45" w:lineRule="exact"/>
        <w:rPr>
          <w:rFonts w:ascii="Times New Roman" w:cs="Times New Roman" w:eastAsia="Times New Roman" w:hAnsi="Times New Roman"/>
          <w:sz w:val="13"/>
          <w:szCs w:val="13"/>
          <w:color w:val="008000"/>
        </w:rPr>
      </w:pPr>
    </w:p>
    <w:p>
      <w:pPr>
        <w:ind w:left="40" w:right="50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fully vest on the date of that is the earlier of (i) the one-year anniversary of the date of grant, or (ii) Calavo Growers, Inc.'s 2026 annual meeting of shareholders provided such annual meeting occurs on or after April 8, 2026.</w:t>
      </w:r>
    </w:p>
    <w:p>
      <w:pPr>
        <w:spacing w:after="0" w:line="15" w:lineRule="exact"/>
        <w:rPr>
          <w:rFonts w:ascii="Times New Roman" w:cs="Times New Roman" w:eastAsia="Times New Roman" w:hAnsi="Times New Roman"/>
          <w:sz w:val="13"/>
          <w:szCs w:val="13"/>
          <w:color w:val="008000"/>
        </w:rPr>
      </w:pPr>
    </w:p>
    <w:p>
      <w:pPr>
        <w:ind w:left="40" w:right="30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fully vested on April 23, 2025, and the reporting person's receipt of 2,220 shares of common stock was deferred pursuant to the restricted stock unit award agreement between the reporting person and Calavo Growers, Inc.</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B. John Lindeman</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04/24/2026</w:t>
            </w:r>
          </w:p>
        </w:tc>
      </w:tr>
      <w:tr>
        <w:trPr>
          <w:trHeight w:val="20"/>
        </w:trPr>
        <w:tc>
          <w:tcPr>
            <w:tcW w:w="144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0"/>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49692" TargetMode="External"/><Relationship Id="rId14" Type="http://schemas.openxmlformats.org/officeDocument/2006/relationships/hyperlink" Target="http://www.sec.gov/cgi-bin/browse-edgar?action=getcompany&amp;CIK=000113347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2026-04-27T20:13:30Z</dcterms:created>
  <dcterms:modified xsi:type="dcterms:W3CDTF">2026-04-27T20:13:30Z</dcterms:modified>
</cp:coreProperties>
</file>