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945515</wp:posOffset>
            </wp:positionH>
            <wp:positionV relativeFrom="page">
              <wp:posOffset>431800</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500380</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t>UNITED STATES</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16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8-K</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CURRENT REPORT PURSUANT</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TO SECTION 13 OR 15(d) OF THE</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EXCHANGE ACT OF 1934</w:t>
      </w:r>
    </w:p>
    <w:p>
      <w:pPr>
        <w:spacing w:after="0" w:line="16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June 15, 2023</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CALAVO GROWERS, INC.</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(Exact Name of Registrant as Specified in Charter)</w:t>
      </w:r>
    </w:p>
    <w:p>
      <w:pPr>
        <w:spacing w:after="0" w:line="205" w:lineRule="exact"/>
        <w:rPr>
          <w:sz w:val="24"/>
          <w:szCs w:val="24"/>
          <w:color w:val="auto"/>
        </w:rPr>
      </w:pPr>
    </w:p>
    <w:tbl>
      <w:tblPr>
        <w:tblLayout w:type="fixed"/>
        <w:tblInd w:w="40" w:type="dxa"/>
        <w:tblCellMar>
          <w:top w:w="0" w:type="dxa"/>
          <w:left w:w="0" w:type="dxa"/>
          <w:bottom w:w="0" w:type="dxa"/>
          <w:right w:w="0" w:type="dxa"/>
        </w:tblCellMar>
      </w:tblPr>
      <w:tr>
        <w:trPr>
          <w:trHeight w:val="234"/>
        </w:trPr>
        <w:tc>
          <w:tcPr>
            <w:tcW w:w="2960" w:type="dxa"/>
            <w:vAlign w:val="bottom"/>
          </w:tcPr>
          <w:p>
            <w:pPr>
              <w:jc w:val="center"/>
              <w:spacing w:after="0"/>
              <w:rPr>
                <w:sz w:val="20"/>
                <w:szCs w:val="20"/>
                <w:color w:val="auto"/>
              </w:rPr>
            </w:pPr>
            <w:r>
              <w:rPr>
                <w:rFonts w:ascii="Arial" w:cs="Arial" w:eastAsia="Arial" w:hAnsi="Arial"/>
                <w:sz w:val="18"/>
                <w:szCs w:val="18"/>
                <w:b w:val="1"/>
                <w:bCs w:val="1"/>
                <w:color w:val="auto"/>
                <w:w w:val="93"/>
              </w:rPr>
              <w:t>California</w:t>
            </w:r>
          </w:p>
        </w:tc>
        <w:tc>
          <w:tcPr>
            <w:tcW w:w="2840" w:type="dxa"/>
            <w:vAlign w:val="bottom"/>
            <w:gridSpan w:val="2"/>
          </w:tcPr>
          <w:p>
            <w:pPr>
              <w:jc w:val="right"/>
              <w:ind w:right="850"/>
              <w:spacing w:after="0"/>
              <w:rPr>
                <w:sz w:val="20"/>
                <w:szCs w:val="20"/>
                <w:color w:val="auto"/>
              </w:rPr>
            </w:pPr>
            <w:r>
              <w:rPr>
                <w:rFonts w:ascii="Arial" w:cs="Arial" w:eastAsia="Arial" w:hAnsi="Arial"/>
                <w:sz w:val="18"/>
                <w:szCs w:val="18"/>
                <w:b w:val="1"/>
                <w:bCs w:val="1"/>
                <w:color w:val="auto"/>
              </w:rPr>
              <w:t>000-33385</w:t>
            </w:r>
          </w:p>
        </w:tc>
        <w:tc>
          <w:tcPr>
            <w:tcW w:w="3120" w:type="dxa"/>
            <w:vAlign w:val="bottom"/>
            <w:gridSpan w:val="2"/>
          </w:tcPr>
          <w:p>
            <w:pPr>
              <w:jc w:val="center"/>
              <w:ind w:left="70"/>
              <w:spacing w:after="0"/>
              <w:rPr>
                <w:sz w:val="20"/>
                <w:szCs w:val="20"/>
                <w:color w:val="auto"/>
              </w:rPr>
            </w:pPr>
            <w:r>
              <w:rPr>
                <w:rFonts w:ascii="Arial" w:cs="Arial" w:eastAsia="Arial" w:hAnsi="Arial"/>
                <w:sz w:val="18"/>
                <w:szCs w:val="18"/>
                <w:b w:val="1"/>
                <w:bCs w:val="1"/>
                <w:color w:val="auto"/>
                <w:w w:val="91"/>
              </w:rPr>
              <w:t>33-0945304</w:t>
            </w:r>
          </w:p>
        </w:tc>
      </w:tr>
      <w:tr>
        <w:trPr>
          <w:trHeight w:val="195"/>
        </w:trPr>
        <w:tc>
          <w:tcPr>
            <w:tcW w:w="29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(State or Other</w:t>
            </w:r>
          </w:p>
        </w:tc>
        <w:tc>
          <w:tcPr>
            <w:tcW w:w="160" w:type="dxa"/>
            <w:vAlign w:val="bottom"/>
          </w:tcPr>
          <w:p>
            <w:pPr>
              <w:spacing w:after="0"/>
              <w:rPr>
                <w:sz w:val="16"/>
                <w:szCs w:val="16"/>
                <w:color w:val="auto"/>
              </w:rPr>
            </w:pPr>
          </w:p>
        </w:tc>
        <w:tc>
          <w:tcPr>
            <w:tcW w:w="26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(Commission File Number)</w:t>
            </w:r>
          </w:p>
        </w:tc>
        <w:tc>
          <w:tcPr>
            <w:tcW w:w="160" w:type="dxa"/>
            <w:vAlign w:val="bottom"/>
          </w:tcPr>
          <w:p>
            <w:pPr>
              <w:spacing w:after="0"/>
              <w:rPr>
                <w:sz w:val="16"/>
                <w:szCs w:val="16"/>
                <w:color w:val="auto"/>
              </w:rPr>
            </w:pPr>
          </w:p>
        </w:tc>
        <w:tc>
          <w:tcPr>
            <w:tcW w:w="29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(IRS Employer</w:t>
            </w:r>
          </w:p>
        </w:tc>
      </w:tr>
      <w:tr>
        <w:trPr>
          <w:trHeight w:val="230"/>
        </w:trPr>
        <w:tc>
          <w:tcPr>
            <w:tcW w:w="2960" w:type="dxa"/>
            <w:vAlign w:val="bottom"/>
          </w:tcPr>
          <w:p>
            <w:pPr>
              <w:jc w:val="center"/>
              <w:spacing w:after="0"/>
              <w:rPr>
                <w:sz w:val="20"/>
                <w:szCs w:val="20"/>
                <w:color w:val="auto"/>
              </w:rPr>
            </w:pPr>
            <w:r>
              <w:rPr>
                <w:rFonts w:ascii="Arial" w:cs="Arial" w:eastAsia="Arial" w:hAnsi="Arial"/>
                <w:sz w:val="18"/>
                <w:szCs w:val="18"/>
                <w:color w:val="auto"/>
                <w:w w:val="93"/>
              </w:rPr>
              <w:t>Jurisdiction of Incorporation)</w:t>
            </w:r>
          </w:p>
        </w:tc>
        <w:tc>
          <w:tcPr>
            <w:tcW w:w="16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6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bl>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1141-A Cummings Road, Santa Paula, California 93060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94615</wp:posOffset>
            </wp:positionV>
            <wp:extent cx="14058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92075</wp:posOffset>
            </wp:positionV>
            <wp:extent cx="14058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21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11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(805) 525-1245</w:t>
      </w:r>
    </w:p>
    <w:p>
      <w:pPr>
        <w:spacing w:after="0" w:line="121" w:lineRule="exact"/>
        <w:rPr>
          <w:sz w:val="24"/>
          <w:szCs w:val="24"/>
          <w:color w:val="auto"/>
        </w:rPr>
      </w:pPr>
    </w:p>
    <w:p>
      <w:pPr>
        <w:ind w:left="60" w:right="359"/>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ind w:left="520" w:hanging="244"/>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520" w:hanging="244"/>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520" w:hanging="244"/>
        <w:spacing w:after="0"/>
        <w:tabs>
          <w:tab w:leader="none" w:pos="52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14d-2(b) under the Exchange Act (17 CFR 240.14d-2(b))</w:t>
      </w:r>
    </w:p>
    <w:p>
      <w:pPr>
        <w:spacing w:after="0" w:line="128" w:lineRule="exact"/>
        <w:rPr>
          <w:rFonts w:ascii="MS PGothic" w:cs="MS PGothic" w:eastAsia="MS PGothic" w:hAnsi="MS PGothic"/>
          <w:sz w:val="17"/>
          <w:szCs w:val="17"/>
          <w:color w:val="auto"/>
        </w:rPr>
      </w:pPr>
    </w:p>
    <w:p>
      <w:pPr>
        <w:ind w:left="520" w:hanging="244"/>
        <w:spacing w:after="0"/>
        <w:tabs>
          <w:tab w:leader="none" w:pos="52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13e-4(c) under the Exchange Act (17 CFR 240.13e-4(c))</w:t>
      </w:r>
    </w:p>
    <w:p>
      <w:pPr>
        <w:spacing w:after="0" w:line="133" w:lineRule="exact"/>
        <w:rPr>
          <w:rFonts w:ascii="MS PGothic" w:cs="MS PGothic" w:eastAsia="MS PGothic" w:hAnsi="MS PGothic"/>
          <w:sz w:val="17"/>
          <w:szCs w:val="17"/>
          <w:color w:val="auto"/>
        </w:rPr>
      </w:pPr>
    </w:p>
    <w:p>
      <w:pPr>
        <w:ind w:left="2640"/>
        <w:spacing w:after="0"/>
        <w:rPr>
          <w:rFonts w:ascii="MS PGothic" w:cs="MS PGothic" w:eastAsia="MS PGothic" w:hAnsi="MS PGothic"/>
          <w:sz w:val="17"/>
          <w:szCs w:val="17"/>
          <w:color w:val="auto"/>
        </w:rPr>
      </w:pPr>
      <w:r>
        <w:rPr>
          <w:rFonts w:ascii="Arial" w:cs="Arial" w:eastAsia="Arial" w:hAnsi="Arial"/>
          <w:sz w:val="16"/>
          <w:szCs w:val="16"/>
          <w:color w:val="auto"/>
        </w:rPr>
        <w:t>Securities registered pursuant to Section 12(b) of the Act:</w:t>
      </w:r>
    </w:p>
    <w:p>
      <w:pPr>
        <w:spacing w:after="0" w:line="149"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3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140" w:type="dxa"/>
            <w:vAlign w:val="bottom"/>
          </w:tcPr>
          <w:p>
            <w:pPr>
              <w:spacing w:after="0"/>
              <w:rPr>
                <w:sz w:val="20"/>
                <w:szCs w:val="20"/>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120" w:type="dxa"/>
            <w:vAlign w:val="bottom"/>
          </w:tcPr>
          <w:p>
            <w:pPr>
              <w:spacing w:after="0"/>
              <w:rPr>
                <w:sz w:val="20"/>
                <w:szCs w:val="20"/>
                <w:color w:val="auto"/>
              </w:rPr>
            </w:pPr>
          </w:p>
        </w:tc>
        <w:tc>
          <w:tcPr>
            <w:tcW w:w="3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4"/>
        </w:trPr>
        <w:tc>
          <w:tcPr>
            <w:tcW w:w="3300" w:type="dxa"/>
            <w:vAlign w:val="bottom"/>
          </w:tcPr>
          <w:p>
            <w:pPr>
              <w:jc w:val="center"/>
              <w:spacing w:after="0"/>
              <w:rPr>
                <w:sz w:val="20"/>
                <w:szCs w:val="20"/>
                <w:color w:val="auto"/>
              </w:rPr>
            </w:pPr>
            <w:r>
              <w:rPr>
                <w:rFonts w:ascii="Arial" w:cs="Arial" w:eastAsia="Arial" w:hAnsi="Arial"/>
                <w:sz w:val="18"/>
                <w:szCs w:val="18"/>
                <w:color w:val="auto"/>
                <w:w w:val="90"/>
              </w:rPr>
              <w:t>Common Stock</w:t>
            </w:r>
          </w:p>
        </w:tc>
        <w:tc>
          <w:tcPr>
            <w:tcW w:w="140" w:type="dxa"/>
            <w:vAlign w:val="bottom"/>
          </w:tcPr>
          <w:p>
            <w:pPr>
              <w:spacing w:after="0"/>
              <w:rPr>
                <w:sz w:val="19"/>
                <w:szCs w:val="19"/>
                <w:color w:val="auto"/>
              </w:rPr>
            </w:pPr>
          </w:p>
        </w:tc>
        <w:tc>
          <w:tcPr>
            <w:tcW w:w="2100" w:type="dxa"/>
            <w:vAlign w:val="bottom"/>
          </w:tcPr>
          <w:p>
            <w:pPr>
              <w:jc w:val="center"/>
              <w:spacing w:after="0"/>
              <w:rPr>
                <w:sz w:val="20"/>
                <w:szCs w:val="20"/>
                <w:color w:val="auto"/>
              </w:rPr>
            </w:pPr>
            <w:r>
              <w:rPr>
                <w:rFonts w:ascii="Arial" w:cs="Arial" w:eastAsia="Arial" w:hAnsi="Arial"/>
                <w:sz w:val="18"/>
                <w:szCs w:val="18"/>
                <w:color w:val="auto"/>
                <w:w w:val="99"/>
              </w:rPr>
              <w:t>CVGW</w:t>
            </w:r>
          </w:p>
        </w:tc>
        <w:tc>
          <w:tcPr>
            <w:tcW w:w="120" w:type="dxa"/>
            <w:vAlign w:val="bottom"/>
          </w:tcPr>
          <w:p>
            <w:pPr>
              <w:spacing w:after="0"/>
              <w:rPr>
                <w:sz w:val="19"/>
                <w:szCs w:val="19"/>
                <w:color w:val="auto"/>
              </w:rPr>
            </w:pPr>
          </w:p>
        </w:tc>
        <w:tc>
          <w:tcPr>
            <w:tcW w:w="3260" w:type="dxa"/>
            <w:vAlign w:val="bottom"/>
          </w:tcPr>
          <w:p>
            <w:pPr>
              <w:jc w:val="center"/>
              <w:spacing w:after="0"/>
              <w:rPr>
                <w:sz w:val="20"/>
                <w:szCs w:val="20"/>
                <w:color w:val="auto"/>
              </w:rPr>
            </w:pPr>
            <w:r>
              <w:rPr>
                <w:rFonts w:ascii="Arial" w:cs="Arial" w:eastAsia="Arial" w:hAnsi="Arial"/>
                <w:sz w:val="18"/>
                <w:szCs w:val="18"/>
                <w:color w:val="auto"/>
                <w:w w:val="91"/>
              </w:rPr>
              <w:t>Nasdaq Global Market</w:t>
            </w:r>
          </w:p>
        </w:tc>
      </w:tr>
    </w:tbl>
    <w:p>
      <w:pPr>
        <w:spacing w:after="0" w:line="187" w:lineRule="exact"/>
        <w:rPr>
          <w:sz w:val="24"/>
          <w:szCs w:val="24"/>
          <w:color w:val="auto"/>
        </w:rPr>
      </w:pPr>
    </w:p>
    <w:p>
      <w:pPr>
        <w:jc w:val="both"/>
        <w:ind w:left="60" w:right="99" w:firstLine="324"/>
        <w:spacing w:after="0" w:line="323"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ind w:left="38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62" w:lineRule="exact"/>
        <w:rPr>
          <w:sz w:val="24"/>
          <w:szCs w:val="24"/>
          <w:color w:val="auto"/>
        </w:rPr>
      </w:pPr>
    </w:p>
    <w:p>
      <w:pPr>
        <w:ind w:left="60" w:right="159" w:firstLine="324"/>
        <w:spacing w:after="0" w:line="23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541020</wp:posOffset>
            </wp:positionV>
            <wp:extent cx="565785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2540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120650</wp:posOffset>
            </wp:positionV>
            <wp:extent cx="56578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163830</wp:posOffset>
            </wp:positionV>
            <wp:extent cx="565785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962" w:right="1440" w:bottom="1440" w:gutter="0" w:footer="0" w:header="0"/>
        </w:sectPr>
      </w:pPr>
    </w:p>
    <w:bookmarkStart w:id="1" w:name="page2"/>
    <w:bookmarkEnd w:id="1"/>
    <w:p>
      <w:pPr>
        <w:ind w:left="60" w:right="439"/>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ind w:left="60" w:right="139" w:firstLine="324"/>
        <w:spacing w:after="0" w:line="296" w:lineRule="auto"/>
        <w:rPr>
          <w:sz w:val="20"/>
          <w:szCs w:val="20"/>
          <w:color w:val="auto"/>
        </w:rPr>
      </w:pPr>
      <w:r>
        <w:rPr>
          <w:rFonts w:ascii="Arial" w:cs="Arial" w:eastAsia="Arial" w:hAnsi="Arial"/>
          <w:sz w:val="16"/>
          <w:szCs w:val="16"/>
          <w:color w:val="auto"/>
        </w:rPr>
        <w:t>On June 15, 2023, Helen Kurtz, Senior Vice President and General Manager of Calavo Prepared, gave notice of her resignation effective June 23, 2023. Pursuant to her employment agreement, Ms. Kurtz will be entitled to severance payments and benefits payable upon termination for good reason as described in Calavo’s proxy statement for the 2023 Annual Meeting of Shareholders filed with the Securities and Exchange Commission on February 28, 2023. The foregoing benefits are contingent upon Ms. Kurtz executing a separation and release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60" w:right="259"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4"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Calavo Growers, Inc.</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June 16, 2023</w:t>
      </w:r>
    </w:p>
    <w:p>
      <w:pPr>
        <w:spacing w:after="0" w:line="9"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By: /s/ Shawn Munsell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3040380</wp:posOffset>
            </wp:positionH>
            <wp:positionV relativeFrom="paragraph">
              <wp:posOffset>5715</wp:posOffset>
            </wp:positionV>
            <wp:extent cx="26485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648585" cy="8255"/>
                    </a:xfrm>
                    <a:prstGeom prst="rect">
                      <a:avLst/>
                    </a:prstGeom>
                    <a:noFill/>
                  </pic:spPr>
                </pic:pic>
              </a:graphicData>
            </a:graphic>
          </wp:anchor>
        </w:drawing>
      </w:r>
    </w:p>
    <w:p>
      <w:pPr>
        <w:ind w:left="4480"/>
        <w:spacing w:after="0"/>
        <w:rPr>
          <w:sz w:val="20"/>
          <w:szCs w:val="20"/>
          <w:color w:val="auto"/>
        </w:rPr>
      </w:pPr>
      <w:r>
        <w:rPr>
          <w:rFonts w:ascii="Arial" w:cs="Arial" w:eastAsia="Arial" w:hAnsi="Arial"/>
          <w:sz w:val="18"/>
          <w:szCs w:val="18"/>
          <w:color w:val="auto"/>
        </w:rPr>
        <w:t>Shawn Munsell</w:t>
      </w:r>
    </w:p>
    <w:p>
      <w:pPr>
        <w:spacing w:after="0" w:line="23"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sectPr>
      <w:pgSz w:w="11900" w:h="16838" w:orient="portrait"/>
      <w:cols w:equalWidth="0" w:num="1">
        <w:col w:w="9019"/>
      </w:cols>
      <w:pgMar w:left="144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2023-06-16T16:14:56Z</dcterms:created>
  <dcterms:modified xsi:type="dcterms:W3CDTF">2023-06-16T16:14:56Z</dcterms:modified>
</cp:coreProperties>
</file>