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Aslam Farha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69.43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equal increments on each anniversary date of the grant over a five-year period, and each increment is exercisable for five years from its vesting date.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Farha Aslam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12/03/2021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435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2021-12-03T17:43:14Z</dcterms:created>
  <dcterms:modified xsi:type="dcterms:W3CDTF">2021-12-03T17:43:14Z</dcterms:modified>
</cp:coreProperties>
</file>