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cvgw-20240424x8k.htm"/>
      <w:bookmarkStart w:id="1" w:name="kscvgw20240424x8k"/>
      <w:bookmarkEnd w:id="0"/>
      <w:bookmarkEnd w:id="1"/>
      <w:r>
        <w:rPr/>
        <w:t>​</w:t>
      </w:r>
    </w:p>
    <w:p>
      <w:pPr>
        <w:pStyle w:val="TextBody"/>
        <w:bidi w:val="0"/>
        <w:spacing w:before="0" w:after="0"/>
        <w:ind w:left="0" w:right="0" w:hanging="0"/>
        <w:jc w:val="center"/>
        <w:rPr>
          <w:rFonts w:ascii="Times New Roman;Times;serif" w:hAnsi="Times New Roman;Times;serif"/>
          <w:sz w:val="20"/>
        </w:rPr>
      </w:pPr>
      <w:bookmarkStart w:id="2" w:name="_f2df8de1_9279_4e79_993a_9f02019e45a1"/>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 PURSUANT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SECTION 13 OR 15(d) OF THE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April 24, 2024</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v8MvbYHg-Ey1oyAfkkwNTA_2_4"/>
      <w:bookmarkStart w:id="4" w:name="Tc_cGiK4GB7eEa_M3AiYyiegA_2_2"/>
      <w:bookmarkStart w:id="5" w:name="Tc_EguGSA2XT0mWHogollUYPg_2_0"/>
      <w:bookmarkStart w:id="6" w:name="_7d263127_f640_4003_8520_0d02290d9123"/>
      <w:bookmarkStart w:id="7" w:name="Tc_v8MvbYHg-Ey1oyAfkkwNTA_2_4"/>
      <w:bookmarkStart w:id="8" w:name="Tc_cGiK4GB7eEa_M3AiYyiegA_2_2"/>
      <w:bookmarkStart w:id="9" w:name="Tc_EguGSA2XT0mWHogollUYPg_2_0"/>
      <w:bookmarkStart w:id="10" w:name="_7d263127_f640_4003_8520_0d02290d9123"/>
      <w:bookmarkEnd w:id="7"/>
      <w:bookmarkEnd w:id="8"/>
      <w:bookmarkEnd w:id="9"/>
      <w:bookmarkEnd w:id="10"/>
    </w:p>
    <w:tbl>
      <w:tblPr>
        <w:tblW w:w="6985" w:type="dxa"/>
        <w:jc w:val="left"/>
        <w:tblInd w:w="0" w:type="dxa"/>
        <w:tblLayout w:type="fixed"/>
        <w:tblCellMar>
          <w:top w:w="0" w:type="dxa"/>
          <w:left w:w="0" w:type="dxa"/>
          <w:bottom w:w="0" w:type="dxa"/>
          <w:right w:w="0" w:type="dxa"/>
        </w:tblCellMar>
      </w:tblPr>
      <w:tblGrid>
        <w:gridCol w:w="2506"/>
        <w:gridCol w:w="266"/>
        <w:gridCol w:w="2296"/>
        <w:gridCol w:w="266"/>
        <w:gridCol w:w="1651"/>
      </w:tblGrid>
      <w:tr>
        <w:trPr/>
        <w:tc>
          <w:tcPr>
            <w:tcW w:w="25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266" w:type="dxa"/>
            <w:tcBorders/>
            <w:vAlign w:val="center"/>
          </w:tcPr>
          <w:p>
            <w:pPr>
              <w:pStyle w:val="TableContents"/>
              <w:bidi w:val="0"/>
              <w:spacing w:before="0" w:after="0"/>
              <w:ind w:left="0" w:right="0" w:hanging="0"/>
              <w:jc w:val="center"/>
              <w:rPr/>
            </w:pPr>
            <w:r>
              <w:rPr/>
              <w:t>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000-33385</w:t>
            </w:r>
          </w:p>
        </w:tc>
        <w:tc>
          <w:tcPr>
            <w:tcW w:w="266" w:type="dxa"/>
            <w:tcBorders/>
            <w:vAlign w:val="center"/>
          </w:tcPr>
          <w:p>
            <w:pPr>
              <w:pStyle w:val="TableContents"/>
              <w:bidi w:val="0"/>
              <w:spacing w:before="0" w:after="0"/>
              <w:ind w:left="0" w:right="0" w:hanging="0"/>
              <w:jc w:val="center"/>
              <w:rPr/>
            </w:pPr>
            <w:r>
              <w:rPr/>
              <w:t>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33-0945304</w:t>
            </w:r>
          </w:p>
        </w:tc>
      </w:tr>
      <w:tr>
        <w:trPr/>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26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6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1141-A Cummings Road, Santa Paula, California</w:t>
      </w:r>
      <w:r>
        <w:rPr>
          <w:rFonts w:ascii="Times New Roman;Times;serif" w:hAnsi="Times New Roman;Times;serif"/>
          <w:sz w:val="20"/>
        </w:rPr>
        <w:t xml:space="preserve"> </w:t>
      </w:r>
      <w:r>
        <w:rPr>
          <w:rFonts w:ascii="Times New Roman;Times;serif" w:hAnsi="Times New Roman;Times;serif"/>
          <w:b/>
          <w:sz w:val="20"/>
        </w:rPr>
        <w:t>93060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(805) 525-1245</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left"/>
        <w:rPr/>
      </w:pPr>
      <w:r>
        <w:rPr/>
        <w:t>     ☐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c4hhEUySWUGQ34qDAbCvMg_1_4"/>
      <w:bookmarkStart w:id="12" w:name="Tc_imcj-QV_HkaAkFvyLGCRkw_1_2"/>
      <w:bookmarkStart w:id="13" w:name="Tc_fP4bsEH9ek-XMr8DTh8yeA_1_0"/>
      <w:bookmarkStart w:id="14" w:name="_150660bc_8c0e_4db4_99d3_754e56291b24"/>
      <w:bookmarkStart w:id="15" w:name="Tc_c4hhEUySWUGQ34qDAbCvMg_1_4"/>
      <w:bookmarkStart w:id="16" w:name="Tc_imcj-QV_HkaAkFvyLGCRkw_1_2"/>
      <w:bookmarkStart w:id="17" w:name="Tc_fP4bsEH9ek-XMr8DTh8yeA_1_0"/>
      <w:bookmarkStart w:id="18" w:name="_150660bc_8c0e_4db4_99d3_754e56291b24"/>
      <w:bookmarkEnd w:id="15"/>
      <w:bookmarkEnd w:id="16"/>
      <w:bookmarkEnd w:id="17"/>
      <w:bookmarkEnd w:id="18"/>
    </w:p>
    <w:tbl>
      <w:tblPr>
        <w:tblW w:w="7435" w:type="dxa"/>
        <w:jc w:val="left"/>
        <w:tblInd w:w="0" w:type="dxa"/>
        <w:tblLayout w:type="fixed"/>
        <w:tblCellMar>
          <w:top w:w="0" w:type="dxa"/>
          <w:left w:w="0" w:type="dxa"/>
          <w:bottom w:w="0" w:type="dxa"/>
          <w:right w:w="0" w:type="dxa"/>
        </w:tblCellMar>
      </w:tblPr>
      <w:tblGrid>
        <w:gridCol w:w="1576"/>
        <w:gridCol w:w="266"/>
        <w:gridCol w:w="1621"/>
        <w:gridCol w:w="266"/>
        <w:gridCol w:w="3706"/>
      </w:tblGrid>
      <w:tr>
        <w:trPr/>
        <w:tc>
          <w:tcPr>
            <w:tcW w:w="157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Common Stock </w:t>
            </w:r>
          </w:p>
        </w:tc>
        <w:tc>
          <w:tcPr>
            <w:tcW w:w="26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CVGW</w:t>
            </w:r>
          </w:p>
        </w:tc>
        <w:tc>
          <w:tcPr>
            <w:tcW w:w="26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 w:name="_32a696db_1052_4c68_8aa3_4c56f9b5c0cc"/>
      <w:bookmarkEnd w:id="19"/>
      <w:r>
        <w:rPr>
          <w:rFonts w:ascii="Times New Roman;Times;serif" w:hAnsi="Times New Roman;Times;serif"/>
          <w:b/>
          <w:i w:val="false"/>
          <w:caps w:val="false"/>
          <w:smallCaps w:val="false"/>
          <w:sz w:val="20"/>
        </w:rPr>
        <w:t>Item 5.07</w:t>
      </w:r>
      <w:r>
        <w:rPr>
          <w:rFonts w:ascii="Times New Roman;Times;serif" w:hAnsi="Times New Roman;Times;serif"/>
          <w:b/>
          <w:sz w:val="20"/>
        </w:rPr>
        <w:t>Submission of Matters to a Vote of Security Holders.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On April 24, 2024, Calavo Growers, Inc. (the “Company”) held its annual meeting of shareholders. At the meeting, the holders of the Company’s outstanding common stock acted on the following matters: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sz w:val="20"/>
        </w:rPr>
        <w:t>The shareholders elected the following eight directors, each to serve until the next annual meeting of shareholders or until his or her successor is elected. Shareholders were entitled to cumulate their votes for directors as described in the Company’s Proxy Statement filed with the Securities and Exchange Commission on February 28, 2024 (the “Proxy Statement”). Each nominee received the following votes:</w:t>
      </w:r>
    </w:p>
    <w:tbl>
      <w:tblPr>
        <w:tblW w:w="5812" w:type="dxa"/>
        <w:jc w:val="left"/>
        <w:tblInd w:w="0" w:type="dxa"/>
        <w:tblLayout w:type="fixed"/>
        <w:tblCellMar>
          <w:top w:w="0" w:type="dxa"/>
          <w:left w:w="0" w:type="dxa"/>
          <w:bottom w:w="0" w:type="dxa"/>
          <w:right w:w="0" w:type="dxa"/>
        </w:tblCellMar>
      </w:tblPr>
      <w:tblGrid>
        <w:gridCol w:w="1981"/>
        <w:gridCol w:w="326"/>
        <w:gridCol w:w="1036"/>
        <w:gridCol w:w="326"/>
        <w:gridCol w:w="781"/>
        <w:gridCol w:w="326"/>
        <w:gridCol w:w="103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57935" cy="29210"/>
                      <wp:effectExtent l="0" t="0" r="0" b="0"/>
                      <wp:wrapNone/>
                      <wp:docPr id="1" name="Frame1"/>
                      <a:graphic xmlns:a="http://schemas.openxmlformats.org/drawingml/2006/main">
                        <a:graphicData uri="http://schemas.microsoft.com/office/word/2010/wordprocessingShape">
                          <wps:wsp>
                            <wps:cNvSpPr txBox="1"/>
                            <wps:spPr>
                              <a:xfrm>
                                <a:off x="0" y="0"/>
                                <a:ext cx="1257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57860" cy="29210"/>
                      <wp:effectExtent l="0" t="0" r="0" b="0"/>
                      <wp:wrapNone/>
                      <wp:docPr id="3" name="Frame3"/>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29210"/>
                      <wp:effectExtent l="0" t="0" r="0" b="0"/>
                      <wp:wrapNone/>
                      <wp:docPr id="5" name="Frame5"/>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7860" cy="29210"/>
                      <wp:effectExtent l="0" t="0" r="0" b="0"/>
                      <wp:wrapNone/>
                      <wp:docPr id="7" name="Frame7"/>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Nominee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Votes</w:t>
              <w:br/>
              <w:t>For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Votes</w:t>
              <w:br/>
              <w:t>Withheld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Broker </w:t>
              <w:br/>
              <w:t>Non-Votes</w:t>
            </w:r>
          </w:p>
        </w:tc>
      </w:tr>
      <w:tr>
        <w:trPr/>
        <w:tc>
          <w:tcPr>
            <w:tcW w:w="198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Farha Aslam</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11,995,127</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353,782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 L.Brown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12,098,112</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421,133</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A. DiGregorio</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12,062,400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320,219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Adriana Mendizabal</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11,747,270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601,639</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D. Helin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12,160,329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399,092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Hollister</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11,971,754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429,129</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Kathleen M. Holmgren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12,020,588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329,959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1,302,343</w:t>
            </w:r>
          </w:p>
        </w:tc>
      </w:tr>
      <w:tr>
        <w:trPr/>
        <w:tc>
          <w:tcPr>
            <w:tcW w:w="1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Link Leavens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14,203,721</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871,562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1,302,343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shareholders ratified of the appointment of Deloitte &amp; Touche LLP as our independent registered public accounting firm for fiscal year 2024. Votes cast were as follows:</w:t>
      </w:r>
    </w:p>
    <w:p>
      <w:pPr>
        <w:pStyle w:val="TextBody"/>
        <w:bidi w:val="0"/>
        <w:spacing w:before="0" w:after="0"/>
        <w:ind w:left="0" w:right="0" w:hanging="0"/>
        <w:jc w:val="left"/>
        <w:rPr/>
      </w:pPr>
      <w:r>
        <w:rPr/>
        <w:t>​</w:t>
      </w:r>
    </w:p>
    <w:tbl>
      <w:tblPr>
        <w:tblW w:w="2998" w:type="dxa"/>
        <w:jc w:val="left"/>
        <w:tblInd w:w="0" w:type="dxa"/>
        <w:tblLayout w:type="fixed"/>
        <w:tblCellMar>
          <w:top w:w="0" w:type="dxa"/>
          <w:left w:w="0" w:type="dxa"/>
          <w:bottom w:w="0" w:type="dxa"/>
          <w:right w:w="0" w:type="dxa"/>
        </w:tblCellMar>
      </w:tblPr>
      <w:tblGrid>
        <w:gridCol w:w="1591"/>
        <w:gridCol w:w="326"/>
        <w:gridCol w:w="108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010285" cy="29210"/>
                      <wp:effectExtent l="0" t="0" r="0" b="0"/>
                      <wp:wrapNone/>
                      <wp:docPr id="8" name="Frame8"/>
                      <a:graphic xmlns:a="http://schemas.openxmlformats.org/drawingml/2006/main">
                        <a:graphicData uri="http://schemas.microsoft.com/office/word/2010/wordprocessingShape">
                          <wps:wsp>
                            <wps:cNvSpPr txBox="1"/>
                            <wps:spPr>
                              <a:xfrm>
                                <a:off x="0" y="0"/>
                                <a:ext cx="1010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29210"/>
                      <wp:effectExtent l="0" t="0" r="0" b="0"/>
                      <wp:wrapNone/>
                      <wp:docPr id="9" name="Frame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86435" cy="29210"/>
                      <wp:effectExtent l="0" t="0" r="0" b="0"/>
                      <wp:wrapNone/>
                      <wp:docPr id="10" name="Frame10"/>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13,501,697</w:t>
            </w:r>
          </w:p>
        </w:tc>
      </w:tr>
      <w:tr>
        <w:trPr/>
        <w:tc>
          <w:tcPr>
            <w:tcW w:w="15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Against</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42,971</w:t>
            </w:r>
          </w:p>
        </w:tc>
      </w:tr>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Abstain</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508,359</w:t>
            </w:r>
          </w:p>
        </w:tc>
      </w:tr>
      <w:tr>
        <w:trPr/>
        <w:tc>
          <w:tcPr>
            <w:tcW w:w="15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 Non-Votes</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shareholders approved, on an advisory and non-binding basis, the compensation of the Company’s named executive officers as disclosed in the Proxy Statement. Votes cast were as follows:</w:t>
      </w:r>
    </w:p>
    <w:p>
      <w:pPr>
        <w:pStyle w:val="TextBody"/>
        <w:bidi w:val="0"/>
        <w:spacing w:before="0" w:after="0"/>
        <w:ind w:left="0" w:right="0" w:hanging="0"/>
        <w:jc w:val="left"/>
        <w:rPr/>
      </w:pPr>
      <w:r>
        <w:rPr/>
        <w:t>​</w:t>
      </w:r>
    </w:p>
    <w:tbl>
      <w:tblPr>
        <w:tblW w:w="2998" w:type="dxa"/>
        <w:jc w:val="left"/>
        <w:tblInd w:w="0" w:type="dxa"/>
        <w:tblLayout w:type="fixed"/>
        <w:tblCellMar>
          <w:top w:w="0" w:type="dxa"/>
          <w:left w:w="0" w:type="dxa"/>
          <w:bottom w:w="0" w:type="dxa"/>
          <w:right w:w="0" w:type="dxa"/>
        </w:tblCellMar>
      </w:tblPr>
      <w:tblGrid>
        <w:gridCol w:w="1591"/>
        <w:gridCol w:w="326"/>
        <w:gridCol w:w="1081"/>
      </w:tblGrid>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11,825,514</w:t>
            </w:r>
          </w:p>
        </w:tc>
      </w:tr>
      <w:tr>
        <w:trPr/>
        <w:tc>
          <w:tcPr>
            <w:tcW w:w="15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Against</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410,353</w:t>
            </w:r>
          </w:p>
        </w:tc>
      </w:tr>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Abstain</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514,817</w:t>
            </w:r>
          </w:p>
        </w:tc>
      </w:tr>
      <w:tr>
        <w:trPr/>
        <w:tc>
          <w:tcPr>
            <w:tcW w:w="15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 Non-Votes</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1,302,343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shareholders voted on an advisory basis on the frequency of holding future shareholder advisory votes on executive compensation. Votes cast were as follows:</w:t>
      </w:r>
    </w:p>
    <w:p>
      <w:pPr>
        <w:pStyle w:val="TextBody"/>
        <w:bidi w:val="0"/>
        <w:spacing w:before="0" w:after="0"/>
        <w:ind w:left="0" w:right="0" w:hanging="0"/>
        <w:jc w:val="left"/>
        <w:rPr/>
      </w:pPr>
      <w:r>
        <w:rPr/>
        <w:t>​</w:t>
      </w:r>
    </w:p>
    <w:tbl>
      <w:tblPr>
        <w:tblW w:w="2998" w:type="dxa"/>
        <w:jc w:val="left"/>
        <w:tblInd w:w="0" w:type="dxa"/>
        <w:tblLayout w:type="fixed"/>
        <w:tblCellMar>
          <w:top w:w="0" w:type="dxa"/>
          <w:left w:w="0" w:type="dxa"/>
          <w:bottom w:w="0" w:type="dxa"/>
          <w:right w:w="0" w:type="dxa"/>
        </w:tblCellMar>
      </w:tblPr>
      <w:tblGrid>
        <w:gridCol w:w="1591"/>
        <w:gridCol w:w="326"/>
        <w:gridCol w:w="1081"/>
      </w:tblGrid>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Every 1 Year</w:t>
            </w:r>
          </w:p>
        </w:tc>
        <w:tc>
          <w:tcPr>
            <w:tcW w:w="32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11,731,365</w:t>
            </w:r>
          </w:p>
        </w:tc>
      </w:tr>
      <w:tr>
        <w:trPr/>
        <w:tc>
          <w:tcPr>
            <w:tcW w:w="15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Every 2 Years</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27,278</w:t>
            </w:r>
          </w:p>
        </w:tc>
      </w:tr>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Every 3 Years</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506,249</w:t>
            </w:r>
          </w:p>
        </w:tc>
      </w:tr>
      <w:tr>
        <w:trPr/>
        <w:tc>
          <w:tcPr>
            <w:tcW w:w="15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Abstain</w:t>
            </w:r>
          </w:p>
        </w:tc>
        <w:tc>
          <w:tcPr>
            <w:tcW w:w="32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485,792</w:t>
            </w:r>
          </w:p>
        </w:tc>
      </w:tr>
      <w:tr>
        <w:trPr/>
        <w:tc>
          <w:tcPr>
            <w:tcW w:w="15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 Non-Votes</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1,302,343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upon the results of this shareholder advisory vote, the Board of Directors of the Company has determined to follow the shareholders’ recommendation and to include in future proxy statements an annual shareholder advisory vote on the compensation of the Company’s named executive officers until the next required vote on the frequency of shareholder advisory votes on executive compensation.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left"/>
        <w:rPr>
          <w:rFonts w:ascii="Times New Roman;Times;serif" w:hAnsi="Times New Roman;Times;serif"/>
          <w:b/>
          <w:sz w:val="20"/>
        </w:rPr>
      </w:pPr>
      <w:bookmarkStart w:id="20" w:name="_620ecf59_ade1_4159_8d1c_44d1b67cd2ab"/>
      <w:bookmarkEnd w:id="20"/>
      <w:r>
        <w:rPr>
          <w:rFonts w:ascii="Times New Roman;Times;serif" w:hAnsi="Times New Roman;Times;serif"/>
          <w:b/>
          <w:sz w:val="20"/>
        </w:rPr>
        <w:t>SIGNATURE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514" w:type="dxa"/>
        <w:jc w:val="left"/>
        <w:tblInd w:w="0" w:type="dxa"/>
        <w:tblLayout w:type="fixed"/>
        <w:tblCellMar>
          <w:top w:w="0" w:type="dxa"/>
          <w:left w:w="0" w:type="dxa"/>
          <w:bottom w:w="0" w:type="dxa"/>
          <w:right w:w="0" w:type="dxa"/>
        </w:tblCellMar>
      </w:tblPr>
      <w:tblGrid>
        <w:gridCol w:w="1306"/>
        <w:gridCol w:w="326"/>
        <w:gridCol w:w="406"/>
        <w:gridCol w:w="2476"/>
      </w:tblGrid>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26, 2024</w:t>
            </w:r>
          </w:p>
        </w:tc>
        <w:tc>
          <w:tcPr>
            <w:tcW w:w="326" w:type="dxa"/>
            <w:tcBorders/>
            <w:vAlign w:val="center"/>
          </w:tcPr>
          <w:p>
            <w:pPr>
              <w:pStyle w:val="TableContents"/>
              <w:bidi w:val="0"/>
              <w:spacing w:before="0" w:after="0"/>
              <w:ind w:left="0" w:right="0" w:hanging="0"/>
              <w:jc w:val="left"/>
              <w:rPr/>
            </w:pPr>
            <w:r>
              <w:rPr/>
              <w:t>​</w:t>
            </w:r>
          </w:p>
        </w:tc>
        <w:tc>
          <w:tcPr>
            <w:tcW w:w="2882" w:type="dxa"/>
            <w:gridSpan w:val="2"/>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Lecil E. Cole</w:t>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Lecil E. Cole</w:t>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3862</Characters>
  <CharactersWithSpaces>4579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