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2022</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8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119" w:firstLine="315"/>
        <w:spacing w:after="0" w:line="266" w:lineRule="auto"/>
        <w:rPr>
          <w:sz w:val="20"/>
          <w:szCs w:val="20"/>
          <w:color w:val="auto"/>
        </w:rPr>
      </w:pPr>
      <w:r>
        <w:rPr>
          <w:rFonts w:ascii="Times New Roman" w:cs="Times New Roman" w:eastAsia="Times New Roman" w:hAnsi="Times New Roman"/>
          <w:sz w:val="18"/>
          <w:szCs w:val="18"/>
          <w:color w:val="auto"/>
        </w:rPr>
        <w:t>On June 9, 2022, Calavo Growers, Inc. (“Calavo”) appointed Shawn Munsell, as Chief Financial Officer, commencing June 20, 2022. Brian Kocher, Calavo’s Chief Executive Officer, will resign as Calavo’s interim Chief Financial Officer on June 19, 2022.</w:t>
      </w:r>
    </w:p>
    <w:p>
      <w:pPr>
        <w:spacing w:after="0" w:line="176" w:lineRule="exact"/>
        <w:rPr>
          <w:sz w:val="20"/>
          <w:szCs w:val="20"/>
          <w:color w:val="auto"/>
        </w:rPr>
      </w:pPr>
    </w:p>
    <w:p>
      <w:pPr>
        <w:ind w:left="60" w:right="159" w:firstLine="315"/>
        <w:spacing w:after="0" w:line="270" w:lineRule="auto"/>
        <w:rPr>
          <w:sz w:val="20"/>
          <w:szCs w:val="20"/>
          <w:color w:val="auto"/>
        </w:rPr>
      </w:pPr>
      <w:r>
        <w:rPr>
          <w:rFonts w:ascii="Times New Roman" w:cs="Times New Roman" w:eastAsia="Times New Roman" w:hAnsi="Times New Roman"/>
          <w:sz w:val="17"/>
          <w:szCs w:val="17"/>
          <w:color w:val="auto"/>
        </w:rPr>
        <w:t>Mr. Munsell, age 47, led the finance and accounting functions 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 Mr. Munsell does not have a family relationship (as defined by Item 401 of Regulation S-</w:t>
      </w:r>
    </w:p>
    <w:p>
      <w:pPr>
        <w:spacing w:after="0" w:line="3" w:lineRule="exact"/>
        <w:rPr>
          <w:sz w:val="20"/>
          <w:szCs w:val="20"/>
          <w:color w:val="auto"/>
        </w:rPr>
      </w:pPr>
    </w:p>
    <w:p>
      <w:pPr>
        <w:ind w:left="60" w:right="159" w:hanging="10"/>
        <w:spacing w:after="0" w:line="260" w:lineRule="auto"/>
        <w:tabs>
          <w:tab w:leader="none" w:pos="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director, executive officer or person nominated or chosen by Calavo to become a director or executive officer. Mr. Munsell is not a party to any transaction required to be disclosed pursuant to Item 404 of Regulation S-K.</w:t>
      </w:r>
    </w:p>
    <w:p>
      <w:pPr>
        <w:spacing w:after="0" w:line="18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an Employment Agreement between Calavo and Mr. Munsell dated June 9, 2022 (the “Employment Agreement”), Mr. Munsell will receive an annual base salary of $415,000, which is subject to increase on an annual basis at the discretion of Calavo’s Compensation Committee. Starting in fiscal 2022, Mr. Munsell will be eligible to receive a performance bonus of 60% of his annual base salary for any fiscal year in which Calavo achieves its annual performance targets established by Calavo’s Compensation Committee for Calavo’s executive officers. The Compensation Committee may also elect to award Mr. Munsell a discretionary bonus. Mr. Munsell will receive a signing bonus consisting of restricted stock units representing a contingent right to Calavo’s common stock having a value of $350,000 upon the commencement of his employment, which restricted stock units will vest in three equal annual installments, with the first installment to vest on the first anniversary of the commencement of Mr. Munsell’s employment. Calavo will also reimburse Mr. Munsell up to $100,000 for certain relocation expenses, as detailed in the Employment Agreement. In the event that Mr. Munsell’s employment is terminated by Calavo without Cause (as defined in the Employment Agreement) or Mr. Munsell terminates his employment for Good Reason (as defined in the Employment Agreement), Mr. Munsell will be entitled to receive severance payments equal to one year of his annual base salary, Calavo-paid health benefits for one year following separation, a pro-rated portion of his annual bonus, and the restricted stock units issued to Mr. Munsell as a signing bonus will become fully vested as of the date of such termination.</w:t>
      </w:r>
    </w:p>
    <w:p>
      <w:pPr>
        <w:spacing w:after="0" w:line="196" w:lineRule="exact"/>
        <w:rPr>
          <w:sz w:val="20"/>
          <w:szCs w:val="20"/>
          <w:color w:val="auto"/>
        </w:rPr>
      </w:pPr>
    </w:p>
    <w:p>
      <w:pPr>
        <w:jc w:val="both"/>
        <w:ind w:left="60" w:right="179" w:firstLine="225"/>
        <w:spacing w:after="0" w:line="266" w:lineRule="auto"/>
        <w:rPr>
          <w:sz w:val="20"/>
          <w:szCs w:val="20"/>
          <w:color w:val="auto"/>
        </w:rPr>
      </w:pPr>
      <w:r>
        <w:rPr>
          <w:rFonts w:ascii="Times New Roman" w:cs="Times New Roman" w:eastAsia="Times New Roman" w:hAnsi="Times New Roman"/>
          <w:sz w:val="18"/>
          <w:szCs w:val="18"/>
          <w:color w:val="auto"/>
        </w:rPr>
        <w:t>The preceding summary of the Employment Agreement does not purport to be complete and is subject to and qualified in its entirety by the complete text of the Employment Agreement, which is filed as Exhibit 99.2 to this Current Report on Form 8-K and which is incorporated by reference into this Item 5.02.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June 10, 2022, Calavo issued a press release announcing the appointment of Mr. Munsell as Chief Financial Officer. A copy of the press release is filed as Exhibit 99.1 hereto and incorporated herein by reference.</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10, 2022.</w:t>
      </w:r>
    </w:p>
    <w:p>
      <w:pPr>
        <w:spacing w:after="0" w:line="27"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Employment Agreement dated June 9, 2022.</w:t>
      </w:r>
    </w:p>
    <w:p>
      <w:pPr>
        <w:spacing w:after="0" w:line="9" w:lineRule="exact"/>
        <w:rPr>
          <w:sz w:val="20"/>
          <w:szCs w:val="20"/>
          <w:color w:val="auto"/>
        </w:rPr>
      </w:pPr>
    </w:p>
    <w:p>
      <w:pPr>
        <w:ind w:left="4460" w:right="3999" w:hanging="4404"/>
        <w:spacing w:after="0" w:line="538" w:lineRule="auto"/>
        <w:tabs>
          <w:tab w:leader="none" w:pos="58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10, 2022</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President, Chief Executive Officer and Interim Chief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right"/>
        <w:ind w:right="59"/>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154305</wp:posOffset>
            </wp:positionV>
            <wp:extent cx="1337310" cy="131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Calavo Growers, Inc. Names Shawn Munsell CFO</w:t>
      </w:r>
    </w:p>
    <w:p>
      <w:pPr>
        <w:spacing w:after="0" w:line="234" w:lineRule="exact"/>
        <w:rPr>
          <w:sz w:val="20"/>
          <w:szCs w:val="20"/>
          <w:color w:val="auto"/>
        </w:rPr>
      </w:pPr>
    </w:p>
    <w:p>
      <w:pPr>
        <w:jc w:val="both"/>
        <w:ind w:left="60" w:right="399"/>
        <w:spacing w:after="0" w:line="237" w:lineRule="auto"/>
        <w:rPr>
          <w:sz w:val="20"/>
          <w:szCs w:val="20"/>
          <w:color w:val="auto"/>
        </w:rPr>
      </w:pPr>
      <w:r>
        <w:rPr>
          <w:rFonts w:ascii="Calibri" w:cs="Calibri" w:eastAsia="Calibri" w:hAnsi="Calibri"/>
          <w:sz w:val="22"/>
          <w:szCs w:val="22"/>
          <w:b w:val="1"/>
          <w:bCs w:val="1"/>
          <w:color w:val="auto"/>
        </w:rPr>
        <w:t xml:space="preserve">SANTA PAULA, Calif., June 9, 2022—Calavo Growers, Inc. (Nasdaq-GS: CVGW), </w:t>
      </w:r>
      <w:r>
        <w:rPr>
          <w:rFonts w:ascii="Calibri" w:cs="Calibri" w:eastAsia="Calibri" w:hAnsi="Calibri"/>
          <w:sz w:val="22"/>
          <w:szCs w:val="22"/>
          <w:color w:val="auto"/>
        </w:rPr>
        <w:t>a global avocado-industry leader and provider of value-added fresh food, today announced that Shawn Munsell has been appointed Chief Financial Ofcer efectve June 20.</w:t>
      </w:r>
    </w:p>
    <w:p>
      <w:pPr>
        <w:spacing w:after="0" w:line="230" w:lineRule="exact"/>
        <w:rPr>
          <w:sz w:val="20"/>
          <w:szCs w:val="20"/>
          <w:color w:val="auto"/>
        </w:rPr>
      </w:pPr>
    </w:p>
    <w:p>
      <w:pPr>
        <w:jc w:val="both"/>
        <w:ind w:left="60" w:right="79"/>
        <w:spacing w:after="0" w:line="253" w:lineRule="auto"/>
        <w:rPr>
          <w:sz w:val="20"/>
          <w:szCs w:val="20"/>
          <w:color w:val="auto"/>
        </w:rPr>
      </w:pPr>
      <w:r>
        <w:rPr>
          <w:rFonts w:ascii="Calibri" w:cs="Calibri" w:eastAsia="Calibri" w:hAnsi="Calibri"/>
          <w:sz w:val="21"/>
          <w:szCs w:val="21"/>
          <w:color w:val="auto"/>
        </w:rPr>
        <w:t>Prior to joining Calavo, Mr. Munsell led the fnance and accountng functons for Tyson Foods’ chicken segment, with fscal 2021 revenues of $14 billion, as Senior Vice President of Finance and Accountng. Previously, he served as Tyson’s Treasurer. Prior to Tyson, Mr. Munsell was with CF Industries, serving in a variety of roles with progressive responsibility for the nitrogen products manufacturer.</w:t>
      </w:r>
    </w:p>
    <w:p>
      <w:pPr>
        <w:spacing w:after="0" w:line="215" w:lineRule="exact"/>
        <w:rPr>
          <w:sz w:val="20"/>
          <w:szCs w:val="20"/>
          <w:color w:val="auto"/>
        </w:rPr>
      </w:pPr>
    </w:p>
    <w:p>
      <w:pPr>
        <w:ind w:left="60" w:right="119"/>
        <w:spacing w:after="0" w:line="239" w:lineRule="auto"/>
        <w:rPr>
          <w:sz w:val="20"/>
          <w:szCs w:val="20"/>
          <w:color w:val="auto"/>
        </w:rPr>
      </w:pPr>
      <w:r>
        <w:rPr>
          <w:rFonts w:ascii="Calibri" w:cs="Calibri" w:eastAsia="Calibri" w:hAnsi="Calibri"/>
          <w:sz w:val="22"/>
          <w:szCs w:val="22"/>
          <w:color w:val="auto"/>
        </w:rPr>
        <w:t>“We’re thrilled to have Shawn Munsell join the Calavo team,” said Brian W. Kocher, President and Chief Executve Ofcer of Calavo Growers, Inc. ”Shawn is a results-oriented leader with a breadth of fnance experience. He has demonstrated his dedicaton and loyalty by accumulatng more than 20 years of operatonal fnance and treasury experience with his two previous companies in the food and commodites industries. We’re looking forward to the strong leadership and contributons Shawn will make in the years to come as we contnue driving sequental improvement throughout our business.”</w:t>
      </w:r>
    </w:p>
    <w:p>
      <w:pPr>
        <w:spacing w:after="0" w:line="234" w:lineRule="exact"/>
        <w:rPr>
          <w:sz w:val="20"/>
          <w:szCs w:val="20"/>
          <w:color w:val="auto"/>
        </w:rPr>
      </w:pPr>
    </w:p>
    <w:p>
      <w:pPr>
        <w:ind w:left="60" w:right="119"/>
        <w:spacing w:after="0" w:line="238" w:lineRule="auto"/>
        <w:rPr>
          <w:sz w:val="20"/>
          <w:szCs w:val="20"/>
          <w:color w:val="auto"/>
        </w:rPr>
      </w:pPr>
      <w:r>
        <w:rPr>
          <w:rFonts w:ascii="Calibri" w:cs="Calibri" w:eastAsia="Calibri" w:hAnsi="Calibri"/>
          <w:sz w:val="22"/>
          <w:szCs w:val="22"/>
          <w:color w:val="auto"/>
        </w:rPr>
        <w:t>“Joining Calavo in the early stages of a turnaround with the opportunity to positvely afect change and impact results is very excitng,” Mr. Munsell said. “There is a talented team in place, and I’m confdent that together we can refne processes, create efciencies and positon Calavo for long-term growth.”</w:t>
      </w: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Professional Background of Shawn Munsell</w:t>
      </w:r>
    </w:p>
    <w:p>
      <w:pPr>
        <w:spacing w:after="0" w:line="1"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Senior Vice President, Finance and Accountng, Chicken Segment – Tyson Foods</w:t>
      </w:r>
    </w:p>
    <w:p>
      <w:pPr>
        <w:spacing w:after="0" w:line="11" w:lineRule="exact"/>
        <w:rPr>
          <w:rFonts w:ascii="Times New Roman" w:cs="Times New Roman" w:eastAsia="Times New Roman" w:hAnsi="Times New Roman"/>
          <w:sz w:val="22"/>
          <w:szCs w:val="22"/>
          <w:color w:val="auto"/>
        </w:rPr>
      </w:pPr>
    </w:p>
    <w:p>
      <w:pPr>
        <w:ind w:left="700" w:hanging="326"/>
        <w:spacing w:after="0" w:line="230"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Vice President, Treasurer – Tyson Foods</w:t>
      </w:r>
    </w:p>
    <w:p>
      <w:pPr>
        <w:spacing w:after="0" w:line="12" w:lineRule="exact"/>
        <w:rPr>
          <w:rFonts w:ascii="Times New Roman" w:cs="Times New Roman" w:eastAsia="Times New Roman" w:hAnsi="Times New Roman"/>
          <w:sz w:val="22"/>
          <w:szCs w:val="22"/>
          <w:color w:val="auto"/>
        </w:rPr>
      </w:pPr>
    </w:p>
    <w:p>
      <w:pPr>
        <w:ind w:left="700" w:hanging="326"/>
        <w:spacing w:after="0" w:line="230"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Vice President, Financial Evaluaton and Analysis, and Corporate Treasurer – CF Industries</w:t>
      </w:r>
    </w:p>
    <w:p>
      <w:pPr>
        <w:spacing w:after="0" w:line="12" w:lineRule="exact"/>
        <w:rPr>
          <w:rFonts w:ascii="Times New Roman" w:cs="Times New Roman" w:eastAsia="Times New Roman" w:hAnsi="Times New Roman"/>
          <w:sz w:val="22"/>
          <w:szCs w:val="22"/>
          <w:color w:val="auto"/>
        </w:rPr>
      </w:pPr>
    </w:p>
    <w:p>
      <w:pPr>
        <w:ind w:left="700" w:hanging="326"/>
        <w:spacing w:after="0" w:line="230"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Corporate Treasurer and Assistant Secretary – CF Industries</w:t>
      </w:r>
    </w:p>
    <w:p>
      <w:pPr>
        <w:spacing w:after="0" w:line="12" w:lineRule="exact"/>
        <w:rPr>
          <w:rFonts w:ascii="Times New Roman" w:cs="Times New Roman" w:eastAsia="Times New Roman" w:hAnsi="Times New Roman"/>
          <w:sz w:val="22"/>
          <w:szCs w:val="22"/>
          <w:color w:val="auto"/>
        </w:rPr>
      </w:pPr>
    </w:p>
    <w:p>
      <w:pPr>
        <w:ind w:left="700" w:hanging="326"/>
        <w:spacing w:after="0" w:line="230"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Director, Raw Materials Procurement – CF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2</w:t>
      </w:r>
      <w:r>
        <w:rPr>
          <w:rFonts w:ascii="Calibri" w:cs="Calibri" w:eastAsia="Calibri" w:hAnsi="Calibri"/>
          <w:sz w:val="18"/>
          <w:szCs w:val="18"/>
          <w:i w:val="1"/>
          <w:iCs w:val="1"/>
          <w:color w:val="auto"/>
        </w:rPr>
        <w:t xml:space="preserve"> of 2</w:t>
      </w:r>
    </w:p>
    <w:p>
      <w:pPr>
        <w:spacing w:after="0" w:line="200" w:lineRule="exact"/>
        <w:rPr>
          <w:sz w:val="20"/>
          <w:szCs w:val="20"/>
          <w:color w:val="auto"/>
        </w:rPr>
      </w:pPr>
    </w:p>
    <w:p>
      <w:pPr>
        <w:spacing w:after="0" w:line="336" w:lineRule="exact"/>
        <w:rPr>
          <w:sz w:val="20"/>
          <w:szCs w:val="20"/>
          <w:color w:val="auto"/>
        </w:rPr>
      </w:pPr>
    </w:p>
    <w:p>
      <w:pPr>
        <w:ind w:left="60" w:right="99"/>
        <w:spacing w:after="0" w:line="235" w:lineRule="auto"/>
        <w:rPr>
          <w:sz w:val="20"/>
          <w:szCs w:val="20"/>
          <w:color w:val="auto"/>
        </w:rPr>
      </w:pPr>
      <w:r>
        <w:rPr>
          <w:rFonts w:ascii="Calibri" w:cs="Calibri" w:eastAsia="Calibri" w:hAnsi="Calibri"/>
          <w:sz w:val="22"/>
          <w:szCs w:val="22"/>
          <w:color w:val="auto"/>
        </w:rPr>
        <w:t>Mr. Munsell holds a bachelor’s degree in economics with high honors from the University of Michigan – Flint and an MBA with honors from the University of Chicago Booth School of Business.</w:t>
      </w: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About Calavo Growers, Inc.</w:t>
      </w:r>
    </w:p>
    <w:p>
      <w:pPr>
        <w:spacing w:after="0" w:line="12" w:lineRule="exact"/>
        <w:rPr>
          <w:sz w:val="20"/>
          <w:szCs w:val="20"/>
          <w:color w:val="auto"/>
        </w:rPr>
      </w:pPr>
    </w:p>
    <w:p>
      <w:pPr>
        <w:ind w:left="60" w:right="179"/>
        <w:spacing w:after="0" w:line="238" w:lineRule="auto"/>
        <w:rPr>
          <w:sz w:val="20"/>
          <w:szCs w:val="20"/>
          <w:color w:val="auto"/>
        </w:rPr>
      </w:pPr>
      <w:r>
        <w:rPr>
          <w:rFonts w:ascii="Calibri" w:cs="Calibri" w:eastAsia="Calibri" w:hAnsi="Calibri"/>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31" w:lineRule="exact"/>
        <w:rPr>
          <w:sz w:val="20"/>
          <w:szCs w:val="20"/>
          <w:color w:val="auto"/>
        </w:rPr>
      </w:pPr>
    </w:p>
    <w:p>
      <w:pPr>
        <w:ind w:left="60" w:right="79"/>
        <w:spacing w:after="0" w:line="239" w:lineRule="auto"/>
        <w:rPr>
          <w:sz w:val="20"/>
          <w:szCs w:val="20"/>
          <w:color w:val="auto"/>
        </w:rPr>
      </w:pPr>
      <w:r>
        <w:rPr>
          <w:rFonts w:ascii="Calibri" w:cs="Calibri" w:eastAsia="Calibri" w:hAnsi="Calibri"/>
          <w:sz w:val="22"/>
          <w:szCs w:val="22"/>
          <w:color w:val="auto"/>
        </w:rPr>
        <w:t xml:space="preserve">Founded in 1924, Calavo has a rich culture of constant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Calibri" w:cs="Calibri" w:eastAsia="Calibri" w:hAnsi="Calibri"/>
          <w:sz w:val="22"/>
          <w:szCs w:val="22"/>
          <w:i w:val="1"/>
          <w:iCs w:val="1"/>
          <w:color w:val="auto"/>
        </w:rPr>
        <w:t>The Family</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 xml:space="preserve">of Fresh™ </w:t>
      </w:r>
      <w:r>
        <w:rPr>
          <w:rFonts w:ascii="Calibri" w:cs="Calibri" w:eastAsia="Calibri" w:hAnsi="Calibri"/>
          <w:sz w:val="22"/>
          <w:szCs w:val="22"/>
          <w:color w:val="auto"/>
        </w:rPr>
        <w:t>at calavo.com.</w:t>
      </w:r>
    </w:p>
    <w:p>
      <w:pPr>
        <w:spacing w:after="0" w:line="218"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Safe Harbor Statement</w:t>
      </w:r>
    </w:p>
    <w:p>
      <w:pPr>
        <w:spacing w:after="0" w:line="12" w:lineRule="exact"/>
        <w:rPr>
          <w:sz w:val="20"/>
          <w:szCs w:val="20"/>
          <w:color w:val="auto"/>
        </w:rPr>
      </w:pPr>
    </w:p>
    <w:p>
      <w:pPr>
        <w:ind w:left="60" w:right="99"/>
        <w:spacing w:after="0" w:line="239" w:lineRule="auto"/>
        <w:rPr>
          <w:sz w:val="20"/>
          <w:szCs w:val="20"/>
          <w:color w:val="auto"/>
        </w:rPr>
      </w:pPr>
      <w:r>
        <w:rPr>
          <w:rFonts w:ascii="Calibri" w:cs="Calibri" w:eastAsia="Calibri" w:hAnsi="Calibri"/>
          <w:sz w:val="22"/>
          <w:szCs w:val="22"/>
          <w:color w:val="auto"/>
        </w:rPr>
        <w:t>This press release contains statements relatng to future events and results of Calavo that are “forward-looking statements,” as defned in the Private Securites Litgaton Reform Act of 1995, that involve risks, uncertaintes and assumptons. These statements are based on our current expectatons and are not promises or guarantees. If any of the risks or uncertaintes ever materialize or the assumptons prove incorrect, the results of Calavo may difer materially from those expressed or implied by such forward-looking statements and assumptons. The use of words such as “antcipates,” “estmates,” “expects,” “projects,” “intends,” “plans” and “believes,” among others, generally identfy forward-looking statements.</w:t>
      </w:r>
    </w:p>
    <w:p>
      <w:pPr>
        <w:spacing w:after="0" w:line="237" w:lineRule="exact"/>
        <w:rPr>
          <w:sz w:val="20"/>
          <w:szCs w:val="20"/>
          <w:color w:val="auto"/>
        </w:rPr>
      </w:pPr>
    </w:p>
    <w:p>
      <w:pPr>
        <w:ind w:left="60" w:right="159"/>
        <w:spacing w:after="0" w:line="239" w:lineRule="auto"/>
        <w:rPr>
          <w:sz w:val="20"/>
          <w:szCs w:val="20"/>
          <w:color w:val="auto"/>
        </w:rPr>
      </w:pPr>
      <w:r>
        <w:rPr>
          <w:rFonts w:ascii="Calibri" w:cs="Calibri" w:eastAsia="Calibri" w:hAnsi="Calibri"/>
          <w:sz w:val="22"/>
          <w:szCs w:val="22"/>
          <w:color w:val="auto"/>
        </w:rPr>
        <w:t>For a discussion of the risks and uncertaintes that we face, please see the risk factors described in our most recent Annual Report on Form 10-K fled with the Securites and Exchange Commission and any subsequent updates that may be contained in our Quarterly Reports on Form 10-Q and other flings with the Securites and Exchange Commission. Forward-looking statements contained in this press release are made only as of the date of this press release, and we undertake no obligaton to update or revise the forward-looking statements, whether as a result of new informaton, future events or otherwise.</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280" w:type="dxa"/>
            <w:vAlign w:val="bottom"/>
          </w:tcPr>
          <w:p>
            <w:pPr>
              <w:ind w:left="20"/>
              <w:spacing w:after="0"/>
              <w:rPr>
                <w:sz w:val="20"/>
                <w:szCs w:val="20"/>
                <w:color w:val="auto"/>
              </w:rPr>
            </w:pPr>
            <w:r>
              <w:rPr>
                <w:rFonts w:ascii="Calibri" w:cs="Calibri" w:eastAsia="Calibri" w:hAnsi="Calibri"/>
                <w:sz w:val="22"/>
                <w:szCs w:val="22"/>
                <w:b w:val="1"/>
                <w:bCs w:val="1"/>
                <w:color w:val="auto"/>
              </w:rPr>
              <w:t>Investor Contact</w:t>
            </w:r>
          </w:p>
        </w:tc>
        <w:tc>
          <w:tcPr>
            <w:tcW w:w="5640" w:type="dxa"/>
            <w:vAlign w:val="bottom"/>
          </w:tcPr>
          <w:p>
            <w:pPr>
              <w:ind w:left="300"/>
              <w:spacing w:after="0"/>
              <w:rPr>
                <w:sz w:val="20"/>
                <w:szCs w:val="20"/>
                <w:color w:val="auto"/>
              </w:rPr>
            </w:pPr>
            <w:r>
              <w:rPr>
                <w:rFonts w:ascii="Calibri" w:cs="Calibri" w:eastAsia="Calibri" w:hAnsi="Calibri"/>
                <w:sz w:val="22"/>
                <w:szCs w:val="22"/>
                <w:b w:val="1"/>
                <w:bCs w:val="1"/>
                <w:color w:val="auto"/>
              </w:rPr>
              <w:t>Media Contact</w:t>
            </w:r>
          </w:p>
        </w:tc>
      </w:tr>
      <w:tr>
        <w:trPr>
          <w:trHeight w:val="270"/>
        </w:trPr>
        <w:tc>
          <w:tcPr>
            <w:tcW w:w="3280" w:type="dxa"/>
            <w:vAlign w:val="bottom"/>
          </w:tcPr>
          <w:p>
            <w:pPr>
              <w:ind w:left="20"/>
              <w:spacing w:after="0"/>
              <w:rPr>
                <w:sz w:val="20"/>
                <w:szCs w:val="20"/>
                <w:color w:val="auto"/>
              </w:rPr>
            </w:pPr>
            <w:r>
              <w:rPr>
                <w:rFonts w:ascii="Calibri" w:cs="Calibri" w:eastAsia="Calibri" w:hAnsi="Calibri"/>
                <w:sz w:val="22"/>
                <w:szCs w:val="22"/>
                <w:color w:val="auto"/>
              </w:rPr>
              <w:t>Julie Kegley, Senior Vice President</w:t>
            </w:r>
          </w:p>
        </w:tc>
        <w:tc>
          <w:tcPr>
            <w:tcW w:w="5640" w:type="dxa"/>
            <w:vAlign w:val="bottom"/>
          </w:tcPr>
          <w:p>
            <w:pPr>
              <w:ind w:left="300"/>
              <w:spacing w:after="0"/>
              <w:rPr>
                <w:sz w:val="20"/>
                <w:szCs w:val="20"/>
                <w:color w:val="auto"/>
              </w:rPr>
            </w:pPr>
            <w:r>
              <w:rPr>
                <w:rFonts w:ascii="Calibri" w:cs="Calibri" w:eastAsia="Calibri" w:hAnsi="Calibri"/>
                <w:sz w:val="22"/>
                <w:szCs w:val="22"/>
                <w:color w:val="auto"/>
              </w:rPr>
              <w:t>Thomas Federl, VP Communicatons, Marketng &amp; ESG</w:t>
            </w:r>
          </w:p>
        </w:tc>
      </w:tr>
      <w:tr>
        <w:trPr>
          <w:trHeight w:val="268"/>
        </w:trPr>
        <w:tc>
          <w:tcPr>
            <w:tcW w:w="3280" w:type="dxa"/>
            <w:vAlign w:val="bottom"/>
          </w:tcPr>
          <w:p>
            <w:pPr>
              <w:ind w:left="20"/>
              <w:spacing w:after="0"/>
              <w:rPr>
                <w:sz w:val="20"/>
                <w:szCs w:val="20"/>
                <w:color w:val="auto"/>
              </w:rPr>
            </w:pPr>
            <w:r>
              <w:rPr>
                <w:rFonts w:ascii="Calibri" w:cs="Calibri" w:eastAsia="Calibri" w:hAnsi="Calibri"/>
                <w:sz w:val="22"/>
                <w:szCs w:val="22"/>
                <w:color w:val="auto"/>
              </w:rPr>
              <w:t>Financial Profles, Inc.</w:t>
            </w:r>
          </w:p>
        </w:tc>
        <w:tc>
          <w:tcPr>
            <w:tcW w:w="5640" w:type="dxa"/>
            <w:vAlign w:val="bottom"/>
          </w:tcPr>
          <w:p>
            <w:pPr>
              <w:ind w:left="300"/>
              <w:spacing w:after="0"/>
              <w:rPr>
                <w:sz w:val="20"/>
                <w:szCs w:val="20"/>
                <w:color w:val="auto"/>
              </w:rPr>
            </w:pPr>
            <w:r>
              <w:rPr>
                <w:rFonts w:ascii="Calibri" w:cs="Calibri" w:eastAsia="Calibri" w:hAnsi="Calibri"/>
                <w:sz w:val="22"/>
                <w:szCs w:val="22"/>
                <w:color w:val="auto"/>
              </w:rPr>
              <w:t>Calavo Growers, Inc.</w:t>
            </w:r>
          </w:p>
        </w:tc>
      </w:tr>
      <w:tr>
        <w:trPr>
          <w:trHeight w:val="270"/>
        </w:trPr>
        <w:tc>
          <w:tcPr>
            <w:tcW w:w="3280" w:type="dxa"/>
            <w:vAlign w:val="bottom"/>
          </w:tcPr>
          <w:p>
            <w:pPr>
              <w:ind w:left="20"/>
              <w:spacing w:after="0"/>
              <w:rPr>
                <w:sz w:val="20"/>
                <w:szCs w:val="20"/>
                <w:color w:val="auto"/>
              </w:rPr>
            </w:pPr>
            <w:r>
              <w:rPr>
                <w:rFonts w:ascii="Calibri" w:cs="Calibri" w:eastAsia="Calibri" w:hAnsi="Calibri"/>
                <w:sz w:val="22"/>
                <w:szCs w:val="22"/>
                <w:color w:val="auto"/>
              </w:rPr>
              <w:t>calavo@fnprofles.com</w:t>
            </w:r>
          </w:p>
        </w:tc>
        <w:tc>
          <w:tcPr>
            <w:tcW w:w="5640" w:type="dxa"/>
            <w:vAlign w:val="bottom"/>
          </w:tcPr>
          <w:p>
            <w:pPr>
              <w:ind w:left="300"/>
              <w:spacing w:after="0"/>
              <w:rPr>
                <w:sz w:val="20"/>
                <w:szCs w:val="20"/>
                <w:color w:val="auto"/>
              </w:rPr>
            </w:pPr>
            <w:r>
              <w:rPr>
                <w:rFonts w:ascii="Calibri" w:cs="Calibri" w:eastAsia="Calibri" w:hAnsi="Calibri"/>
                <w:sz w:val="22"/>
                <w:szCs w:val="22"/>
                <w:color w:val="auto"/>
              </w:rPr>
              <w:t>Thomas.Federl@calavo.com</w:t>
            </w:r>
          </w:p>
        </w:tc>
      </w:tr>
      <w:tr>
        <w:trPr>
          <w:trHeight w:val="270"/>
        </w:trPr>
        <w:tc>
          <w:tcPr>
            <w:tcW w:w="3280" w:type="dxa"/>
            <w:vAlign w:val="bottom"/>
          </w:tcPr>
          <w:p>
            <w:pPr>
              <w:ind w:left="20"/>
              <w:spacing w:after="0"/>
              <w:rPr>
                <w:sz w:val="20"/>
                <w:szCs w:val="20"/>
                <w:color w:val="auto"/>
              </w:rPr>
            </w:pPr>
            <w:r>
              <w:rPr>
                <w:rFonts w:ascii="Calibri" w:cs="Calibri" w:eastAsia="Calibri" w:hAnsi="Calibri"/>
                <w:sz w:val="22"/>
                <w:szCs w:val="22"/>
                <w:color w:val="auto"/>
              </w:rPr>
              <w:t>310-622-8246</w:t>
            </w:r>
          </w:p>
        </w:tc>
        <w:tc>
          <w:tcPr>
            <w:tcW w:w="5640" w:type="dxa"/>
            <w:vAlign w:val="bottom"/>
          </w:tcPr>
          <w:p>
            <w:pPr>
              <w:ind w:left="300"/>
              <w:spacing w:after="0"/>
              <w:rPr>
                <w:sz w:val="20"/>
                <w:szCs w:val="20"/>
                <w:color w:val="auto"/>
              </w:rPr>
            </w:pPr>
            <w:r>
              <w:rPr>
                <w:rFonts w:ascii="Calibri" w:cs="Calibri" w:eastAsia="Calibri" w:hAnsi="Calibri"/>
                <w:sz w:val="22"/>
                <w:szCs w:val="22"/>
                <w:color w:val="auto"/>
              </w:rPr>
              <w:t>843-801-4174</w:t>
            </w:r>
          </w:p>
        </w:tc>
      </w:tr>
      <w:tr>
        <w:trPr>
          <w:trHeight w:val="859"/>
        </w:trPr>
        <w:tc>
          <w:tcPr>
            <w:tcW w:w="32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5" w:name="page6"/>
    <w:bookmarkEnd w:id="5"/>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06" w:lineRule="exact"/>
        <w:rPr>
          <w:sz w:val="20"/>
          <w:szCs w:val="20"/>
          <w:color w:val="auto"/>
        </w:rPr>
      </w:pPr>
    </w:p>
    <w:p>
      <w:pPr>
        <w:ind w:left="60" w:right="339" w:firstLine="648"/>
        <w:spacing w:after="0" w:line="246"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June 9 2022, by and between Calavo Growers, Inc., a California corporation (the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and Shawn Munsell (the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-344805</wp:posOffset>
            </wp:positionV>
            <wp:extent cx="644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52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-190500</wp:posOffset>
            </wp:positionV>
            <wp:extent cx="579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12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-36195</wp:posOffset>
            </wp:positionV>
            <wp:extent cx="579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120"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w:t>
      </w:r>
    </w:p>
    <w:p>
      <w:pPr>
        <w:spacing w:after="0" w:line="210" w:lineRule="exact"/>
        <w:rPr>
          <w:sz w:val="20"/>
          <w:szCs w:val="20"/>
          <w:color w:val="auto"/>
        </w:rPr>
      </w:pPr>
    </w:p>
    <w:p>
      <w:pPr>
        <w:ind w:left="60" w:right="219" w:firstLine="648"/>
        <w:spacing w:after="0" w:line="244" w:lineRule="auto"/>
        <w:rPr>
          <w:sz w:val="20"/>
          <w:szCs w:val="20"/>
          <w:color w:val="auto"/>
        </w:rPr>
      </w:pPr>
      <w:r>
        <w:rPr>
          <w:rFonts w:ascii="Times New Roman" w:cs="Times New Roman" w:eastAsia="Times New Roman" w:hAnsi="Times New Roman"/>
          <w:sz w:val="22"/>
          <w:szCs w:val="22"/>
          <w:color w:val="auto"/>
        </w:rPr>
        <w:t>The Employer desires to employ the Employee as the Employer’s Chief Financial Officer and Secretary, and the Employee desires to accept such employment, upon the terms set forth in this Agreement.</w:t>
      </w:r>
    </w:p>
    <w:p>
      <w:pPr>
        <w:spacing w:after="0" w:line="1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consideration, the receipt and sufficiency of which hereby are acknowledged, the Employer and the</w:t>
      </w:r>
    </w:p>
    <w:p>
      <w:pPr>
        <w:ind w:left="60"/>
        <w:spacing w:after="0"/>
        <w:rPr>
          <w:sz w:val="20"/>
          <w:szCs w:val="20"/>
          <w:color w:val="auto"/>
        </w:rPr>
      </w:pPr>
      <w:r>
        <w:rPr>
          <w:rFonts w:ascii="Times New Roman" w:cs="Times New Roman" w:eastAsia="Times New Roman" w:hAnsi="Times New Roman"/>
          <w:sz w:val="22"/>
          <w:szCs w:val="22"/>
          <w:color w:val="auto"/>
        </w:rPr>
        <w:t>Employee hereby agree as follows:</w:t>
      </w:r>
    </w:p>
    <w:p>
      <w:pPr>
        <w:spacing w:after="0" w:line="178" w:lineRule="exact"/>
        <w:rPr>
          <w:sz w:val="20"/>
          <w:szCs w:val="20"/>
          <w:color w:val="auto"/>
        </w:rPr>
      </w:pPr>
    </w:p>
    <w:p>
      <w:pPr>
        <w:ind w:left="1340" w:hanging="642"/>
        <w:spacing w:after="0"/>
        <w:tabs>
          <w:tab w:leader="none" w:pos="13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w:t>
      </w:r>
    </w:p>
    <w:p>
      <w:pPr>
        <w:spacing w:after="0" w:line="206" w:lineRule="exact"/>
        <w:rPr>
          <w:rFonts w:ascii="Times New Roman" w:cs="Times New Roman" w:eastAsia="Times New Roman" w:hAnsi="Times New Roman"/>
          <w:sz w:val="22"/>
          <w:szCs w:val="22"/>
          <w:b w:val="1"/>
          <w:bCs w:val="1"/>
          <w:color w:val="auto"/>
        </w:rPr>
      </w:pPr>
    </w:p>
    <w:p>
      <w:pPr>
        <w:ind w:left="60" w:right="139" w:firstLine="1286"/>
        <w:spacing w:after="0" w:line="236" w:lineRule="auto"/>
        <w:tabs>
          <w:tab w:leader="none" w:pos="2004"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of Employment. </w:t>
      </w:r>
      <w:r>
        <w:rPr>
          <w:rFonts w:ascii="Times New Roman" w:cs="Times New Roman" w:eastAsia="Times New Roman" w:hAnsi="Times New Roman"/>
          <w:sz w:val="22"/>
          <w:szCs w:val="22"/>
          <w:color w:val="auto"/>
        </w:rPr>
        <w:t>Subject to Section 1(b) below, the Employer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employs the Employee, and the Employee hereby accepts employment with the Employer </w:t>
      </w:r>
      <w:r>
        <w:rPr>
          <w:rFonts w:ascii="Times New Roman" w:cs="Times New Roman" w:eastAsia="Times New Roman" w:hAnsi="Times New Roman"/>
          <w:sz w:val="22"/>
          <w:szCs w:val="22"/>
          <w:b w:val="1"/>
          <w:bCs w:val="1"/>
          <w:color w:val="auto"/>
        </w:rPr>
        <w:t xml:space="preserve">(“Employment”), </w:t>
      </w:r>
      <w:r>
        <w:rPr>
          <w:rFonts w:ascii="Times New Roman" w:cs="Times New Roman" w:eastAsia="Times New Roman" w:hAnsi="Times New Roman"/>
          <w:sz w:val="22"/>
          <w:szCs w:val="22"/>
          <w:color w:val="auto"/>
        </w:rPr>
        <w:t>in accordance with the terms and conditions of this Agreement. The term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Employee’s Employment under the terms of this Agreement (the </w:t>
      </w: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 xml:space="preserve"> shall commence on June 20, 2022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xml:space="preserve"> and shall continue until terminated by the Employer or Employee as provided herein. Employee shall not begin his employment with Employer until the Commencement Date.</w:t>
      </w:r>
    </w:p>
    <w:p>
      <w:pPr>
        <w:spacing w:after="0" w:line="175" w:lineRule="exact"/>
        <w:rPr>
          <w:rFonts w:ascii="Times New Roman" w:cs="Times New Roman" w:eastAsia="Times New Roman" w:hAnsi="Times New Roman"/>
          <w:sz w:val="22"/>
          <w:szCs w:val="22"/>
          <w:b w:val="1"/>
          <w:bCs w:val="1"/>
          <w:color w:val="auto"/>
        </w:rPr>
      </w:pPr>
    </w:p>
    <w:p>
      <w:pPr>
        <w:ind w:left="60" w:right="119" w:firstLine="1286"/>
        <w:spacing w:after="0" w:line="236" w:lineRule="auto"/>
        <w:tabs>
          <w:tab w:leader="none" w:pos="2004"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 Will Employment. </w:t>
      </w:r>
      <w:r>
        <w:rPr>
          <w:rFonts w:ascii="Times New Roman" w:cs="Times New Roman" w:eastAsia="Times New Roman" w:hAnsi="Times New Roman"/>
          <w:sz w:val="22"/>
          <w:szCs w:val="22"/>
          <w:color w:val="auto"/>
        </w:rPr>
        <w:t>Notwithstanding the foregoing, the Employer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75" w:lineRule="exact"/>
        <w:rPr>
          <w:rFonts w:ascii="Times New Roman" w:cs="Times New Roman" w:eastAsia="Times New Roman" w:hAnsi="Times New Roman"/>
          <w:sz w:val="22"/>
          <w:szCs w:val="22"/>
          <w:b w:val="1"/>
          <w:bCs w:val="1"/>
          <w:color w:val="auto"/>
        </w:rPr>
      </w:pPr>
    </w:p>
    <w:p>
      <w:pPr>
        <w:ind w:left="1340" w:hanging="642"/>
        <w:spacing w:after="0"/>
        <w:tabs>
          <w:tab w:leader="none" w:pos="13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DUTIES, AUTHORITY AND EXCLUSIVITY OF SERVICES.</w:t>
      </w:r>
    </w:p>
    <w:p>
      <w:pPr>
        <w:spacing w:after="0" w:line="206" w:lineRule="exact"/>
        <w:rPr>
          <w:rFonts w:ascii="Times New Roman" w:cs="Times New Roman" w:eastAsia="Times New Roman" w:hAnsi="Times New Roman"/>
          <w:sz w:val="22"/>
          <w:szCs w:val="22"/>
          <w:b w:val="1"/>
          <w:bCs w:val="1"/>
          <w:color w:val="auto"/>
        </w:rPr>
      </w:pPr>
    </w:p>
    <w:p>
      <w:pPr>
        <w:ind w:left="60" w:right="59" w:firstLine="1286"/>
        <w:spacing w:after="0" w:line="246" w:lineRule="auto"/>
        <w:tabs>
          <w:tab w:leader="none" w:pos="2004"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During the Term of Employment, the Employee shall serve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Chief Financial Officer and Secretary (or such other title as the parties may mutually agree upon from time to time).</w:t>
      </w:r>
    </w:p>
    <w:p>
      <w:pPr>
        <w:spacing w:after="0" w:line="167" w:lineRule="exact"/>
        <w:rPr>
          <w:rFonts w:ascii="Times New Roman" w:cs="Times New Roman" w:eastAsia="Times New Roman" w:hAnsi="Times New Roman"/>
          <w:sz w:val="22"/>
          <w:szCs w:val="22"/>
          <w:b w:val="1"/>
          <w:bCs w:val="1"/>
          <w:color w:val="auto"/>
        </w:rPr>
      </w:pPr>
    </w:p>
    <w:p>
      <w:pPr>
        <w:ind w:left="60" w:right="299" w:firstLine="1286"/>
        <w:spacing w:after="0" w:line="262" w:lineRule="auto"/>
        <w:tabs>
          <w:tab w:leader="none" w:pos="2004"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Reporting. </w:t>
      </w:r>
      <w:r>
        <w:rPr>
          <w:rFonts w:ascii="Times New Roman" w:cs="Times New Roman" w:eastAsia="Times New Roman" w:hAnsi="Times New Roman"/>
          <w:sz w:val="22"/>
          <w:szCs w:val="22"/>
          <w:color w:val="auto"/>
        </w:rPr>
        <w:t>The Employee shall report on a regular basis directly to,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subject to the supervision and direction of, the Employer’s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-3818890</wp:posOffset>
            </wp:positionV>
            <wp:extent cx="1037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-3527425</wp:posOffset>
            </wp:positionV>
            <wp:extent cx="1286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6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-3218815</wp:posOffset>
            </wp:positionV>
            <wp:extent cx="982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2980" cy="889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-3064510</wp:posOffset>
            </wp:positionV>
            <wp:extent cx="1435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510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-2910205</wp:posOffset>
            </wp:positionV>
            <wp:extent cx="14433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-2310130</wp:posOffset>
            </wp:positionV>
            <wp:extent cx="1250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095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-1092835</wp:posOffset>
            </wp:positionV>
            <wp:extent cx="445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-801370</wp:posOffset>
            </wp:positionV>
            <wp:extent cx="506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73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-201295</wp:posOffset>
            </wp:positionV>
            <wp:extent cx="6286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22"/>
          <w:szCs w:val="22"/>
          <w:color w:val="auto"/>
        </w:rPr>
        <w:t>Chairman of the Board of Directors, and the Board of Directors in general.</w:t>
      </w:r>
    </w:p>
    <w:p>
      <w:pPr>
        <w:spacing w:after="0" w:line="203" w:lineRule="exact"/>
        <w:rPr>
          <w:sz w:val="20"/>
          <w:szCs w:val="20"/>
          <w:color w:val="auto"/>
        </w:rPr>
      </w:pPr>
    </w:p>
    <w:p>
      <w:pPr>
        <w:ind w:left="60" w:right="99" w:firstLine="1286"/>
        <w:spacing w:after="0" w:line="234" w:lineRule="auto"/>
        <w:tabs>
          <w:tab w:leader="none" w:pos="2004"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Duties, Responsibilities and Authority. </w:t>
      </w:r>
      <w:r>
        <w:rPr>
          <w:rFonts w:ascii="Times New Roman" w:cs="Times New Roman" w:eastAsia="Times New Roman" w:hAnsi="Times New Roman"/>
          <w:sz w:val="22"/>
          <w:szCs w:val="22"/>
          <w:color w:val="auto"/>
        </w:rPr>
        <w:t>The Employee’s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and authority shall consist of the duties of Chief Financial Officer and Secretary,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or Chief Executive Officer may from time to time establish for the Employer’s employees, including, without limitation, the Employer’s Employee Handbook, Insider Trading Policy and Code of Business Conduct and Ethics.</w:t>
      </w:r>
    </w:p>
    <w:p>
      <w:pPr>
        <w:spacing w:after="0" w:line="179" w:lineRule="exact"/>
        <w:rPr>
          <w:rFonts w:ascii="Times New Roman" w:cs="Times New Roman" w:eastAsia="Times New Roman" w:hAnsi="Times New Roman"/>
          <w:sz w:val="22"/>
          <w:szCs w:val="22"/>
          <w:b w:val="1"/>
          <w:bCs w:val="1"/>
          <w:color w:val="auto"/>
        </w:rPr>
      </w:pPr>
    </w:p>
    <w:p>
      <w:pPr>
        <w:ind w:left="60" w:right="219" w:firstLine="1286"/>
        <w:spacing w:after="0" w:line="247" w:lineRule="auto"/>
        <w:tabs>
          <w:tab w:leader="none" w:pos="2004" w:val="left"/>
        </w:tabs>
        <w:numPr>
          <w:ilvl w:val="1"/>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Principal Business Office. </w:t>
      </w:r>
      <w:r>
        <w:rPr>
          <w:rFonts w:ascii="Times New Roman" w:cs="Times New Roman" w:eastAsia="Times New Roman" w:hAnsi="Times New Roman"/>
          <w:sz w:val="21"/>
          <w:szCs w:val="21"/>
          <w:color w:val="auto"/>
        </w:rPr>
        <w:t>Without restricting any requirement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engage in reasonable business-related travel, the principal location in which the Employee shall be required to perform his duties and responsibilities shall be the Employer’s Corporate Headquarters, which are presently located at 1141A Cummings Road, Santa Paula, California 93060. Notwithstanding the foregoing, the Employee may work remotely so long as doing so does not interfere with the Employee’s responsibilities under this Agreement; provided that, subject to any health or safety concerns related to the COVID-19 pandemic or other similar extraordinary circumstances, such remote work policy may be modified at the Chief Executive Officer’s discretion.</w:t>
      </w:r>
    </w:p>
    <w:p>
      <w:pPr>
        <w:spacing w:after="0" w:line="171" w:lineRule="exact"/>
        <w:rPr>
          <w:rFonts w:ascii="Times New Roman" w:cs="Times New Roman" w:eastAsia="Times New Roman" w:hAnsi="Times New Roman"/>
          <w:sz w:val="21"/>
          <w:szCs w:val="21"/>
          <w:b w:val="1"/>
          <w:bCs w:val="1"/>
          <w:color w:val="auto"/>
        </w:rPr>
      </w:pPr>
    </w:p>
    <w:p>
      <w:pPr>
        <w:ind w:left="60" w:right="79" w:firstLine="1286"/>
        <w:spacing w:after="0" w:line="233" w:lineRule="auto"/>
        <w:tabs>
          <w:tab w:leader="none" w:pos="2004"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Exclusivity of Services. </w:t>
      </w:r>
      <w:r>
        <w:rPr>
          <w:rFonts w:ascii="Times New Roman" w:cs="Times New Roman" w:eastAsia="Times New Roman" w:hAnsi="Times New Roman"/>
          <w:sz w:val="22"/>
          <w:szCs w:val="22"/>
          <w:color w:val="auto"/>
        </w:rPr>
        <w:t>Except for sick leave and other forms of leave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Effective Date. The Employee may serve on the board of directors of other for-profit entities with the prior written consent of the Employer’s Board of Directors, which will not be unreasonably withheld. Notwithstanding the foregoing, the Employee shall not serve on the board of directors of any entity that competes with the Employer and the Employee shall not serve on the board of directors of more than two for-profit entities.</w:t>
      </w:r>
    </w:p>
    <w:p>
      <w:pPr>
        <w:spacing w:after="0" w:line="179" w:lineRule="exact"/>
        <w:rPr>
          <w:rFonts w:ascii="Times New Roman" w:cs="Times New Roman" w:eastAsia="Times New Roman" w:hAnsi="Times New Roman"/>
          <w:sz w:val="22"/>
          <w:szCs w:val="22"/>
          <w:b w:val="1"/>
          <w:bCs w:val="1"/>
          <w:color w:val="auto"/>
        </w:rPr>
      </w:pPr>
    </w:p>
    <w:p>
      <w:pPr>
        <w:ind w:left="1340" w:hanging="642"/>
        <w:spacing w:after="0"/>
        <w:tabs>
          <w:tab w:leader="none" w:pos="13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6" w:lineRule="exact"/>
        <w:rPr>
          <w:rFonts w:ascii="Times New Roman" w:cs="Times New Roman" w:eastAsia="Times New Roman" w:hAnsi="Times New Roman"/>
          <w:sz w:val="22"/>
          <w:szCs w:val="22"/>
          <w:b w:val="1"/>
          <w:bCs w:val="1"/>
          <w:color w:val="auto"/>
        </w:rPr>
      </w:pPr>
    </w:p>
    <w:p>
      <w:pPr>
        <w:ind w:left="2000" w:hanging="654"/>
        <w:spacing w:after="0"/>
        <w:tabs>
          <w:tab w:leader="none" w:pos="2000"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For services rendered during the Term of Employment,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-5652135</wp:posOffset>
            </wp:positionV>
            <wp:extent cx="2251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5171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-3971925</wp:posOffset>
            </wp:positionV>
            <wp:extent cx="1504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495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-2600325</wp:posOffset>
            </wp:positionV>
            <wp:extent cx="1344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493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-302895</wp:posOffset>
            </wp:positionV>
            <wp:extent cx="11595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951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-11430</wp:posOffset>
            </wp:positionV>
            <wp:extent cx="716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60" w:right="299"/>
        <w:spacing w:after="0" w:line="235" w:lineRule="auto"/>
        <w:rPr>
          <w:sz w:val="20"/>
          <w:szCs w:val="20"/>
          <w:color w:val="auto"/>
        </w:rPr>
      </w:pPr>
      <w:r>
        <w:rPr>
          <w:rFonts w:ascii="Times New Roman" w:cs="Times New Roman" w:eastAsia="Times New Roman" w:hAnsi="Times New Roman"/>
          <w:sz w:val="22"/>
          <w:szCs w:val="22"/>
          <w:color w:val="auto"/>
        </w:rPr>
        <w:t>Employer shall pay the Employee an annual salary base salary of $415,000,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180" w:lineRule="exact"/>
        <w:rPr>
          <w:sz w:val="20"/>
          <w:szCs w:val="20"/>
          <w:color w:val="auto"/>
        </w:rPr>
      </w:pPr>
    </w:p>
    <w:p>
      <w:pPr>
        <w:ind w:left="2000" w:hanging="654"/>
        <w:spacing w:after="0"/>
        <w:tabs>
          <w:tab w:leader="none" w:pos="20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Bonus.</w:t>
      </w:r>
    </w:p>
    <w:p>
      <w:pPr>
        <w:spacing w:after="0" w:line="210" w:lineRule="exact"/>
        <w:rPr>
          <w:rFonts w:ascii="Times New Roman" w:cs="Times New Roman" w:eastAsia="Times New Roman" w:hAnsi="Times New Roman"/>
          <w:sz w:val="22"/>
          <w:szCs w:val="22"/>
          <w:b w:val="1"/>
          <w:bCs w:val="1"/>
          <w:color w:val="auto"/>
        </w:rPr>
      </w:pPr>
    </w:p>
    <w:p>
      <w:pPr>
        <w:ind w:left="60" w:right="79" w:firstLine="1934"/>
        <w:spacing w:after="0" w:line="232" w:lineRule="auto"/>
        <w:tabs>
          <w:tab w:leader="none" w:pos="2652"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each of the Employer’s fiscal years during the Term of Employment beginning with the 2022 fiscal year, the Employee shall be eligible to receive an annual performance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to be determined annually by the Employer’s Compensation Committee in connection with its determination of performance­based bonuses and performance targets, thresholds and requirements for other executive officers pursuant to a compensation plan or plans approved from time to time by the Compensation Committee. Notwithstanding the foregoing, the Employee will receive an Annual Bonus in the amount of 60% of Base Salary for any fiscal year in which the Employer achieves its annual performance target commencing with the 2022 fiscal year provided that the Employee is employed with the Employer for the entire fiscal year. For the period beginning on the Commencement Date and ending on the last day of the applicable fiscal year, the Employee shall be eligible to receive a prorated Annual Bonus (calculated as the Annual Bonus that would have been paid for the entire fiscal year multiplied by a fraction, the numerator of which is equal to the number of days the Employee worked in the applicable fiscal year, and the denominator of which is equal to the total number of days in such year). With respect to each of the Employer’s fiscal years during the Term of Employment beginning with the 2022 fiscal year (ending October 2022), the Compensation Committee may elect to award the Employee a discretionary bonus.</w:t>
      </w:r>
    </w:p>
    <w:p>
      <w:pPr>
        <w:spacing w:after="0" w:line="189" w:lineRule="exact"/>
        <w:rPr>
          <w:rFonts w:ascii="Times New Roman" w:cs="Times New Roman" w:eastAsia="Times New Roman" w:hAnsi="Times New Roman"/>
          <w:sz w:val="22"/>
          <w:szCs w:val="22"/>
          <w:b w:val="1"/>
          <w:bCs w:val="1"/>
          <w:color w:val="auto"/>
        </w:rPr>
      </w:pPr>
    </w:p>
    <w:p>
      <w:pPr>
        <w:ind w:left="60" w:right="79" w:firstLine="1934"/>
        <w:spacing w:after="0" w:line="233" w:lineRule="auto"/>
        <w:tabs>
          <w:tab w:leader="none" w:pos="2652"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Beginning with the 2023 fiscal year, the Employee will also participate in the Employer’s Long Term Incentive Plan (“</w:t>
      </w:r>
      <w:r>
        <w:rPr>
          <w:rFonts w:ascii="Times New Roman" w:cs="Times New Roman" w:eastAsia="Times New Roman" w:hAnsi="Times New Roman"/>
          <w:sz w:val="22"/>
          <w:szCs w:val="22"/>
          <w:b w:val="1"/>
          <w:bCs w:val="1"/>
          <w:u w:val="single" w:color="auto"/>
          <w:color w:val="auto"/>
        </w:rPr>
        <w:t>LTIP</w:t>
      </w:r>
      <w:r>
        <w:rPr>
          <w:rFonts w:ascii="Times New Roman" w:cs="Times New Roman" w:eastAsia="Times New Roman" w:hAnsi="Times New Roman"/>
          <w:sz w:val="22"/>
          <w:szCs w:val="22"/>
          <w:color w:val="auto"/>
        </w:rPr>
        <w:t>”) to the extent such plan may exist, or any successor incentive plan that the Employer may develop (collectively, the “</w:t>
      </w:r>
      <w:r>
        <w:rPr>
          <w:rFonts w:ascii="Times New Roman" w:cs="Times New Roman" w:eastAsia="Times New Roman" w:hAnsi="Times New Roman"/>
          <w:sz w:val="22"/>
          <w:szCs w:val="22"/>
          <w:b w:val="1"/>
          <w:bCs w:val="1"/>
          <w:u w:val="single" w:color="auto"/>
          <w:color w:val="auto"/>
        </w:rPr>
        <w:t>Incentive Plan</w:t>
      </w:r>
      <w:r>
        <w:rPr>
          <w:rFonts w:ascii="Times New Roman" w:cs="Times New Roman" w:eastAsia="Times New Roman" w:hAnsi="Times New Roman"/>
          <w:sz w:val="22"/>
          <w:szCs w:val="22"/>
          <w:color w:val="auto"/>
        </w:rPr>
        <w:t>”). Employee shall be eligible to receive a total of up to 60% of his Base Salary (or higher, with respect to the performance vested target component described below) in equity awards pursuant to the terms of the Incentive Plan, including any vesting, incentive, and other requirements that may be incorporated into the Incentive Plan. Fifty percent of each such award shall vest over a three-year period in three equal annual installments, with the remaining fifty percent to be performance vested at the end of three years with targets based on the Employer’s net sales, adjusted EBITDA, and return on invested capital. Cliff vesting shall apply to all LTIP awards and the Employee must be employed with the Employer on each date that restricted stock units are scheduled to vest. Employee shall forfeit any such restricted stock units that have not vested as of the date his Employment ends.</w:t>
      </w:r>
    </w:p>
    <w:p>
      <w:pPr>
        <w:spacing w:after="0" w:line="184" w:lineRule="exact"/>
        <w:rPr>
          <w:rFonts w:ascii="Times New Roman" w:cs="Times New Roman" w:eastAsia="Times New Roman" w:hAnsi="Times New Roman"/>
          <w:sz w:val="22"/>
          <w:szCs w:val="22"/>
          <w:b w:val="1"/>
          <w:bCs w:val="1"/>
          <w:color w:val="auto"/>
        </w:rPr>
      </w:pPr>
    </w:p>
    <w:p>
      <w:pPr>
        <w:ind w:left="2640" w:hanging="646"/>
        <w:spacing w:after="0"/>
        <w:tabs>
          <w:tab w:leader="none" w:pos="2640"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acknowledges that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-5054600</wp:posOffset>
            </wp:positionV>
            <wp:extent cx="8693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-4454525</wp:posOffset>
            </wp:positionV>
            <wp:extent cx="835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60" w:right="99"/>
        <w:spacing w:after="0" w:line="236" w:lineRule="auto"/>
        <w:rPr>
          <w:sz w:val="20"/>
          <w:szCs w:val="20"/>
          <w:color w:val="auto"/>
        </w:rPr>
      </w:pPr>
      <w:r>
        <w:rPr>
          <w:rFonts w:ascii="Times New Roman" w:cs="Times New Roman" w:eastAsia="Times New Roman" w:hAnsi="Times New Roman"/>
          <w:sz w:val="22"/>
          <w:szCs w:val="22"/>
          <w:color w:val="auto"/>
        </w:rPr>
        <w:t>may award Annual Bonuses and discretionary bonuses to him in cash, Employer common 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178" w:lineRule="exact"/>
        <w:rPr>
          <w:sz w:val="20"/>
          <w:szCs w:val="20"/>
          <w:color w:val="auto"/>
        </w:rPr>
      </w:pPr>
    </w:p>
    <w:p>
      <w:pPr>
        <w:ind w:left="60" w:right="259" w:firstLine="1934"/>
        <w:spacing w:after="0" w:line="237" w:lineRule="auto"/>
        <w:tabs>
          <w:tab w:leader="none" w:pos="2652"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Relocation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shall receive $100,000 (grossed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 lump sum) payable only upon the Employee’s actual relocation to California to assist in the relocation to a location closer to the Calavo Corporate offices, provided however that the Employee shall return this sum if he leaves his employment without Good Reason as defined in this Agreement within one year of the Commencement Date. Said expenses include the closing cost expenses pertaining to the sale of an existing residence, and/or acquiring a new residence.</w:t>
      </w:r>
    </w:p>
    <w:p>
      <w:pPr>
        <w:spacing w:after="0" w:line="175" w:lineRule="exact"/>
        <w:rPr>
          <w:rFonts w:ascii="Times New Roman" w:cs="Times New Roman" w:eastAsia="Times New Roman" w:hAnsi="Times New Roman"/>
          <w:sz w:val="22"/>
          <w:szCs w:val="22"/>
          <w:b w:val="1"/>
          <w:bCs w:val="1"/>
          <w:color w:val="auto"/>
        </w:rPr>
      </w:pPr>
    </w:p>
    <w:p>
      <w:pPr>
        <w:ind w:left="2000" w:hanging="654"/>
        <w:spacing w:after="0"/>
        <w:tabs>
          <w:tab w:leader="none" w:pos="20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Signing Bonus.</w:t>
      </w:r>
    </w:p>
    <w:p>
      <w:pPr>
        <w:spacing w:after="0" w:line="210" w:lineRule="exact"/>
        <w:rPr>
          <w:rFonts w:ascii="Times New Roman" w:cs="Times New Roman" w:eastAsia="Times New Roman" w:hAnsi="Times New Roman"/>
          <w:sz w:val="22"/>
          <w:szCs w:val="22"/>
          <w:b w:val="1"/>
          <w:bCs w:val="1"/>
          <w:color w:val="auto"/>
        </w:rPr>
      </w:pPr>
    </w:p>
    <w:p>
      <w:pPr>
        <w:ind w:left="60" w:right="279" w:firstLine="1934"/>
        <w:spacing w:after="0" w:line="258" w:lineRule="auto"/>
        <w:tabs>
          <w:tab w:leader="none" w:pos="2652"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be eligible to receive a signing bonus of $350,000 in equity (the “</w:t>
      </w:r>
      <w:r>
        <w:rPr>
          <w:rFonts w:ascii="Times New Roman" w:cs="Times New Roman" w:eastAsia="Times New Roman" w:hAnsi="Times New Roman"/>
          <w:sz w:val="22"/>
          <w:szCs w:val="22"/>
          <w:b w:val="1"/>
          <w:bCs w:val="1"/>
          <w:color w:val="auto"/>
        </w:rPr>
        <w:t>Signing Bonus”)</w:t>
      </w:r>
      <w:r>
        <w:rPr>
          <w:rFonts w:ascii="Times New Roman" w:cs="Times New Roman" w:eastAsia="Times New Roman" w:hAnsi="Times New Roman"/>
          <w:sz w:val="22"/>
          <w:szCs w:val="22"/>
          <w:color w:val="auto"/>
        </w:rPr>
        <w:t xml:space="p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-490220</wp:posOffset>
            </wp:positionV>
            <wp:extent cx="842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2645" cy="8255"/>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-44450</wp:posOffset>
            </wp:positionV>
            <wp:extent cx="842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138" w:lineRule="exact"/>
        <w:rPr>
          <w:sz w:val="20"/>
          <w:szCs w:val="20"/>
          <w:color w:val="auto"/>
        </w:rPr>
      </w:pPr>
    </w:p>
    <w:p>
      <w:pPr>
        <w:ind w:left="60" w:right="99" w:firstLine="1934"/>
        <w:spacing w:after="0" w:line="234" w:lineRule="auto"/>
        <w:tabs>
          <w:tab w:leader="none" w:pos="2652"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be awarded restricted stock units representing a contingent right to the Employer’s common stock having a value of $350,000 based on the closing price of the Employer’s common stock on the Commencement Date. The restricted stock units will vest in three equal annual installments with the first installment to vest on the first anniversary of the Commencement Date and with the remainder of the restricted stock units to vest in equal installments on the next two anniversaries of the Commencement Date, subject to the requirement that the Employee must be employed with the Employer on each date that restricted stock units are scheduled to vest and the Employee shall forfeit any such restricted stock units that have not vested as of the date his Employment ends. The parties hereto shall sign a restricted stock unit agreement governing the restricted stock units issuable to the Employee.</w:t>
      </w:r>
    </w:p>
    <w:p>
      <w:pPr>
        <w:spacing w:after="0" w:line="175" w:lineRule="exact"/>
        <w:rPr>
          <w:sz w:val="20"/>
          <w:szCs w:val="20"/>
          <w:color w:val="auto"/>
        </w:rPr>
      </w:pPr>
    </w:p>
    <w:p>
      <w:pPr>
        <w:ind w:left="60" w:right="59" w:firstLine="1934"/>
        <w:spacing w:after="0" w:line="238" w:lineRule="auto"/>
        <w:tabs>
          <w:tab w:leader="none" w:pos="2652"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a Change in Control,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Section 13(i) of the 2020 Equity Incentive Plan (a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occurs during the Term of Employment or during any other period contemplated by this Agreement, then the effect upon any compensation paid to the Employee under the 2020 Equity Incentive Plan shall be governed in accordance with Section 9(c) of the 2020 Equity Incentive Plan.</w:t>
      </w:r>
    </w:p>
    <w:p>
      <w:pPr>
        <w:spacing w:after="0" w:line="176" w:lineRule="exact"/>
        <w:rPr>
          <w:rFonts w:ascii="Times New Roman" w:cs="Times New Roman" w:eastAsia="Times New Roman" w:hAnsi="Times New Roman"/>
          <w:sz w:val="22"/>
          <w:szCs w:val="22"/>
          <w:b w:val="1"/>
          <w:bCs w:val="1"/>
          <w:color w:val="auto"/>
        </w:rPr>
      </w:pPr>
    </w:p>
    <w:p>
      <w:pPr>
        <w:ind w:left="60" w:right="79" w:firstLine="1934"/>
        <w:spacing w:after="0" w:line="241" w:lineRule="auto"/>
        <w:tabs>
          <w:tab w:leader="none" w:pos="2652"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Signing Bonus and all Base Salary, Annual Bonuses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payments to be made to the Employee under this Agreement are subject to the Employer’s right to make customary and applicable deductions and withholdings, including, without limitation, for federal and state taxes, FICA, Medicaid and other customary payroll activities.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60" w:right="179" w:firstLine="1934"/>
        <w:spacing w:after="0" w:line="246" w:lineRule="auto"/>
        <w:tabs>
          <w:tab w:leader="none" w:pos="2652" w:val="left"/>
        </w:tabs>
        <w:numPr>
          <w:ilvl w:val="2"/>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 Provisions</w:t>
      </w:r>
      <w:r>
        <w:rPr>
          <w:rFonts w:ascii="Times New Roman" w:cs="Times New Roman" w:eastAsia="Times New Roman" w:hAnsi="Times New Roman"/>
          <w:sz w:val="21"/>
          <w:szCs w:val="21"/>
          <w:color w:val="auto"/>
        </w:rPr>
        <w:t>. Notwithstanding any other provisions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the 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 clawback as may be required to be made pursuant to such law, government regulation or stock 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171" w:lineRule="exact"/>
        <w:rPr>
          <w:rFonts w:ascii="Times New Roman" w:cs="Times New Roman" w:eastAsia="Times New Roman" w:hAnsi="Times New Roman"/>
          <w:sz w:val="21"/>
          <w:szCs w:val="21"/>
          <w:b w:val="1"/>
          <w:bCs w:val="1"/>
          <w:color w:val="auto"/>
        </w:rPr>
      </w:pPr>
    </w:p>
    <w:p>
      <w:pPr>
        <w:ind w:left="60" w:right="319" w:firstLine="1934"/>
        <w:spacing w:after="0" w:line="237" w:lineRule="auto"/>
        <w:tabs>
          <w:tab w:leader="none" w:pos="2652"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Interests in the Employer. </w:t>
      </w:r>
      <w:r>
        <w:rPr>
          <w:rFonts w:ascii="Times New Roman" w:cs="Times New Roman" w:eastAsia="Times New Roman" w:hAnsi="Times New Roman"/>
          <w:sz w:val="22"/>
          <w:szCs w:val="22"/>
          <w:color w:val="auto"/>
        </w:rPr>
        <w:t>The Employee acknowledges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except as 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75" w:lineRule="exact"/>
        <w:rPr>
          <w:rFonts w:ascii="Times New Roman" w:cs="Times New Roman" w:eastAsia="Times New Roman" w:hAnsi="Times New Roman"/>
          <w:sz w:val="22"/>
          <w:szCs w:val="22"/>
          <w:b w:val="1"/>
          <w:bCs w:val="1"/>
          <w:color w:val="auto"/>
        </w:rPr>
      </w:pPr>
    </w:p>
    <w:p>
      <w:pPr>
        <w:ind w:left="1340" w:right="1679" w:hanging="642"/>
        <w:spacing w:after="0" w:line="262" w:lineRule="auto"/>
        <w:tabs>
          <w:tab w:leader="none" w:pos="13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 EXPENSE REIMBURSEMENT AND INDEMNIFICATION; 409(A) COMPLIANCE.</w:t>
      </w:r>
    </w:p>
    <w:p>
      <w:pPr>
        <w:spacing w:after="0" w:line="149" w:lineRule="exact"/>
        <w:rPr>
          <w:rFonts w:ascii="Times New Roman" w:cs="Times New Roman" w:eastAsia="Times New Roman" w:hAnsi="Times New Roman"/>
          <w:sz w:val="22"/>
          <w:szCs w:val="22"/>
          <w:b w:val="1"/>
          <w:bCs w:val="1"/>
          <w:color w:val="auto"/>
        </w:rPr>
      </w:pPr>
    </w:p>
    <w:p>
      <w:pPr>
        <w:ind w:left="60" w:right="79" w:firstLine="1286"/>
        <w:spacing w:after="0" w:line="233" w:lineRule="auto"/>
        <w:tabs>
          <w:tab w:leader="none" w:pos="2004"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During the Term of Employment, the Employee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w:t>
      </w:r>
    </w:p>
    <w:p>
      <w:pPr>
        <w:spacing w:after="0" w:line="182" w:lineRule="exact"/>
        <w:rPr>
          <w:rFonts w:ascii="Times New Roman" w:cs="Times New Roman" w:eastAsia="Times New Roman" w:hAnsi="Times New Roman"/>
          <w:sz w:val="22"/>
          <w:szCs w:val="22"/>
          <w:b w:val="1"/>
          <w:bCs w:val="1"/>
          <w:color w:val="auto"/>
        </w:rPr>
      </w:pPr>
    </w:p>
    <w:p>
      <w:pPr>
        <w:ind w:left="60" w:right="159" w:firstLine="1286"/>
        <w:spacing w:after="0" w:line="237" w:lineRule="auto"/>
        <w:tabs>
          <w:tab w:leader="none" w:pos="2004"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Business Expense Reimbursement. </w:t>
      </w:r>
      <w:r>
        <w:rPr>
          <w:rFonts w:ascii="Times New Roman" w:cs="Times New Roman" w:eastAsia="Times New Roman" w:hAnsi="Times New Roman"/>
          <w:sz w:val="22"/>
          <w:szCs w:val="22"/>
          <w:color w:val="auto"/>
        </w:rPr>
        <w:t>Provided that the Employee provides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documentation of his expenses, the Employee shall be entitled to receive full reimbursement for all reasonable out-of-pocket business expenses that are incurred by him during the Term of Employment in accordance with the policies and procedures established from time to time by the Employer. Further, provided the Employee provides appropriate documentation, the Employee shall be entitled to receive full reimbursement for flights,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-4454525</wp:posOffset>
            </wp:positionV>
            <wp:extent cx="1939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92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-3391535</wp:posOffset>
            </wp:positionV>
            <wp:extent cx="3806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06825"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-3237230</wp:posOffset>
            </wp:positionV>
            <wp:extent cx="2797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-2945765</wp:posOffset>
            </wp:positionV>
            <wp:extent cx="1120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014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-802640</wp:posOffset>
            </wp:positionV>
            <wp:extent cx="1996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9644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ind w:left="60" w:right="239"/>
        <w:spacing w:after="0"/>
        <w:rPr>
          <w:sz w:val="20"/>
          <w:szCs w:val="20"/>
          <w:color w:val="auto"/>
        </w:rPr>
      </w:pPr>
      <w:r>
        <w:rPr>
          <w:rFonts w:ascii="Times New Roman" w:cs="Times New Roman" w:eastAsia="Times New Roman" w:hAnsi="Times New Roman"/>
          <w:sz w:val="22"/>
          <w:szCs w:val="22"/>
          <w:color w:val="auto"/>
        </w:rPr>
        <w:t>and car rentals for six months beginning on the Commencement Date. The Employee’s rights under this paragraph shall terminate as of the date that his Employment terminates for any reason, provided that the Employer shall remain obligated to reimburse the Employee for any such expenses that were properly incurred by him during the Term of Employment.</w:t>
      </w:r>
    </w:p>
    <w:p>
      <w:pPr>
        <w:spacing w:after="0" w:line="173" w:lineRule="exact"/>
        <w:rPr>
          <w:sz w:val="20"/>
          <w:szCs w:val="20"/>
          <w:color w:val="auto"/>
        </w:rPr>
      </w:pPr>
    </w:p>
    <w:p>
      <w:pPr>
        <w:ind w:left="60" w:right="219" w:firstLine="1286"/>
        <w:spacing w:after="0" w:line="246" w:lineRule="auto"/>
        <w:tabs>
          <w:tab w:leader="none" w:pos="2004"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w:t>
      </w:r>
      <w:r>
        <w:rPr>
          <w:rFonts w:ascii="Times New Roman" w:cs="Times New Roman" w:eastAsia="Times New Roman" w:hAnsi="Times New Roman"/>
          <w:sz w:val="22"/>
          <w:szCs w:val="22"/>
          <w:color w:val="auto"/>
        </w:rPr>
        <w:t>The Employer and the Employee shall enter into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form of indemnification agreement that is provided to members of the Employer’s Board of Directors and its executive officers.</w:t>
      </w:r>
    </w:p>
    <w:p>
      <w:pPr>
        <w:spacing w:after="0" w:line="171" w:lineRule="exact"/>
        <w:rPr>
          <w:rFonts w:ascii="Times New Roman" w:cs="Times New Roman" w:eastAsia="Times New Roman" w:hAnsi="Times New Roman"/>
          <w:sz w:val="22"/>
          <w:szCs w:val="22"/>
          <w:b w:val="1"/>
          <w:bCs w:val="1"/>
          <w:color w:val="auto"/>
        </w:rPr>
      </w:pPr>
    </w:p>
    <w:p>
      <w:pPr>
        <w:ind w:left="60" w:right="99" w:firstLine="1286"/>
        <w:spacing w:after="0" w:line="235" w:lineRule="auto"/>
        <w:tabs>
          <w:tab w:leader="none" w:pos="2004"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If the Employee or the Employer believes, at any time, that any of such benefit or right does not comply, 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74" w:lineRule="exact"/>
        <w:rPr>
          <w:rFonts w:ascii="Times New Roman" w:cs="Times New Roman" w:eastAsia="Times New Roman" w:hAnsi="Times New Roman"/>
          <w:sz w:val="22"/>
          <w:szCs w:val="22"/>
          <w:b w:val="1"/>
          <w:bCs w:val="1"/>
          <w:color w:val="auto"/>
        </w:rPr>
      </w:pPr>
    </w:p>
    <w:p>
      <w:pPr>
        <w:ind w:left="1340" w:hanging="642"/>
        <w:spacing w:after="0"/>
        <w:tabs>
          <w:tab w:leader="none" w:pos="13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POST-EMPLOYMENT COMPENSATION.</w:t>
      </w:r>
    </w:p>
    <w:p>
      <w:pPr>
        <w:spacing w:after="0" w:line="206" w:lineRule="exact"/>
        <w:rPr>
          <w:rFonts w:ascii="Times New Roman" w:cs="Times New Roman" w:eastAsia="Times New Roman" w:hAnsi="Times New Roman"/>
          <w:sz w:val="22"/>
          <w:szCs w:val="22"/>
          <w:b w:val="1"/>
          <w:bCs w:val="1"/>
          <w:color w:val="auto"/>
        </w:rPr>
      </w:pPr>
    </w:p>
    <w:p>
      <w:pPr>
        <w:ind w:left="60" w:right="119" w:firstLine="1286"/>
        <w:spacing w:after="0" w:line="241" w:lineRule="auto"/>
        <w:tabs>
          <w:tab w:leader="none" w:pos="2004"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Except as specifically provided in this Agreement, the Employer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no obligation to make any compensation, severance or other payments to the Employee, or to provide any other benefits to the Employee, after the date of the termination of the Employee’s Employment for any reason.</w:t>
      </w:r>
    </w:p>
    <w:p>
      <w:pPr>
        <w:spacing w:after="0" w:line="171" w:lineRule="exact"/>
        <w:rPr>
          <w:rFonts w:ascii="Times New Roman" w:cs="Times New Roman" w:eastAsia="Times New Roman" w:hAnsi="Times New Roman"/>
          <w:sz w:val="22"/>
          <w:szCs w:val="22"/>
          <w:b w:val="1"/>
          <w:bCs w:val="1"/>
          <w:color w:val="auto"/>
        </w:rPr>
      </w:pPr>
    </w:p>
    <w:p>
      <w:pPr>
        <w:ind w:left="60" w:right="419" w:firstLine="1286"/>
        <w:spacing w:after="0" w:line="246" w:lineRule="auto"/>
        <w:tabs>
          <w:tab w:leader="none" w:pos="2004"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Upon the termination of the Employee’s Employment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the Employee shall not be entitled to receive any additional Base Salary payments from the Employer except:</w:t>
      </w:r>
    </w:p>
    <w:p>
      <w:pPr>
        <w:spacing w:after="0" w:line="171" w:lineRule="exact"/>
        <w:rPr>
          <w:rFonts w:ascii="Times New Roman" w:cs="Times New Roman" w:eastAsia="Times New Roman" w:hAnsi="Times New Roman"/>
          <w:sz w:val="22"/>
          <w:szCs w:val="22"/>
          <w:b w:val="1"/>
          <w:bCs w:val="1"/>
          <w:color w:val="auto"/>
        </w:rPr>
      </w:pPr>
    </w:p>
    <w:p>
      <w:pPr>
        <w:ind w:left="60" w:right="59" w:firstLine="1934"/>
        <w:spacing w:after="0" w:line="244" w:lineRule="auto"/>
        <w:tabs>
          <w:tab w:leader="none" w:pos="2652" w:val="left"/>
        </w:tabs>
        <w:numPr>
          <w:ilvl w:val="2"/>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173" w:lineRule="exact"/>
        <w:rPr>
          <w:rFonts w:ascii="Times New Roman" w:cs="Times New Roman" w:eastAsia="Times New Roman" w:hAnsi="Times New Roman"/>
          <w:sz w:val="22"/>
          <w:szCs w:val="22"/>
          <w:b w:val="1"/>
          <w:bCs w:val="1"/>
          <w:color w:val="auto"/>
        </w:rPr>
      </w:pPr>
    </w:p>
    <w:p>
      <w:pPr>
        <w:ind w:left="60" w:right="199" w:firstLine="1934"/>
        <w:spacing w:after="0" w:line="234" w:lineRule="auto"/>
        <w:tabs>
          <w:tab w:leader="none" w:pos="2652" w:val="left"/>
        </w:tabs>
        <w:numPr>
          <w:ilvl w:val="2"/>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Employer terminates the Employee’s Employment without Cause (as defined in this Agreement), or the Employee terminates his Employment for Good Reason (as defined in this Agreement), then, provided that the Employee executes a Separation and Release Agreement in the form attached to this Agreement, the Employer shall: (1) pay the Employee an amount equal to one year of his annual Base Salary, payable at regular payroll intervals; (2) make payments on behalf of the Employee in an amount sufficient for the Employee to maintain his then-current group health benefits for one year; (3) provide the Employee with a pro rata portion of his Annual Bonus pursuant to the Annual Bonus plan then in effect for the Employer’s executive officers for the year in which his Employment terminates, payable at the time that the Employer’s other executive officers receive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-5637530</wp:posOffset>
            </wp:positionV>
            <wp:extent cx="937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726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-3665855</wp:posOffset>
            </wp:positionV>
            <wp:extent cx="2564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-3374390</wp:posOffset>
            </wp:positionV>
            <wp:extent cx="506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73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-2620010</wp:posOffset>
            </wp:positionV>
            <wp:extent cx="716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60" w:right="99"/>
        <w:spacing w:after="0" w:line="233" w:lineRule="auto"/>
        <w:rPr>
          <w:sz w:val="20"/>
          <w:szCs w:val="20"/>
          <w:color w:val="auto"/>
        </w:rPr>
      </w:pPr>
      <w:r>
        <w:rPr>
          <w:rFonts w:ascii="Times New Roman" w:cs="Times New Roman" w:eastAsia="Times New Roman" w:hAnsi="Times New Roman"/>
          <w:sz w:val="22"/>
          <w:szCs w:val="22"/>
          <w:color w:val="auto"/>
        </w:rPr>
        <w:t>Annual Bonuses; and (4) the Signing Bonus will become fully vested as of the date of such termination of Employment.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payments described above in clause (2) will include medical, dental, and vision insurance coverage, and all other Calavo provided benefits. Under such circumstances, Calavo will also provide the Employee the option, for a period of eighteen (18) months thereafter, at the Employee’s own expense to continue his medical, dental, and vision benefits at the equivalent of his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he terminates his Employment other than for Good Reason.</w:t>
      </w:r>
    </w:p>
    <w:p>
      <w:pPr>
        <w:spacing w:after="0" w:line="176" w:lineRule="exact"/>
        <w:rPr>
          <w:sz w:val="20"/>
          <w:szCs w:val="20"/>
          <w:color w:val="auto"/>
        </w:rPr>
      </w:pPr>
    </w:p>
    <w:p>
      <w:pPr>
        <w:ind w:left="60" w:right="119" w:firstLine="1934"/>
        <w:spacing w:after="0" w:line="243" w:lineRule="auto"/>
        <w:tabs>
          <w:tab w:leader="none" w:pos="2652"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the Board of Directors, or the Company’s Chief Executive Officer unless the Employee has a good faith reason to believe that such direction is illegal or is a violation of the Employer’s rules, regulations and policies, which refusal shall continue for a period of at least ten (10)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85" w:lineRule="exact"/>
        <w:rPr>
          <w:rFonts w:ascii="Times New Roman" w:cs="Times New Roman" w:eastAsia="Times New Roman" w:hAnsi="Times New Roman"/>
          <w:sz w:val="21"/>
          <w:szCs w:val="21"/>
          <w:b w:val="1"/>
          <w:bCs w:val="1"/>
          <w:color w:val="auto"/>
        </w:rPr>
      </w:pPr>
    </w:p>
    <w:p>
      <w:pPr>
        <w:ind w:left="60" w:right="79" w:firstLine="1934"/>
        <w:spacing w:after="0" w:line="238" w:lineRule="auto"/>
        <w:tabs>
          <w:tab w:leader="none" w:pos="265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means the occurrence, without the Employee’s written consent, of any of the following: (1) any requirement (whether as a result of change in duties or otherwise) that Employee perform the majority of his hours of employment more than 35 miles from the Employer’s Corporate Headquarters, if the Employer fails to remedy such change within thirty days after written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60" w:right="59"/>
        <w:spacing w:after="0" w:line="243" w:lineRule="auto"/>
        <w:rPr>
          <w:sz w:val="20"/>
          <w:szCs w:val="20"/>
          <w:color w:val="auto"/>
        </w:rPr>
      </w:pPr>
      <w:r>
        <w:rPr>
          <w:rFonts w:ascii="Times New Roman" w:cs="Times New Roman" w:eastAsia="Times New Roman" w:hAnsi="Times New Roman"/>
          <w:sz w:val="21"/>
          <w:szCs w:val="21"/>
          <w:color w:val="auto"/>
        </w:rPr>
        <w:t>notice is given by the Employee to the Employer; (2) any reduction in base salary below $415,000 per year; (3) any material reduction in the Employee’s title, duties, responsibilities or authority, including, without limitation, any adverse change in reporting relationship or assignment to Employee of duties inconsistent with the position of Chief Financial Officer, including in a successor entity in the event of a Change in Control, which is not cured within thirty (30) days after written notice from the Employee to Employer; (4) any breach by the Employer of any material provision of this Agreement (whether or not described above), which breach is not cured by the Employer within thirty (30) days after written notice of such breach is given by the Employee to the Employer; or (5</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(10) days after he provides the successor to the Employer with written notice of his desire to receive such agreement. Notwithstanding the foregoing, the Employee shall be deemed to have terminated his Employment for Good Reason for purposes of this Agreement only if he terminates his Employment within sixty (60) days after the occurrence of the event described in this paragraph (including expiration of the applicable notice and cure period) that permits him to terminate his Employment for Good Reason. In the event that the Employee elects to terminate his Employment for Good Reason pursuant to subsection (3) above following a Change in Control, the Employee shall provide the Employer with at least six (6) month’s notice of his intention to terminate his employment for Good reason and the Employer shall retain the option to shorten such notice period.</w:t>
      </w:r>
    </w:p>
    <w:p>
      <w:pPr>
        <w:spacing w:after="0" w:line="183" w:lineRule="exact"/>
        <w:rPr>
          <w:sz w:val="20"/>
          <w:szCs w:val="20"/>
          <w:color w:val="auto"/>
        </w:rPr>
      </w:pPr>
    </w:p>
    <w:p>
      <w:pPr>
        <w:ind w:left="1340" w:hanging="642"/>
        <w:spacing w:after="0"/>
        <w:tabs>
          <w:tab w:leader="none" w:pos="13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CONFIDENTIALITY/UNFAIR COMPETITION.</w:t>
      </w:r>
    </w:p>
    <w:p>
      <w:pPr>
        <w:spacing w:after="0" w:line="206" w:lineRule="exact"/>
        <w:rPr>
          <w:rFonts w:ascii="Times New Roman" w:cs="Times New Roman" w:eastAsia="Times New Roman" w:hAnsi="Times New Roman"/>
          <w:sz w:val="22"/>
          <w:szCs w:val="22"/>
          <w:b w:val="1"/>
          <w:bCs w:val="1"/>
          <w:color w:val="auto"/>
        </w:rPr>
      </w:pPr>
    </w:p>
    <w:p>
      <w:pPr>
        <w:ind w:left="60" w:right="59" w:firstLine="1286"/>
        <w:spacing w:after="0" w:line="233" w:lineRule="auto"/>
        <w:tabs>
          <w:tab w:leader="none" w:pos="2004"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Employee shall at no time, either during his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after the 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 in writing by the Employer’s Chairman of the Board of Directors or the Board of Directors. The prohibition that is contained in the preceding sentence shall not apply to any information that is or becomes generally available to the public other than through an improper disclosure by the Employee or by a person acting in concert with him to effect such improper disclosure. Within five (5) days after the termination of his Employment, the Employee shall return to the Employer all memoranda, notes and other documents in his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74" w:lineRule="exact"/>
        <w:rPr>
          <w:rFonts w:ascii="Times New Roman" w:cs="Times New Roman" w:eastAsia="Times New Roman" w:hAnsi="Times New Roman"/>
          <w:sz w:val="22"/>
          <w:szCs w:val="22"/>
          <w:b w:val="1"/>
          <w:bCs w:val="1"/>
          <w:color w:val="auto"/>
        </w:rPr>
      </w:pPr>
    </w:p>
    <w:p>
      <w:pPr>
        <w:ind w:left="2000" w:hanging="654"/>
        <w:spacing w:after="0"/>
        <w:tabs>
          <w:tab w:leader="none" w:pos="200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Competition During the Term of Employment. </w:t>
      </w:r>
      <w:r>
        <w:rPr>
          <w:rFonts w:ascii="Times New Roman" w:cs="Times New Roman" w:eastAsia="Times New Roman" w:hAnsi="Times New Roman"/>
          <w:sz w:val="22"/>
          <w:szCs w:val="22"/>
          <w:color w:val="auto"/>
        </w:rPr>
        <w:t>During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-2908935</wp:posOffset>
            </wp:positionV>
            <wp:extent cx="2946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4640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-2617470</wp:posOffset>
            </wp:positionV>
            <wp:extent cx="883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392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-11430</wp:posOffset>
            </wp:positionV>
            <wp:extent cx="2722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60" w:right="99"/>
        <w:spacing w:after="0" w:line="248" w:lineRule="auto"/>
        <w:rPr>
          <w:sz w:val="20"/>
          <w:szCs w:val="20"/>
          <w:color w:val="auto"/>
        </w:rPr>
      </w:pPr>
      <w:r>
        <w:rPr>
          <w:rFonts w:ascii="Times New Roman" w:cs="Times New Roman" w:eastAsia="Times New Roman" w:hAnsi="Times New Roman"/>
          <w:sz w:val="21"/>
          <w:szCs w:val="21"/>
          <w:color w:val="auto"/>
        </w:rPr>
        <w:t>Employment, the Employee 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(1%) of the outstanding common stock of any corporation whose common stock is traded on a national securities exchange.</w:t>
      </w:r>
    </w:p>
    <w:p>
      <w:pPr>
        <w:spacing w:after="0" w:line="167" w:lineRule="exact"/>
        <w:rPr>
          <w:sz w:val="20"/>
          <w:szCs w:val="20"/>
          <w:color w:val="auto"/>
        </w:rPr>
      </w:pPr>
    </w:p>
    <w:p>
      <w:pPr>
        <w:ind w:left="60" w:right="59" w:firstLine="1286"/>
        <w:spacing w:after="0" w:line="233" w:lineRule="auto"/>
        <w:tabs>
          <w:tab w:leader="none" w:pos="2004"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Remedies. </w:t>
      </w:r>
      <w:r>
        <w:rPr>
          <w:rFonts w:ascii="Times New Roman" w:cs="Times New Roman" w:eastAsia="Times New Roman" w:hAnsi="Times New Roman"/>
          <w:sz w:val="22"/>
          <w:szCs w:val="22"/>
          <w:color w:val="auto"/>
        </w:rPr>
        <w:t>If the Employee breaches any of the provisions of this Section or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Employee breaches any of the 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84" w:lineRule="exact"/>
        <w:rPr>
          <w:rFonts w:ascii="Times New Roman" w:cs="Times New Roman" w:eastAsia="Times New Roman" w:hAnsi="Times New Roman"/>
          <w:sz w:val="22"/>
          <w:szCs w:val="22"/>
          <w:b w:val="1"/>
          <w:bCs w:val="1"/>
          <w:color w:val="auto"/>
        </w:rPr>
      </w:pPr>
    </w:p>
    <w:p>
      <w:pPr>
        <w:ind w:left="1340" w:hanging="642"/>
        <w:spacing w:after="0"/>
        <w:tabs>
          <w:tab w:leader="none" w:pos="13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INVENTIONS/WORK PRODUCT</w:t>
      </w:r>
    </w:p>
    <w:p>
      <w:pPr>
        <w:spacing w:after="0" w:line="206" w:lineRule="exact"/>
        <w:rPr>
          <w:rFonts w:ascii="Times New Roman" w:cs="Times New Roman" w:eastAsia="Times New Roman" w:hAnsi="Times New Roman"/>
          <w:sz w:val="22"/>
          <w:szCs w:val="22"/>
          <w:b w:val="1"/>
          <w:bCs w:val="1"/>
          <w:color w:val="auto"/>
        </w:rPr>
      </w:pPr>
    </w:p>
    <w:p>
      <w:pPr>
        <w:ind w:left="60" w:right="119" w:firstLine="1286"/>
        <w:spacing w:after="0" w:line="233" w:lineRule="auto"/>
        <w:tabs>
          <w:tab w:leader="none" w:pos="2004"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Work Product. </w:t>
      </w:r>
      <w:r>
        <w:rPr>
          <w:rFonts w:ascii="Times New Roman" w:cs="Times New Roman" w:eastAsia="Times New Roman" w:hAnsi="Times New Roman"/>
          <w:sz w:val="22"/>
          <w:szCs w:val="22"/>
          <w:color w:val="auto"/>
        </w:rPr>
        <w:t>The Employee acknowledges and agrees that all writings,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works of 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shall be the sole and exclusive property of the Employer.</w:t>
      </w:r>
    </w:p>
    <w:p>
      <w:pPr>
        <w:spacing w:after="0" w:line="177" w:lineRule="exact"/>
        <w:rPr>
          <w:rFonts w:ascii="Times New Roman" w:cs="Times New Roman" w:eastAsia="Times New Roman" w:hAnsi="Times New Roman"/>
          <w:sz w:val="22"/>
          <w:szCs w:val="22"/>
          <w:b w:val="1"/>
          <w:bCs w:val="1"/>
          <w:color w:val="auto"/>
        </w:rPr>
      </w:pPr>
    </w:p>
    <w:p>
      <w:pPr>
        <w:ind w:left="2000" w:hanging="654"/>
        <w:spacing w:after="0"/>
        <w:tabs>
          <w:tab w:leader="none" w:pos="2000"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Work Made for Hire; Assignment. </w:t>
      </w:r>
      <w:r>
        <w:rPr>
          <w:rFonts w:ascii="Times New Roman" w:cs="Times New Roman" w:eastAsia="Times New Roman" w:hAnsi="Times New Roman"/>
          <w:sz w:val="22"/>
          <w:szCs w:val="22"/>
          <w:color w:val="auto"/>
        </w:rPr>
        <w:t>The Employee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-4743450</wp:posOffset>
            </wp:positionV>
            <wp:extent cx="598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817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-2754630</wp:posOffset>
            </wp:positionV>
            <wp:extent cx="20688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6883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-2463165</wp:posOffset>
            </wp:positionV>
            <wp:extent cx="8737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3760"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-1228725</wp:posOffset>
            </wp:positionV>
            <wp:extent cx="839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3947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-457200</wp:posOffset>
            </wp:positionV>
            <wp:extent cx="1635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3576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-11430</wp:posOffset>
            </wp:positionV>
            <wp:extent cx="2012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ind w:left="60" w:right="119"/>
        <w:spacing w:after="0" w:line="246" w:lineRule="auto"/>
        <w:rPr>
          <w:sz w:val="20"/>
          <w:szCs w:val="20"/>
          <w:color w:val="auto"/>
        </w:rPr>
      </w:pPr>
      <w:r>
        <w:rPr>
          <w:rFonts w:ascii="Times New Roman" w:cs="Times New Roman" w:eastAsia="Times New Roman" w:hAnsi="Times New Roman"/>
          <w:sz w:val="21"/>
          <w:szCs w:val="21"/>
          <w:color w:val="auto"/>
        </w:rPr>
        <w:t xml:space="preserve">by reason of being employed by the Employer at the relevant times, to the extent permitted by law, all of the Work Product consisting of copyrightable subject matter is “work made for hire” ac; defined in 17 U.S.C.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67" w:lineRule="exact"/>
        <w:rPr>
          <w:sz w:val="20"/>
          <w:szCs w:val="20"/>
          <w:color w:val="auto"/>
        </w:rPr>
      </w:pPr>
    </w:p>
    <w:p>
      <w:pPr>
        <w:ind w:left="60" w:right="59" w:firstLine="1286"/>
        <w:spacing w:after="0" w:line="245" w:lineRule="auto"/>
        <w:tabs>
          <w:tab w:leader="none" w:pos="2004"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Further Assurances; Power of Attorney. </w:t>
      </w:r>
      <w:r>
        <w:rPr>
          <w:rFonts w:ascii="Times New Roman" w:cs="Times New Roman" w:eastAsia="Times New Roman" w:hAnsi="Times New Roman"/>
          <w:sz w:val="21"/>
          <w:szCs w:val="21"/>
          <w:color w:val="auto"/>
        </w:rPr>
        <w:t>During and after his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70" w:lineRule="exact"/>
        <w:rPr>
          <w:rFonts w:ascii="Times New Roman" w:cs="Times New Roman" w:eastAsia="Times New Roman" w:hAnsi="Times New Roman"/>
          <w:sz w:val="21"/>
          <w:szCs w:val="21"/>
          <w:b w:val="1"/>
          <w:bCs w:val="1"/>
          <w:color w:val="auto"/>
        </w:rPr>
      </w:pPr>
    </w:p>
    <w:p>
      <w:pPr>
        <w:ind w:left="1340" w:hanging="642"/>
        <w:spacing w:after="0"/>
        <w:tabs>
          <w:tab w:leader="none" w:pos="1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rFonts w:ascii="Times New Roman" w:cs="Times New Roman" w:eastAsia="Times New Roman" w:hAnsi="Times New Roman"/>
          <w:sz w:val="22"/>
          <w:szCs w:val="22"/>
          <w:b w:val="1"/>
          <w:bCs w:val="1"/>
          <w:color w:val="auto"/>
        </w:rPr>
      </w:pPr>
    </w:p>
    <w:p>
      <w:pPr>
        <w:ind w:left="60" w:right="399" w:firstLine="1286"/>
        <w:spacing w:after="0" w:line="238" w:lineRule="auto"/>
        <w:tabs>
          <w:tab w:leader="none" w:pos="2004"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Agreement (and any separate indemnification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confidentiality agreements that may 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76" w:lineRule="exact"/>
        <w:rPr>
          <w:rFonts w:ascii="Times New Roman" w:cs="Times New Roman" w:eastAsia="Times New Roman" w:hAnsi="Times New Roman"/>
          <w:sz w:val="22"/>
          <w:szCs w:val="22"/>
          <w:b w:val="1"/>
          <w:bCs w:val="1"/>
          <w:color w:val="auto"/>
        </w:rPr>
      </w:pPr>
    </w:p>
    <w:p>
      <w:pPr>
        <w:ind w:left="60" w:right="119" w:firstLine="1286"/>
        <w:spacing w:after="0" w:line="235" w:lineRule="auto"/>
        <w:tabs>
          <w:tab w:leader="none" w:pos="2004"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All notices required or permitted by this Agreement to be given by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to the 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-4452620</wp:posOffset>
            </wp:positionV>
            <wp:extent cx="23501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0135" cy="889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-2309495</wp:posOffset>
            </wp:positionV>
            <wp:extent cx="1600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0020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-2018030</wp:posOffset>
            </wp:positionV>
            <wp:extent cx="1084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-1109345</wp:posOffset>
            </wp:positionV>
            <wp:extent cx="4610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22"/>
          <w:szCs w:val="22"/>
          <w:color w:val="auto"/>
        </w:rPr>
        <w:t>mail or one day after delivery to an overnight delivery service.</w:t>
      </w:r>
    </w:p>
    <w:p>
      <w:pPr>
        <w:spacing w:after="0" w:line="203" w:lineRule="exact"/>
        <w:rPr>
          <w:sz w:val="20"/>
          <w:szCs w:val="20"/>
          <w:color w:val="auto"/>
        </w:rPr>
      </w:pPr>
    </w:p>
    <w:p>
      <w:pPr>
        <w:ind w:left="60" w:right="279" w:firstLine="1286"/>
        <w:spacing w:after="0" w:line="286" w:lineRule="auto"/>
        <w:tabs>
          <w:tab w:leader="none" w:pos="2004"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Each party to this Agreement shall bear its own costs and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without limitation, attorneys’ fees) incurred in connection with this Agreement.</w:t>
      </w:r>
    </w:p>
    <w:p>
      <w:pPr>
        <w:spacing w:after="0" w:line="126" w:lineRule="exact"/>
        <w:rPr>
          <w:rFonts w:ascii="Times New Roman" w:cs="Times New Roman" w:eastAsia="Times New Roman" w:hAnsi="Times New Roman"/>
          <w:sz w:val="21"/>
          <w:szCs w:val="21"/>
          <w:b w:val="1"/>
          <w:bCs w:val="1"/>
          <w:color w:val="auto"/>
        </w:rPr>
      </w:pPr>
    </w:p>
    <w:p>
      <w:pPr>
        <w:ind w:left="60" w:right="1019" w:firstLine="1286"/>
        <w:spacing w:after="0" w:line="262" w:lineRule="auto"/>
        <w:tabs>
          <w:tab w:leader="none" w:pos="2004"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This Agreement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only pursuant to a writing executed by the Employer and the Employee.</w:t>
      </w:r>
    </w:p>
    <w:p>
      <w:pPr>
        <w:spacing w:after="0" w:line="149" w:lineRule="exact"/>
        <w:rPr>
          <w:rFonts w:ascii="Times New Roman" w:cs="Times New Roman" w:eastAsia="Times New Roman" w:hAnsi="Times New Roman"/>
          <w:sz w:val="22"/>
          <w:szCs w:val="22"/>
          <w:b w:val="1"/>
          <w:bCs w:val="1"/>
          <w:color w:val="auto"/>
        </w:rPr>
      </w:pPr>
    </w:p>
    <w:p>
      <w:pPr>
        <w:ind w:left="60" w:right="179" w:firstLine="1286"/>
        <w:spacing w:after="0" w:line="235" w:lineRule="auto"/>
        <w:tabs>
          <w:tab w:leader="none" w:pos="2004"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Successors and Assigns. </w:t>
      </w:r>
      <w:r>
        <w:rPr>
          <w:rFonts w:ascii="Times New Roman" w:cs="Times New Roman" w:eastAsia="Times New Roman" w:hAnsi="Times New Roman"/>
          <w:sz w:val="22"/>
          <w:szCs w:val="22"/>
          <w:color w:val="auto"/>
        </w:rPr>
        <w:t>This Agreement shall be binding upon,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the 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73" w:lineRule="exact"/>
        <w:rPr>
          <w:rFonts w:ascii="Times New Roman" w:cs="Times New Roman" w:eastAsia="Times New Roman" w:hAnsi="Times New Roman"/>
          <w:sz w:val="22"/>
          <w:szCs w:val="22"/>
          <w:b w:val="1"/>
          <w:bCs w:val="1"/>
          <w:color w:val="auto"/>
        </w:rPr>
      </w:pPr>
    </w:p>
    <w:p>
      <w:pPr>
        <w:ind w:left="60" w:right="179" w:firstLine="1286"/>
        <w:spacing w:after="0" w:line="241" w:lineRule="auto"/>
        <w:tabs>
          <w:tab w:leader="none" w:pos="2004"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Calculation of Time</w:t>
      </w:r>
      <w:r>
        <w:rPr>
          <w:rFonts w:ascii="Times New Roman" w:cs="Times New Roman" w:eastAsia="Times New Roman" w:hAnsi="Times New Roman"/>
          <w:sz w:val="22"/>
          <w:szCs w:val="22"/>
          <w:color w:val="auto"/>
        </w:rPr>
        <w:t>. Wherever in this Agreement a period of time is stated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number of 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171" w:lineRule="exact"/>
        <w:rPr>
          <w:rFonts w:ascii="Times New Roman" w:cs="Times New Roman" w:eastAsia="Times New Roman" w:hAnsi="Times New Roman"/>
          <w:sz w:val="22"/>
          <w:szCs w:val="22"/>
          <w:b w:val="1"/>
          <w:bCs w:val="1"/>
          <w:color w:val="auto"/>
        </w:rPr>
      </w:pPr>
    </w:p>
    <w:p>
      <w:pPr>
        <w:jc w:val="both"/>
        <w:ind w:left="60" w:right="359" w:firstLine="1286"/>
        <w:spacing w:after="0" w:line="246" w:lineRule="auto"/>
        <w:tabs>
          <w:tab w:leader="none" w:pos="2004"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Further Assurances. </w:t>
      </w:r>
      <w:r>
        <w:rPr>
          <w:rFonts w:ascii="Times New Roman" w:cs="Times New Roman" w:eastAsia="Times New Roman" w:hAnsi="Times New Roman"/>
          <w:sz w:val="22"/>
          <w:szCs w:val="22"/>
          <w:color w:val="auto"/>
        </w:rPr>
        <w:t>Each of the Employer and the Employee shall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further acts and execute and deliver any further documents that may be reasonably necessary to carry out the provisions of this Agreement.</w:t>
      </w:r>
    </w:p>
    <w:p>
      <w:pPr>
        <w:spacing w:after="0" w:line="167" w:lineRule="exact"/>
        <w:rPr>
          <w:rFonts w:ascii="Times New Roman" w:cs="Times New Roman" w:eastAsia="Times New Roman" w:hAnsi="Times New Roman"/>
          <w:sz w:val="20"/>
          <w:szCs w:val="20"/>
          <w:b w:val="1"/>
          <w:bCs w:val="1"/>
          <w:color w:val="auto"/>
        </w:rPr>
      </w:pPr>
    </w:p>
    <w:p>
      <w:pPr>
        <w:ind w:left="60" w:right="159" w:firstLine="1286"/>
        <w:spacing w:after="0" w:line="236" w:lineRule="auto"/>
        <w:tabs>
          <w:tab w:leader="none" w:pos="2004"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Provisions Subject to Applicable Law. </w:t>
      </w:r>
      <w:r>
        <w:rPr>
          <w:rFonts w:ascii="Times New Roman" w:cs="Times New Roman" w:eastAsia="Times New Roman" w:hAnsi="Times New Roman"/>
          <w:sz w:val="22"/>
          <w:szCs w:val="22"/>
          <w:color w:val="auto"/>
        </w:rPr>
        <w:t>All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75" w:lineRule="exact"/>
        <w:rPr>
          <w:rFonts w:ascii="Times New Roman" w:cs="Times New Roman" w:eastAsia="Times New Roman" w:hAnsi="Times New Roman"/>
          <w:sz w:val="20"/>
          <w:szCs w:val="20"/>
          <w:b w:val="1"/>
          <w:bCs w:val="1"/>
          <w:color w:val="auto"/>
        </w:rPr>
      </w:pPr>
    </w:p>
    <w:p>
      <w:pPr>
        <w:ind w:left="60" w:right="139" w:firstLine="1286"/>
        <w:spacing w:after="0" w:line="238" w:lineRule="auto"/>
        <w:tabs>
          <w:tab w:leader="none" w:pos="2004"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Waiver of Rights. </w:t>
      </w:r>
      <w:r>
        <w:rPr>
          <w:rFonts w:ascii="Times New Roman" w:cs="Times New Roman" w:eastAsia="Times New Roman" w:hAnsi="Times New Roman"/>
          <w:sz w:val="22"/>
          <w:szCs w:val="22"/>
          <w:color w:val="auto"/>
        </w:rPr>
        <w:t>Neither party shall be deemed to have waived any right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remedy that 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-5636260</wp:posOffset>
            </wp:positionV>
            <wp:extent cx="575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-5190490</wp:posOffset>
            </wp:positionV>
            <wp:extent cx="1774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-4744720</wp:posOffset>
            </wp:positionV>
            <wp:extent cx="13906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065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-2464435</wp:posOffset>
            </wp:positionV>
            <wp:extent cx="11963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634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-1864360</wp:posOffset>
            </wp:positionV>
            <wp:extent cx="2218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1869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-647065</wp:posOffset>
            </wp:positionV>
            <wp:extent cx="1024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22"/>
          <w:szCs w:val="22"/>
          <w:color w:val="auto"/>
        </w:rPr>
        <w:t>remedy or of any subsequent right or remedy of the same kind.</w:t>
      </w:r>
    </w:p>
    <w:p>
      <w:pPr>
        <w:spacing w:after="0" w:line="203" w:lineRule="exact"/>
        <w:rPr>
          <w:sz w:val="20"/>
          <w:szCs w:val="20"/>
          <w:color w:val="auto"/>
        </w:rPr>
      </w:pPr>
    </w:p>
    <w:p>
      <w:pPr>
        <w:ind w:left="60" w:right="119" w:firstLine="1286"/>
        <w:spacing w:after="0" w:line="247" w:lineRule="auto"/>
        <w:tabs>
          <w:tab w:leader="none" w:pos="2004" w:val="left"/>
        </w:tabs>
        <w:numPr>
          <w:ilvl w:val="1"/>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Headings; Gender and Number</w:t>
      </w:r>
      <w:r>
        <w:rPr>
          <w:rFonts w:ascii="Times New Roman" w:cs="Times New Roman" w:eastAsia="Times New Roman" w:hAnsi="Times New Roman"/>
          <w:sz w:val="21"/>
          <w:szCs w:val="21"/>
          <w:color w:val="auto"/>
        </w:rPr>
        <w:t>. The headings contained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for 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refers to any natural person, corporation, partnership, limited liability company or other association or entity, as applicable.</w:t>
      </w:r>
    </w:p>
    <w:p>
      <w:pPr>
        <w:spacing w:after="0" w:line="171" w:lineRule="exact"/>
        <w:rPr>
          <w:rFonts w:ascii="Times New Roman" w:cs="Times New Roman" w:eastAsia="Times New Roman" w:hAnsi="Times New Roman"/>
          <w:sz w:val="19"/>
          <w:szCs w:val="19"/>
          <w:b w:val="1"/>
          <w:bCs w:val="1"/>
          <w:color w:val="auto"/>
        </w:rPr>
      </w:pPr>
    </w:p>
    <w:p>
      <w:pPr>
        <w:ind w:left="60" w:right="59" w:firstLine="1286"/>
        <w:spacing w:after="0" w:line="236" w:lineRule="auto"/>
        <w:tabs>
          <w:tab w:leader="none" w:pos="2004"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Representation of the Employee; Interpretation of This Agreement.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75" w:lineRule="exact"/>
        <w:rPr>
          <w:rFonts w:ascii="Times New Roman" w:cs="Times New Roman" w:eastAsia="Times New Roman" w:hAnsi="Times New Roman"/>
          <w:sz w:val="20"/>
          <w:szCs w:val="20"/>
          <w:b w:val="1"/>
          <w:bCs w:val="1"/>
          <w:color w:val="auto"/>
        </w:rPr>
      </w:pPr>
    </w:p>
    <w:p>
      <w:pPr>
        <w:ind w:left="60" w:right="139" w:firstLine="1286"/>
        <w:spacing w:after="0" w:line="246" w:lineRule="auto"/>
        <w:tabs>
          <w:tab w:leader="none" w:pos="2004"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counterparts 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facsimile or electronic transmission in PDF format, each of which will be deemed an original but both of which together will constitute a single instrument.</w:t>
      </w:r>
    </w:p>
    <w:p>
      <w:pPr>
        <w:spacing w:after="0" w:line="167" w:lineRule="exact"/>
        <w:rPr>
          <w:rFonts w:ascii="Times New Roman" w:cs="Times New Roman" w:eastAsia="Times New Roman" w:hAnsi="Times New Roman"/>
          <w:sz w:val="20"/>
          <w:szCs w:val="20"/>
          <w:b w:val="1"/>
          <w:bCs w:val="1"/>
          <w:color w:val="auto"/>
        </w:rPr>
      </w:pPr>
    </w:p>
    <w:p>
      <w:pPr>
        <w:ind w:left="60" w:right="479" w:firstLine="1286"/>
        <w:spacing w:after="0" w:line="262" w:lineRule="auto"/>
        <w:tabs>
          <w:tab w:leader="none" w:pos="2004"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Governing Laws. </w:t>
      </w:r>
      <w:r>
        <w:rPr>
          <w:rFonts w:ascii="Times New Roman" w:cs="Times New Roman" w:eastAsia="Times New Roman" w:hAnsi="Times New Roman"/>
          <w:sz w:val="22"/>
          <w:szCs w:val="22"/>
          <w:color w:val="auto"/>
        </w:rPr>
        <w:t>This Agreement shall be governed by, and construed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in accordance with, the internal laws of the State of California.</w:t>
      </w:r>
    </w:p>
    <w:p>
      <w:pPr>
        <w:spacing w:after="0" w:line="149" w:lineRule="exact"/>
        <w:rPr>
          <w:rFonts w:ascii="Times New Roman" w:cs="Times New Roman" w:eastAsia="Times New Roman" w:hAnsi="Times New Roman"/>
          <w:sz w:val="20"/>
          <w:szCs w:val="20"/>
          <w:b w:val="1"/>
          <w:bCs w:val="1"/>
          <w:color w:val="auto"/>
        </w:rPr>
      </w:pPr>
    </w:p>
    <w:p>
      <w:pPr>
        <w:ind w:left="1340" w:hanging="642"/>
        <w:spacing w:after="0"/>
        <w:tabs>
          <w:tab w:leader="none" w:pos="13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p>
    <w:p>
      <w:pPr>
        <w:spacing w:after="0" w:line="206" w:lineRule="exact"/>
        <w:rPr>
          <w:rFonts w:ascii="Times New Roman" w:cs="Times New Roman" w:eastAsia="Times New Roman" w:hAnsi="Times New Roman"/>
          <w:sz w:val="22"/>
          <w:szCs w:val="22"/>
          <w:b w:val="1"/>
          <w:bCs w:val="1"/>
          <w:color w:val="auto"/>
        </w:rPr>
      </w:pPr>
    </w:p>
    <w:p>
      <w:pPr>
        <w:ind w:left="60" w:right="119" w:firstLine="1286"/>
        <w:spacing w:after="0" w:line="245" w:lineRule="auto"/>
        <w:tabs>
          <w:tab w:leader="none" w:pos="2004"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Submission to Arbitration. </w:t>
      </w:r>
      <w:r>
        <w:rPr>
          <w:rFonts w:ascii="Times New Roman" w:cs="Times New Roman" w:eastAsia="Times New Roman" w:hAnsi="Times New Roman"/>
          <w:sz w:val="21"/>
          <w:szCs w:val="21"/>
          <w:color w:val="auto"/>
        </w:rPr>
        <w:t>Any dispute, controversy or claim arising out of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-4440555</wp:posOffset>
            </wp:positionV>
            <wp:extent cx="393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3890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-3223260</wp:posOffset>
            </wp:positionV>
            <wp:extent cx="826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677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-2623185</wp:posOffset>
            </wp:positionV>
            <wp:extent cx="10058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584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-2177415</wp:posOffset>
            </wp:positionV>
            <wp:extent cx="1007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7110"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-1885950</wp:posOffset>
            </wp:positionV>
            <wp:extent cx="15659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60" w:right="99"/>
        <w:spacing w:after="0" w:line="235" w:lineRule="auto"/>
        <w:rPr>
          <w:sz w:val="20"/>
          <w:szCs w:val="20"/>
          <w:color w:val="auto"/>
        </w:rPr>
      </w:pPr>
      <w:r>
        <w:rPr>
          <w:rFonts w:ascii="Times New Roman" w:cs="Times New Roman" w:eastAsia="Times New Roman" w:hAnsi="Times New Roman"/>
          <w:sz w:val="22"/>
          <w:szCs w:val="22"/>
          <w:color w:val="auto"/>
        </w:rPr>
        <w:t xml:space="preserve">VII of the Civil Rights Act of 1964; California Government Code Section 12960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any other federal, state or local anti-discrimination laws relating to discrimination, 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177" w:lineRule="exact"/>
        <w:rPr>
          <w:sz w:val="20"/>
          <w:szCs w:val="20"/>
          <w:color w:val="auto"/>
        </w:rPr>
      </w:pPr>
    </w:p>
    <w:p>
      <w:pPr>
        <w:ind w:left="60" w:right="79" w:firstLine="1286"/>
        <w:spacing w:after="0" w:line="234" w:lineRule="auto"/>
        <w:tabs>
          <w:tab w:leader="none" w:pos="200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Exclusion of Claims. </w:t>
      </w:r>
      <w:r>
        <w:rPr>
          <w:rFonts w:ascii="Times New Roman" w:cs="Times New Roman" w:eastAsia="Times New Roman" w:hAnsi="Times New Roman"/>
          <w:sz w:val="22"/>
          <w:szCs w:val="22"/>
          <w:color w:val="auto"/>
        </w:rPr>
        <w:t>The following claims are expressly excluded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this 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79" w:lineRule="exact"/>
        <w:rPr>
          <w:rFonts w:ascii="Times New Roman" w:cs="Times New Roman" w:eastAsia="Times New Roman" w:hAnsi="Times New Roman"/>
          <w:sz w:val="22"/>
          <w:szCs w:val="22"/>
          <w:b w:val="1"/>
          <w:bCs w:val="1"/>
          <w:color w:val="auto"/>
        </w:rPr>
      </w:pPr>
    </w:p>
    <w:p>
      <w:pPr>
        <w:ind w:left="60" w:right="79" w:firstLine="1286"/>
        <w:spacing w:after="0" w:line="235" w:lineRule="auto"/>
        <w:tabs>
          <w:tab w:leader="none" w:pos="200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Provider and Rules. </w:t>
      </w:r>
      <w:r>
        <w:rPr>
          <w:rFonts w:ascii="Times New Roman" w:cs="Times New Roman" w:eastAsia="Times New Roman" w:hAnsi="Times New Roman"/>
          <w:sz w:val="22"/>
          <w:szCs w:val="22"/>
          <w:color w:val="auto"/>
        </w:rPr>
        <w:t>Any claim arising between the Employee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w:t>
      </w:r>
      <w:r>
        <w:rPr>
          <w:rFonts w:ascii="Times New Roman" w:cs="Times New Roman" w:eastAsia="Times New Roman" w:hAnsi="Times New Roman"/>
          <w:sz w:val="22"/>
          <w:szCs w:val="22"/>
          <w:u w:val="single" w:color="auto"/>
          <w:color w:val="auto"/>
        </w:rPr>
        <w:t>https://www.jamsadr.com/rules-employment-arbitration/</w:t>
      </w:r>
      <w:r>
        <w:rPr>
          <w:rFonts w:ascii="Times New Roman" w:cs="Times New Roman" w:eastAsia="Times New Roman" w:hAnsi="Times New Roman"/>
          <w:sz w:val="22"/>
          <w:szCs w:val="22"/>
          <w:color w:val="auto"/>
        </w:rPr>
        <w:t xml:space="preserve">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3" w:lineRule="exact"/>
        <w:rPr>
          <w:rFonts w:ascii="Times New Roman" w:cs="Times New Roman" w:eastAsia="Times New Roman" w:hAnsi="Times New Roman"/>
          <w:sz w:val="22"/>
          <w:szCs w:val="22"/>
          <w:b w:val="1"/>
          <w:bCs w:val="1"/>
          <w:color w:val="auto"/>
        </w:rPr>
      </w:pPr>
    </w:p>
    <w:p>
      <w:pPr>
        <w:ind w:left="60" w:right="339" w:firstLine="1286"/>
        <w:spacing w:after="0" w:line="237" w:lineRule="auto"/>
        <w:tabs>
          <w:tab w:leader="none" w:pos="200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Written Award Required. </w:t>
      </w:r>
      <w:r>
        <w:rPr>
          <w:rFonts w:ascii="Times New Roman" w:cs="Times New Roman" w:eastAsia="Times New Roman" w:hAnsi="Times New Roman"/>
          <w:sz w:val="22"/>
          <w:szCs w:val="22"/>
          <w:color w:val="auto"/>
        </w:rPr>
        <w:t>The arbitrator must issue a written award.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shall, 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75" w:lineRule="exact"/>
        <w:rPr>
          <w:rFonts w:ascii="Times New Roman" w:cs="Times New Roman" w:eastAsia="Times New Roman" w:hAnsi="Times New Roman"/>
          <w:sz w:val="22"/>
          <w:szCs w:val="22"/>
          <w:b w:val="1"/>
          <w:bCs w:val="1"/>
          <w:color w:val="auto"/>
        </w:rPr>
      </w:pPr>
    </w:p>
    <w:p>
      <w:pPr>
        <w:ind w:left="60" w:right="59" w:firstLine="1286"/>
        <w:spacing w:after="0" w:line="246" w:lineRule="auto"/>
        <w:tabs>
          <w:tab w:leader="none" w:pos="200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Fees and Costs. </w:t>
      </w:r>
      <w:r>
        <w:rPr>
          <w:rFonts w:ascii="Times New Roman" w:cs="Times New Roman" w:eastAsia="Times New Roman" w:hAnsi="Times New Roman"/>
          <w:sz w:val="22"/>
          <w:szCs w:val="22"/>
          <w:color w:val="auto"/>
        </w:rPr>
        <w:t>To the extent required by law, the Employer shall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arbitrator’s fees and other administrative costs of arbitration, and other reasonable costs as specified by the arbitrator under applicable law so that Employee does not have to bear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-4613910</wp:posOffset>
            </wp:positionV>
            <wp:extent cx="12001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-2933700</wp:posOffset>
            </wp:positionV>
            <wp:extent cx="18796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7960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-1407795</wp:posOffset>
            </wp:positionV>
            <wp:extent cx="1504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495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-344805</wp:posOffset>
            </wp:positionV>
            <wp:extent cx="9029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 w:name="page19"/>
    <w:bookmarkEnd w:id="18"/>
    <w:p>
      <w:pPr>
        <w:ind w:left="60" w:right="99"/>
        <w:spacing w:after="0" w:line="244" w:lineRule="auto"/>
        <w:rPr>
          <w:sz w:val="20"/>
          <w:szCs w:val="20"/>
          <w:color w:val="auto"/>
        </w:rPr>
      </w:pPr>
      <w:r>
        <w:rPr>
          <w:rFonts w:ascii="Times New Roman" w:cs="Times New Roman" w:eastAsia="Times New Roman" w:hAnsi="Times New Roman"/>
          <w:sz w:val="22"/>
          <w:szCs w:val="22"/>
          <w:color w:val="auto"/>
        </w:rPr>
        <w:t>cost which he would not have to bear in court beyond any amount which would have to be paid as a filing fee in a superior court. The arbitrator may award attorneys’ fees and costs to the prevailing party to the extent allowed by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60" w:right="899"/>
        <w:spacing w:after="0" w:line="259" w:lineRule="auto"/>
        <w:rPr>
          <w:sz w:val="20"/>
          <w:szCs w:val="20"/>
          <w:color w:val="auto"/>
        </w:rPr>
      </w:pPr>
      <w:r>
        <w:rPr>
          <w:rFonts w:ascii="Times New Roman" w:cs="Times New Roman" w:eastAsia="Times New Roman" w:hAnsi="Times New Roman"/>
          <w:sz w:val="22"/>
          <w:szCs w:val="22"/>
          <w:color w:val="auto"/>
        </w:rPr>
        <w:t>IN WITNESS WHEREOF, the Employer and the Employee have executed and delivered this Agreement as of the date first written above.</w:t>
      </w:r>
    </w:p>
    <w:p>
      <w:pPr>
        <w:spacing w:after="0" w:line="1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-151130</wp:posOffset>
            </wp:positionV>
            <wp:extent cx="2820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Title: Chief Executive Officer</w:t>
      </w:r>
    </w:p>
    <w:p>
      <w:pPr>
        <w:ind w:left="4520"/>
        <w:spacing w:after="0" w:line="230" w:lineRule="auto"/>
        <w:rPr>
          <w:sz w:val="20"/>
          <w:szCs w:val="20"/>
          <w:color w:val="auto"/>
        </w:rPr>
      </w:pPr>
      <w:r>
        <w:rPr>
          <w:rFonts w:ascii="Times New Roman" w:cs="Times New Roman" w:eastAsia="Times New Roman" w:hAnsi="Times New Roman"/>
          <w:sz w:val="22"/>
          <w:szCs w:val="22"/>
          <w:color w:val="auto"/>
        </w:rPr>
        <w:t>Current Address:</w:t>
      </w:r>
    </w:p>
    <w:p>
      <w:pPr>
        <w:spacing w:after="0" w:line="1"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22"/>
          <w:szCs w:val="22"/>
          <w:color w:val="auto"/>
        </w:rPr>
        <w:t>1141A Cummings Road Santa Paula, CA 93060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-151130</wp:posOffset>
            </wp:positionV>
            <wp:extent cx="28200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11"/>
    </w:lvl>
  </w:abstractNum>
  <w:abstractNum w:abstractNumId="2">
    <w:nsid w:val="7FDCC233"/>
    <w:multiLevelType w:val="hybridMultilevel"/>
    <w:lvl w:ilvl="0">
      <w:lvlJc w:val="left"/>
      <w:lvlText w:val="%1"/>
      <w:numFmt w:val="decimal"/>
      <w:start w:val="104"/>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lvl w:ilvl="1">
      <w:lvlJc w:val="left"/>
      <w:lvlText w:val="(%2)"/>
      <w:numFmt w:val="lowerLetter"/>
      <w:start w:val="1"/>
    </w:lvl>
  </w:abstractNum>
  <w:abstractNum w:abstractNumId="5">
    <w:nsid w:val="6B68079A"/>
    <w:multiLevelType w:val="hybridMultilevel"/>
    <w:lvl w:ilvl="0">
      <w:lvlJc w:val="left"/>
      <w:lvlText w:val="%1"/>
      <w:numFmt w:val="decimal"/>
      <w:start w:val="1"/>
    </w:lvl>
    <w:lvl w:ilvl="1">
      <w:lvlJc w:val="left"/>
      <w:lvlText w:val="(%2)"/>
      <w:numFmt w:val="lowerLetter"/>
      <w:start w:val="3"/>
    </w:lvl>
  </w:abstractNum>
  <w:abstractNum w:abstractNumId="6">
    <w:nsid w:val="4E6AFB66"/>
    <w:multiLevelType w:val="hybridMultilevel"/>
    <w:lvl w:ilvl="0">
      <w:lvlJc w:val="left"/>
      <w:lvlText w:val="%1."/>
      <w:numFmt w:val="decimal"/>
      <w:start w:val="3"/>
    </w:lvl>
    <w:lvl w:ilvl="1">
      <w:lvlJc w:val="left"/>
      <w:lvlText w:val="(%2)"/>
      <w:numFmt w:val="lowerLetter"/>
      <w:start w:val="1"/>
    </w:lvl>
  </w:abstractNum>
  <w:abstractNum w:abstractNumId="7">
    <w:nsid w:val="25E45D32"/>
    <w:multiLevelType w:val="hybridMultilevel"/>
    <w:lvl w:ilvl="0">
      <w:lvlJc w:val="left"/>
      <w:lvlText w:val="(%1)"/>
      <w:numFmt w:val="lowerLetter"/>
      <w:start w:val="2"/>
    </w:lvl>
    <w:lvl w:ilvl="1">
      <w:lvlJc w:val="left"/>
      <w:lvlText w:val="(%2)"/>
      <w:numFmt w:val="lowerRoman"/>
      <w:start w:val="1"/>
    </w:lvl>
  </w:abstractNum>
  <w:abstractNum w:abstractNumId="8">
    <w:nsid w:val="519B500D"/>
    <w:multiLevelType w:val="hybridMultilevel"/>
    <w:lvl w:ilvl="0">
      <w:lvlJc w:val="left"/>
      <w:lvlText w:val="%1"/>
      <w:numFmt w:val="lowerLetter"/>
      <w:start w:val="1"/>
    </w:lvl>
    <w:lvl w:ilvl="1">
      <w:lvlJc w:val="left"/>
      <w:lvlText w:val="(%2)"/>
      <w:numFmt w:val="lowerLetter"/>
      <w:start w:val="3"/>
    </w:lvl>
  </w:abstractNum>
  <w:abstractNum w:abstractNumId="9">
    <w:nsid w:val="431BD7B7"/>
    <w:multiLevelType w:val="hybridMultilevel"/>
    <w:lvl w:ilvl="0">
      <w:lvlJc w:val="left"/>
      <w:lvlText w:val="(%1)"/>
      <w:numFmt w:val="lowerLetter"/>
      <w:start w:val="4"/>
    </w:lvl>
    <w:lvl w:ilvl="1">
      <w:lvlJc w:val="left"/>
      <w:lvlText w:val="(%2)"/>
      <w:numFmt w:val="lowerLetter"/>
      <w:start w:val="9"/>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lowerLetter"/>
      <w:start w:val="5"/>
    </w:lvl>
  </w:abstractNum>
  <w:abstractNum w:abstractNumId="12">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3">
    <w:nsid w:val="62BBD95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4">
    <w:nsid w:val="436C61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628C895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lowerRoman"/>
      <w:start w:val="3"/>
    </w:lvl>
  </w:abstractNum>
  <w:abstractNum w:abstractNumId="17">
    <w:nsid w:val="721DA317"/>
    <w:multiLevelType w:val="hybridMultilevel"/>
    <w:lvl w:ilvl="0">
      <w:lvlJc w:val="left"/>
      <w:lvlText w:val="%1."/>
      <w:numFmt w:val="decimal"/>
      <w:start w:val="6"/>
    </w:lvl>
    <w:lvl w:ilvl="1">
      <w:lvlJc w:val="left"/>
      <w:lvlText w:val="(%2)"/>
      <w:numFmt w:val="lowerLetter"/>
      <w:start w:val="1"/>
    </w:lvl>
  </w:abstractNum>
  <w:abstractNum w:abstractNumId="18">
    <w:nsid w:val="2443A858"/>
    <w:multiLevelType w:val="hybridMultilevel"/>
    <w:lvl w:ilvl="0">
      <w:lvlJc w:val="left"/>
      <w:lvlText w:val="%1"/>
      <w:numFmt w:val="decimal"/>
      <w:start w:val="1"/>
    </w:lvl>
    <w:lvl w:ilvl="1">
      <w:lvlJc w:val="left"/>
      <w:lvlText w:val="(%2)"/>
      <w:numFmt w:val="lowerLetter"/>
      <w:start w:val="3"/>
    </w:lvl>
  </w:abstractNum>
  <w:abstractNum w:abstractNumId="19">
    <w:nsid w:val="2D1D5AE9"/>
    <w:multiLevelType w:val="hybridMultilevel"/>
    <w:lvl w:ilvl="0">
      <w:lvlJc w:val="left"/>
      <w:lvlText w:val="%1."/>
      <w:numFmt w:val="decimal"/>
      <w:start w:val="7"/>
    </w:lvl>
    <w:lvl w:ilvl="1">
      <w:lvlJc w:val="left"/>
      <w:lvlText w:val="(%2)"/>
      <w:numFmt w:val="low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3"/>
    </w:lvl>
  </w:abstractNum>
  <w:abstractNum w:abstractNumId="21">
    <w:nsid w:val="75A2A8D4"/>
    <w:multiLevelType w:val="hybridMultilevel"/>
    <w:lvl w:ilvl="0">
      <w:lvlJc w:val="left"/>
      <w:lvlText w:val="%1."/>
      <w:numFmt w:val="decimal"/>
      <w:start w:val="8"/>
    </w:lvl>
    <w:lvl w:ilvl="1">
      <w:lvlJc w:val="left"/>
      <w:lvlText w:val="(%2)"/>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decimal"/>
      <w:start w:val="1"/>
    </w:lvl>
    <w:lvl w:ilvl="1">
      <w:lvlJc w:val="left"/>
      <w:lvlText w:val="(%2)"/>
      <w:numFmt w:val="lowerLetter"/>
      <w:start w:val="10"/>
    </w:lvl>
  </w:abstractNum>
  <w:abstractNum w:abstractNumId="24">
    <w:nsid w:val="4353D0CD"/>
    <w:multiLevelType w:val="hybridMultilevel"/>
    <w:lvl w:ilvl="0">
      <w:lvlJc w:val="left"/>
      <w:lvlText w:val="%1."/>
      <w:numFmt w:val="decimal"/>
      <w:start w:val="9"/>
    </w:lvl>
    <w:lvl w:ilvl="1">
      <w:lvlJc w:val="left"/>
      <w:lvlText w:val="(%2)"/>
      <w:numFmt w:val="lowerLetter"/>
      <w:start w:val="1"/>
    </w:lvl>
  </w:abstractNum>
  <w:abstractNum w:abstractNumId="25">
    <w:nsid w:val="B03E0C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2022-06-10T16:06:36Z</dcterms:created>
  <dcterms:modified xsi:type="dcterms:W3CDTF">2022-06-10T16:06:36Z</dcterms:modified>
</cp:coreProperties>
</file>