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Gibson James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1141-A CUMMINGS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Subsidiary Corp.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11/06/2017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69,347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 Gibson 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3 amendment is being filed to correct the original Form 3 filed on November 6, 2017. The amount of securities beneficially owned incorrectly reported only restricted shares held and omitted 61,924 additional shares held directly by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reporting person in the name of The Gibson Family Trust, of which the reporting person is a trustee and in which the reporting person has a pecuniary interest. These shares were omitted on the original Form 3 filed on November 6, 2017.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21830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2020-01-16T05:56:05Z</dcterms:created>
  <dcterms:modified xsi:type="dcterms:W3CDTF">2020-01-16T05:56:05Z</dcterms:modified>
</cp:coreProperties>
</file>