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474980</wp:posOffset>
            </wp:positionH>
            <wp:positionV relativeFrom="page">
              <wp:posOffset>157480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page">
              <wp:posOffset>474980</wp:posOffset>
            </wp:positionH>
            <wp:positionV relativeFrom="page">
              <wp:posOffset>200660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t>UNITED STATES</w:t>
      </w:r>
    </w:p>
    <w:p>
      <w:pPr>
        <w:spacing w:after="0" w:line="25"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WASHINGTON, D.C. 20549</w:t>
      </w:r>
    </w:p>
    <w:p>
      <w:pPr>
        <w:spacing w:after="0" w:line="80"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FORM 10-K/A (Amendment No. 1)</w:t>
      </w:r>
    </w:p>
    <w:p>
      <w:pPr>
        <w:spacing w:after="0" w:line="100" w:lineRule="exact"/>
        <w:rPr>
          <w:sz w:val="24"/>
          <w:szCs w:val="24"/>
          <w:color w:val="auto"/>
        </w:rPr>
      </w:pPr>
    </w:p>
    <w:p>
      <w:pPr>
        <w:ind w:left="3569" w:right="2020" w:hanging="3569"/>
        <w:spacing w:after="0" w:line="369" w:lineRule="auto"/>
        <w:tabs>
          <w:tab w:leader="none" w:pos="382"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ANNUAL REPORT PURSUANT TO SECTION 13 OR 15(d) OF THE SECURITIES EXCHANGE ACT OF 1934 For the fiscal year ended October 31, 2018</w:t>
      </w:r>
    </w:p>
    <w:p>
      <w:pPr>
        <w:spacing w:after="0" w:line="1"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OR</w:t>
      </w:r>
    </w:p>
    <w:p>
      <w:pPr>
        <w:spacing w:after="0" w:line="100" w:lineRule="exact"/>
        <w:rPr>
          <w:sz w:val="24"/>
          <w:szCs w:val="24"/>
          <w:color w:val="auto"/>
        </w:rPr>
      </w:pPr>
    </w:p>
    <w:p>
      <w:pPr>
        <w:ind w:left="3829" w:right="1680" w:hanging="3829"/>
        <w:spacing w:after="0" w:line="366" w:lineRule="auto"/>
        <w:tabs>
          <w:tab w:leader="none" w:pos="198"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TRANSITION REPORT PURSUANT TO SECTION 13 OR 15(d) OF THE SECURITIES EXCHANGE ACT OF 1934 Commission file number: 000-33385</w:t>
      </w:r>
    </w:p>
    <w:p>
      <w:pPr>
        <w:spacing w:after="0" w:line="1"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CALAVO GROWERS, INC.</w:t>
      </w:r>
    </w:p>
    <w:p>
      <w:pPr>
        <w:spacing w:after="0" w:line="20" w:lineRule="exact"/>
        <w:rPr>
          <w:sz w:val="24"/>
          <w:szCs w:val="24"/>
          <w:color w:val="auto"/>
        </w:rPr>
      </w:pPr>
    </w:p>
    <w:p>
      <w:pPr>
        <w:jc w:val="center"/>
        <w:ind w:right="-8"/>
        <w:spacing w:after="0"/>
        <w:rPr>
          <w:sz w:val="20"/>
          <w:szCs w:val="20"/>
          <w:color w:val="auto"/>
        </w:rPr>
      </w:pPr>
      <w:r>
        <w:rPr>
          <w:rFonts w:ascii="Arial" w:cs="Arial" w:eastAsia="Arial" w:hAnsi="Arial"/>
          <w:sz w:val="16"/>
          <w:szCs w:val="16"/>
          <w:color w:val="auto"/>
        </w:rPr>
        <w:t>(Exact name of registrant as specified in its charter)</w:t>
      </w:r>
    </w:p>
    <w:p>
      <w:pPr>
        <w:spacing w:after="0" w:line="93" w:lineRule="exact"/>
        <w:rPr>
          <w:sz w:val="24"/>
          <w:szCs w:val="24"/>
          <w:color w:val="auto"/>
        </w:rPr>
      </w:pPr>
    </w:p>
    <w:tbl>
      <w:tblPr>
        <w:tblLayout w:type="fixed"/>
        <w:tblInd w:w="1009" w:type="dxa"/>
        <w:tblCellMar>
          <w:top w:w="0" w:type="dxa"/>
          <w:left w:w="0" w:type="dxa"/>
          <w:bottom w:w="0" w:type="dxa"/>
          <w:right w:w="0" w:type="dxa"/>
        </w:tblCellMar>
      </w:tblPr>
      <w:tr>
        <w:trPr>
          <w:trHeight w:val="209"/>
        </w:trPr>
        <w:tc>
          <w:tcPr>
            <w:tcW w:w="4360" w:type="dxa"/>
            <w:vAlign w:val="bottom"/>
          </w:tcPr>
          <w:p>
            <w:pPr>
              <w:jc w:val="center"/>
              <w:ind w:right="1099"/>
              <w:spacing w:after="0"/>
              <w:rPr>
                <w:sz w:val="20"/>
                <w:szCs w:val="20"/>
                <w:color w:val="auto"/>
              </w:rPr>
            </w:pPr>
            <w:r>
              <w:rPr>
                <w:rFonts w:ascii="Arial" w:cs="Arial" w:eastAsia="Arial" w:hAnsi="Arial"/>
                <w:sz w:val="16"/>
                <w:szCs w:val="16"/>
                <w:b w:val="1"/>
                <w:bCs w:val="1"/>
                <w:color w:val="auto"/>
              </w:rPr>
              <w:t>California</w:t>
            </w:r>
          </w:p>
        </w:tc>
        <w:tc>
          <w:tcPr>
            <w:tcW w:w="3680" w:type="dxa"/>
            <w:vAlign w:val="bottom"/>
          </w:tcPr>
          <w:p>
            <w:pPr>
              <w:jc w:val="right"/>
              <w:ind w:right="739"/>
              <w:spacing w:after="0"/>
              <w:rPr>
                <w:sz w:val="20"/>
                <w:szCs w:val="20"/>
                <w:color w:val="auto"/>
              </w:rPr>
            </w:pPr>
            <w:r>
              <w:rPr>
                <w:rFonts w:ascii="Arial" w:cs="Arial" w:eastAsia="Arial" w:hAnsi="Arial"/>
                <w:sz w:val="16"/>
                <w:szCs w:val="16"/>
                <w:b w:val="1"/>
                <w:bCs w:val="1"/>
                <w:color w:val="auto"/>
              </w:rPr>
              <w:t>33-0945304</w:t>
            </w:r>
          </w:p>
        </w:tc>
      </w:tr>
      <w:tr>
        <w:trPr>
          <w:trHeight w:val="195"/>
        </w:trPr>
        <w:tc>
          <w:tcPr>
            <w:tcW w:w="4360" w:type="dxa"/>
            <w:vAlign w:val="bottom"/>
          </w:tcPr>
          <w:p>
            <w:pPr>
              <w:jc w:val="center"/>
              <w:ind w:right="1079"/>
              <w:spacing w:after="0"/>
              <w:rPr>
                <w:sz w:val="20"/>
                <w:szCs w:val="20"/>
                <w:color w:val="auto"/>
              </w:rPr>
            </w:pPr>
            <w:r>
              <w:rPr>
                <w:rFonts w:ascii="Arial" w:cs="Arial" w:eastAsia="Arial" w:hAnsi="Arial"/>
                <w:sz w:val="16"/>
                <w:szCs w:val="16"/>
                <w:color w:val="auto"/>
              </w:rPr>
              <w:t>(State of incorporation)</w:t>
            </w:r>
          </w:p>
        </w:tc>
        <w:tc>
          <w:tcPr>
            <w:tcW w:w="3680" w:type="dxa"/>
            <w:vAlign w:val="bottom"/>
          </w:tcPr>
          <w:p>
            <w:pPr>
              <w:jc w:val="center"/>
              <w:ind w:left="1099"/>
              <w:spacing w:after="0"/>
              <w:rPr>
                <w:sz w:val="20"/>
                <w:szCs w:val="20"/>
                <w:color w:val="auto"/>
              </w:rPr>
            </w:pPr>
            <w:r>
              <w:rPr>
                <w:rFonts w:ascii="Arial" w:cs="Arial" w:eastAsia="Arial" w:hAnsi="Arial"/>
                <w:sz w:val="16"/>
                <w:szCs w:val="16"/>
                <w:color w:val="auto"/>
              </w:rPr>
              <w:t>(I.R.S. Employer Identification No.)</w:t>
            </w:r>
          </w:p>
        </w:tc>
      </w:tr>
      <w:tr>
        <w:trPr>
          <w:trHeight w:val="373"/>
        </w:trPr>
        <w:tc>
          <w:tcPr>
            <w:tcW w:w="4360" w:type="dxa"/>
            <w:vAlign w:val="bottom"/>
          </w:tcPr>
          <w:p>
            <w:pPr>
              <w:jc w:val="center"/>
              <w:ind w:right="1079"/>
              <w:spacing w:after="0"/>
              <w:rPr>
                <w:sz w:val="20"/>
                <w:szCs w:val="20"/>
                <w:color w:val="auto"/>
              </w:rPr>
            </w:pPr>
            <w:r>
              <w:rPr>
                <w:rFonts w:ascii="Arial" w:cs="Arial" w:eastAsia="Arial" w:hAnsi="Arial"/>
                <w:sz w:val="16"/>
                <w:szCs w:val="16"/>
                <w:b w:val="1"/>
                <w:bCs w:val="1"/>
                <w:color w:val="auto"/>
              </w:rPr>
              <w:t>1141-A Cummings Road, Santa Paula, CA</w:t>
            </w:r>
          </w:p>
        </w:tc>
        <w:tc>
          <w:tcPr>
            <w:tcW w:w="3680" w:type="dxa"/>
            <w:vAlign w:val="bottom"/>
          </w:tcPr>
          <w:p>
            <w:pPr>
              <w:jc w:val="right"/>
              <w:ind w:right="939"/>
              <w:spacing w:after="0"/>
              <w:rPr>
                <w:sz w:val="20"/>
                <w:szCs w:val="20"/>
                <w:color w:val="auto"/>
              </w:rPr>
            </w:pPr>
            <w:r>
              <w:rPr>
                <w:rFonts w:ascii="Arial" w:cs="Arial" w:eastAsia="Arial" w:hAnsi="Arial"/>
                <w:sz w:val="16"/>
                <w:szCs w:val="16"/>
                <w:b w:val="1"/>
                <w:bCs w:val="1"/>
                <w:color w:val="auto"/>
              </w:rPr>
              <w:t>93060</w:t>
            </w:r>
          </w:p>
        </w:tc>
      </w:tr>
      <w:tr>
        <w:trPr>
          <w:trHeight w:val="195"/>
        </w:trPr>
        <w:tc>
          <w:tcPr>
            <w:tcW w:w="4360" w:type="dxa"/>
            <w:vAlign w:val="bottom"/>
          </w:tcPr>
          <w:p>
            <w:pPr>
              <w:jc w:val="center"/>
              <w:ind w:right="1099"/>
              <w:spacing w:after="0"/>
              <w:rPr>
                <w:sz w:val="20"/>
                <w:szCs w:val="20"/>
                <w:color w:val="auto"/>
              </w:rPr>
            </w:pPr>
            <w:r>
              <w:rPr>
                <w:rFonts w:ascii="Arial" w:cs="Arial" w:eastAsia="Arial" w:hAnsi="Arial"/>
                <w:sz w:val="16"/>
                <w:szCs w:val="16"/>
                <w:color w:val="auto"/>
              </w:rPr>
              <w:t>(Address of principal executive offices)</w:t>
            </w:r>
          </w:p>
        </w:tc>
        <w:tc>
          <w:tcPr>
            <w:tcW w:w="3680" w:type="dxa"/>
            <w:vAlign w:val="bottom"/>
          </w:tcPr>
          <w:p>
            <w:pPr>
              <w:jc w:val="center"/>
              <w:ind w:left="1099"/>
              <w:spacing w:after="0"/>
              <w:rPr>
                <w:sz w:val="20"/>
                <w:szCs w:val="20"/>
                <w:color w:val="auto"/>
              </w:rPr>
            </w:pPr>
            <w:r>
              <w:rPr>
                <w:rFonts w:ascii="Arial" w:cs="Arial" w:eastAsia="Arial" w:hAnsi="Arial"/>
                <w:sz w:val="16"/>
                <w:szCs w:val="16"/>
                <w:color w:val="auto"/>
              </w:rPr>
              <w:t>(Zip code)</w:t>
            </w:r>
          </w:p>
        </w:tc>
      </w:tr>
    </w:tbl>
    <w:p>
      <w:pPr>
        <w:spacing w:after="0" w:line="69"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Registrant's telephone number, including area code: (805) 525-1245</w:t>
      </w:r>
    </w:p>
    <w:p>
      <w:pPr>
        <w:spacing w:after="0" w:line="100"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13" w:lineRule="exact"/>
        <w:rPr>
          <w:sz w:val="24"/>
          <w:szCs w:val="24"/>
          <w:color w:val="auto"/>
        </w:rPr>
      </w:pPr>
    </w:p>
    <w:tbl>
      <w:tblPr>
        <w:tblLayout w:type="fixed"/>
        <w:tblInd w:w="1269" w:type="dxa"/>
        <w:tblCellMar>
          <w:top w:w="0" w:type="dxa"/>
          <w:left w:w="0" w:type="dxa"/>
          <w:bottom w:w="0" w:type="dxa"/>
          <w:right w:w="0" w:type="dxa"/>
        </w:tblCellMar>
      </w:tblPr>
      <w:tr>
        <w:trPr>
          <w:trHeight w:val="189"/>
        </w:trPr>
        <w:tc>
          <w:tcPr>
            <w:tcW w:w="9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20" w:type="dxa"/>
            <w:vAlign w:val="bottom"/>
            <w:gridSpan w:val="3"/>
          </w:tcPr>
          <w:p>
            <w:pPr>
              <w:jc w:val="center"/>
              <w:ind w:left="1119"/>
              <w:spacing w:after="0"/>
              <w:rPr>
                <w:sz w:val="20"/>
                <w:szCs w:val="20"/>
                <w:color w:val="auto"/>
              </w:rPr>
            </w:pPr>
            <w:r>
              <w:rPr>
                <w:rFonts w:ascii="Arial" w:cs="Arial" w:eastAsia="Arial" w:hAnsi="Arial"/>
                <w:sz w:val="16"/>
                <w:szCs w:val="16"/>
                <w:b w:val="1"/>
                <w:bCs w:val="1"/>
                <w:color w:val="auto"/>
              </w:rPr>
              <w:t>Name Of Each Exchange</w:t>
            </w:r>
          </w:p>
        </w:tc>
      </w:tr>
      <w:tr>
        <w:trPr>
          <w:trHeight w:val="180"/>
        </w:trPr>
        <w:tc>
          <w:tcPr>
            <w:tcW w:w="960" w:type="dxa"/>
            <w:vAlign w:val="bottom"/>
          </w:tcPr>
          <w:p>
            <w:pPr>
              <w:spacing w:after="0"/>
              <w:rPr>
                <w:sz w:val="15"/>
                <w:szCs w:val="15"/>
                <w:color w:val="auto"/>
              </w:rPr>
            </w:pPr>
          </w:p>
        </w:tc>
        <w:tc>
          <w:tcPr>
            <w:tcW w:w="14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rPr>
              <w:t>Title of Each Class</w:t>
            </w:r>
          </w:p>
        </w:tc>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rPr>
              <w:t>On Which Registered</w:t>
            </w:r>
          </w:p>
        </w:tc>
        <w:tc>
          <w:tcPr>
            <w:tcW w:w="280" w:type="dxa"/>
            <w:vAlign w:val="bottom"/>
          </w:tcPr>
          <w:p>
            <w:pPr>
              <w:spacing w:after="0"/>
              <w:rPr>
                <w:sz w:val="15"/>
                <w:szCs w:val="15"/>
                <w:color w:val="auto"/>
              </w:rPr>
            </w:pPr>
          </w:p>
        </w:tc>
      </w:tr>
      <w:tr>
        <w:trPr>
          <w:trHeight w:val="208"/>
        </w:trPr>
        <w:tc>
          <w:tcPr>
            <w:tcW w:w="4560" w:type="dxa"/>
            <w:vAlign w:val="bottom"/>
            <w:gridSpan w:val="3"/>
          </w:tcPr>
          <w:p>
            <w:pPr>
              <w:jc w:val="center"/>
              <w:ind w:right="1220"/>
              <w:spacing w:after="0"/>
              <w:rPr>
                <w:sz w:val="20"/>
                <w:szCs w:val="20"/>
                <w:color w:val="auto"/>
              </w:rPr>
            </w:pPr>
            <w:r>
              <w:rPr>
                <w:rFonts w:ascii="Arial" w:cs="Arial" w:eastAsia="Arial" w:hAnsi="Arial"/>
                <w:sz w:val="16"/>
                <w:szCs w:val="16"/>
                <w:b w:val="1"/>
                <w:bCs w:val="1"/>
                <w:color w:val="auto"/>
              </w:rPr>
              <w:t>Common Stock, $0.001 Par Value per Share</w:t>
            </w:r>
          </w:p>
        </w:tc>
        <w:tc>
          <w:tcPr>
            <w:tcW w:w="3420" w:type="dxa"/>
            <w:vAlign w:val="bottom"/>
            <w:gridSpan w:val="3"/>
          </w:tcPr>
          <w:p>
            <w:pPr>
              <w:jc w:val="center"/>
              <w:ind w:left="1119"/>
              <w:spacing w:after="0"/>
              <w:rPr>
                <w:sz w:val="20"/>
                <w:szCs w:val="20"/>
                <w:color w:val="auto"/>
              </w:rPr>
            </w:pPr>
            <w:r>
              <w:rPr>
                <w:rFonts w:ascii="Arial" w:cs="Arial" w:eastAsia="Arial" w:hAnsi="Arial"/>
                <w:sz w:val="16"/>
                <w:szCs w:val="16"/>
                <w:b w:val="1"/>
                <w:bCs w:val="1"/>
                <w:color w:val="auto"/>
              </w:rPr>
              <w:t>Nasdaq Global Select Market</w:t>
            </w:r>
          </w:p>
        </w:tc>
      </w:tr>
    </w:tbl>
    <w:p>
      <w:pPr>
        <w:spacing w:after="0" w:line="64"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122" w:lineRule="exact"/>
        <w:rPr>
          <w:sz w:val="24"/>
          <w:szCs w:val="24"/>
          <w:color w:val="auto"/>
        </w:rPr>
      </w:pPr>
    </w:p>
    <w:p>
      <w:pPr>
        <w:ind w:left="269"/>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1" w:lineRule="exact"/>
        <w:rPr>
          <w:sz w:val="24"/>
          <w:szCs w:val="24"/>
          <w:color w:val="auto"/>
        </w:rPr>
      </w:pPr>
    </w:p>
    <w:p>
      <w:pPr>
        <w:ind w:left="269"/>
        <w:spacing w:after="0"/>
        <w:rPr>
          <w:sz w:val="20"/>
          <w:szCs w:val="20"/>
          <w:color w:val="auto"/>
        </w:rPr>
      </w:pPr>
      <w:r>
        <w:rPr>
          <w:rFonts w:ascii="Arial" w:cs="Arial" w:eastAsia="Arial" w:hAnsi="Arial"/>
          <w:sz w:val="14"/>
          <w:szCs w:val="14"/>
          <w:color w:val="auto"/>
        </w:rPr>
        <w:t>Yes [X] No [ ]</w:t>
      </w:r>
    </w:p>
    <w:p>
      <w:pPr>
        <w:spacing w:after="0" w:line="96" w:lineRule="exact"/>
        <w:rPr>
          <w:sz w:val="24"/>
          <w:szCs w:val="24"/>
          <w:color w:val="auto"/>
        </w:rPr>
      </w:pPr>
    </w:p>
    <w:p>
      <w:pPr>
        <w:ind w:left="269"/>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1" w:lineRule="exact"/>
        <w:rPr>
          <w:sz w:val="24"/>
          <w:szCs w:val="24"/>
          <w:color w:val="auto"/>
        </w:rPr>
      </w:pPr>
    </w:p>
    <w:p>
      <w:pPr>
        <w:ind w:left="269"/>
        <w:spacing w:after="0"/>
        <w:rPr>
          <w:sz w:val="20"/>
          <w:szCs w:val="20"/>
          <w:color w:val="auto"/>
        </w:rPr>
      </w:pPr>
      <w:r>
        <w:rPr>
          <w:rFonts w:ascii="Arial" w:cs="Arial" w:eastAsia="Arial" w:hAnsi="Arial"/>
          <w:sz w:val="14"/>
          <w:szCs w:val="14"/>
          <w:color w:val="auto"/>
        </w:rPr>
        <w:t>Yes [ ] No [X]</w:t>
      </w:r>
    </w:p>
    <w:p>
      <w:pPr>
        <w:spacing w:after="0" w:line="96" w:lineRule="exact"/>
        <w:rPr>
          <w:sz w:val="24"/>
          <w:szCs w:val="24"/>
          <w:color w:val="auto"/>
        </w:rPr>
      </w:pPr>
    </w:p>
    <w:p>
      <w:pPr>
        <w:jc w:val="both"/>
        <w:ind w:left="9" w:firstLine="259"/>
        <w:spacing w:after="0" w:line="25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78" w:lineRule="exact"/>
        <w:rPr>
          <w:sz w:val="24"/>
          <w:szCs w:val="24"/>
          <w:color w:val="auto"/>
        </w:rPr>
      </w:pPr>
    </w:p>
    <w:p>
      <w:pPr>
        <w:ind w:left="9" w:right="160" w:firstLine="259"/>
        <w:spacing w:after="0" w:line="250"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[X] No [ ]</w:t>
      </w:r>
    </w:p>
    <w:p>
      <w:pPr>
        <w:spacing w:after="0" w:line="78" w:lineRule="exact"/>
        <w:rPr>
          <w:sz w:val="24"/>
          <w:szCs w:val="24"/>
          <w:color w:val="auto"/>
        </w:rPr>
      </w:pPr>
    </w:p>
    <w:p>
      <w:pPr>
        <w:ind w:left="9" w:right="80" w:firstLine="259"/>
        <w:spacing w:after="0" w:line="25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241" w:lineRule="exact"/>
        <w:rPr>
          <w:sz w:val="24"/>
          <w:szCs w:val="24"/>
          <w:color w:val="auto"/>
        </w:rPr>
      </w:pPr>
    </w:p>
    <w:p>
      <w:pPr>
        <w:ind w:left="9" w:right="120" w:firstLine="259"/>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9"/>
          </w:cols>
          <w:pgMar w:left="751" w:top="405" w:right="739" w:bottom="1440" w:gutter="0" w:footer="0" w:header="0"/>
        </w:sectPr>
      </w:pPr>
    </w:p>
    <w:p>
      <w:pPr>
        <w:spacing w:after="0" w:line="91" w:lineRule="exact"/>
        <w:rPr>
          <w:sz w:val="24"/>
          <w:szCs w:val="24"/>
          <w:color w:val="auto"/>
        </w:rPr>
      </w:pPr>
    </w:p>
    <w:p>
      <w:pPr>
        <w:ind w:left="269"/>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 ]</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 [ ]</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jc w:val="both"/>
        <w:ind w:hanging="7"/>
        <w:spacing w:after="0" w:line="258" w:lineRule="auto"/>
        <w:rPr>
          <w:sz w:val="20"/>
          <w:szCs w:val="20"/>
          <w:color w:val="auto"/>
        </w:rPr>
      </w:pPr>
      <w:r>
        <w:rPr>
          <w:rFonts w:ascii="Arial" w:cs="Arial" w:eastAsia="Arial" w:hAnsi="Arial"/>
          <w:sz w:val="14"/>
          <w:szCs w:val="14"/>
          <w:color w:val="auto"/>
        </w:rPr>
        <w:t>Smaller reporting company [ ] Emerging growth company [ ]</w:t>
      </w:r>
    </w:p>
    <w:p>
      <w:pPr>
        <w:spacing w:after="0" w:line="73" w:lineRule="exact"/>
        <w:rPr>
          <w:sz w:val="24"/>
          <w:szCs w:val="24"/>
          <w:color w:val="auto"/>
        </w:rPr>
      </w:pPr>
    </w:p>
    <w:p>
      <w:pPr>
        <w:sectPr>
          <w:pgSz w:w="11900" w:h="16838" w:orient="portrait"/>
          <w:cols w:equalWidth="0" w:num="4">
            <w:col w:w="2249" w:space="720"/>
            <w:col w:w="1720" w:space="720"/>
            <w:col w:w="2400" w:space="720"/>
            <w:col w:w="1880"/>
          </w:cols>
          <w:pgMar w:left="751" w:top="405" w:right="739" w:bottom="1440" w:gutter="0" w:footer="0" w:header="0"/>
          <w:type w:val="continuous"/>
        </w:sectPr>
      </w:pPr>
    </w:p>
    <w:p>
      <w:pPr>
        <w:ind w:left="9" w:right="280" w:firstLine="259"/>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73" w:lineRule="exact"/>
        <w:rPr>
          <w:sz w:val="24"/>
          <w:szCs w:val="24"/>
          <w:color w:val="auto"/>
        </w:rPr>
      </w:pPr>
    </w:p>
    <w:p>
      <w:pPr>
        <w:ind w:left="269"/>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 ] No [X]</w:t>
      </w:r>
    </w:p>
    <w:p>
      <w:pPr>
        <w:spacing w:after="0" w:line="96" w:lineRule="exact"/>
        <w:rPr>
          <w:sz w:val="24"/>
          <w:szCs w:val="24"/>
          <w:color w:val="auto"/>
        </w:rPr>
      </w:pPr>
    </w:p>
    <w:p>
      <w:pPr>
        <w:ind w:left="9" w:right="200" w:firstLine="259"/>
        <w:spacing w:after="0" w:line="245" w:lineRule="auto"/>
        <w:rPr>
          <w:sz w:val="20"/>
          <w:szCs w:val="20"/>
          <w:color w:val="auto"/>
        </w:rPr>
      </w:pPr>
      <w:r>
        <w:rPr>
          <w:rFonts w:ascii="Arial" w:cs="Arial" w:eastAsia="Arial" w:hAnsi="Arial"/>
          <w:sz w:val="14"/>
          <w:szCs w:val="14"/>
          <w:color w:val="auto"/>
        </w:rPr>
        <w:t>Based on the closing price as reported on the Nasdaq Global Select Market, the aggregate market value of the Registrant's Common Stock held by non-affiliates on April 30, 2018 (the last business day of the Registrant's most recently completed second fiscal quarter) was approximately $1.5 billion.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November 30, 2018 was 17,566,984.</w:t>
      </w:r>
    </w:p>
    <w:p>
      <w:pPr>
        <w:spacing w:after="0" w:line="65" w:lineRule="exact"/>
        <w:rPr>
          <w:sz w:val="24"/>
          <w:szCs w:val="24"/>
          <w:color w:val="auto"/>
        </w:rPr>
      </w:pPr>
    </w:p>
    <w:p>
      <w:pPr>
        <w:jc w:val="center"/>
        <w:ind w:right="11"/>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 w:lineRule="exact"/>
        <w:rPr>
          <w:sz w:val="24"/>
          <w:szCs w:val="24"/>
          <w:color w:val="auto"/>
        </w:rPr>
      </w:pPr>
    </w:p>
    <w:p>
      <w:pPr>
        <w:ind w:left="9" w:right="440" w:firstLine="259"/>
        <w:spacing w:after="0" w:line="258" w:lineRule="auto"/>
        <w:rPr>
          <w:sz w:val="20"/>
          <w:szCs w:val="20"/>
          <w:color w:val="auto"/>
        </w:rPr>
      </w:pPr>
      <w:r>
        <w:rPr>
          <w:rFonts w:ascii="Arial" w:cs="Arial" w:eastAsia="Arial" w:hAnsi="Arial"/>
          <w:sz w:val="14"/>
          <w:szCs w:val="14"/>
          <w:color w:val="auto"/>
        </w:rPr>
        <w:t>Portions of the Registrant's Proxy Statement for the 2018 Annual Meeting of Shareholders, which we intend to hold on April 24, 2019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600710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9"/>
          </w:cols>
          <w:pgMar w:left="751" w:top="405" w:right="7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 -AMENDMENT</w:t>
      </w:r>
    </w:p>
    <w:p>
      <w:pPr>
        <w:spacing w:after="0" w:line="234" w:lineRule="exact"/>
        <w:rPr>
          <w:sz w:val="20"/>
          <w:szCs w:val="20"/>
          <w:color w:val="auto"/>
        </w:rPr>
      </w:pPr>
    </w:p>
    <w:p>
      <w:pPr>
        <w:ind w:right="360" w:firstLine="324"/>
        <w:spacing w:after="0" w:line="239" w:lineRule="auto"/>
        <w:rPr>
          <w:sz w:val="20"/>
          <w:szCs w:val="20"/>
          <w:color w:val="auto"/>
        </w:rPr>
      </w:pPr>
      <w:r>
        <w:rPr>
          <w:rFonts w:ascii="Arial" w:cs="Arial" w:eastAsia="Arial" w:hAnsi="Arial"/>
          <w:sz w:val="18"/>
          <w:szCs w:val="18"/>
          <w:color w:val="auto"/>
        </w:rPr>
        <w:t>Calavo Growers, Inc. (“Calavo”) is filing this Amendment No. 1 on Form 10-K/A (this “Form 10-K/A”) to include in its Annual Report on Form 10-K for the fiscal year ended October 31, 2018 (the “Annual Report”)., pursuant to Rule 3-09 of Regulation S-X under the Securities Exchange Act of 1934, financial statements and related notes of its equity investee, FreshRealm, LLC (“FreshRealm”).</w:t>
      </w:r>
    </w:p>
    <w:p>
      <w:pPr>
        <w:spacing w:after="0" w:line="202"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Calavo owned approximately 37% of FreshRealm as of October 31, 2018. In accordance with Rule 3-09 of Regulation S-X, we must determine if our unconsolidated subsidiaries are considered “significant subsidiaries”. In evaluating our investments, there are three tests utilized to determine if our subsidiaries are considered significant subsidiaries: the asset test, the income test and the investment test. Rule 3-09 of Regulation S-X requires separate audited financial statements of an unconsolidated subsidiary in an annual report if any of the three tests exceed 20%. Such statements are required to be audited only for the years in which such tests were met. Pursuant to Rule 3-09 of Regulation S-X, separate audited financial statements of FreshRealm are required for the fiscal year ended December 31, 2018 and are included in this Form 10-K/A.</w:t>
      </w:r>
    </w:p>
    <w:p>
      <w:pPr>
        <w:spacing w:after="0" w:line="208" w:lineRule="exact"/>
        <w:rPr>
          <w:sz w:val="20"/>
          <w:szCs w:val="20"/>
          <w:color w:val="auto"/>
        </w:rPr>
      </w:pPr>
    </w:p>
    <w:p>
      <w:pPr>
        <w:ind w:right="340" w:firstLine="324"/>
        <w:spacing w:after="0" w:line="239" w:lineRule="auto"/>
        <w:rPr>
          <w:sz w:val="20"/>
          <w:szCs w:val="20"/>
          <w:color w:val="auto"/>
        </w:rPr>
      </w:pPr>
      <w:r>
        <w:rPr>
          <w:rFonts w:ascii="Arial" w:cs="Arial" w:eastAsia="Arial" w:hAnsi="Arial"/>
          <w:sz w:val="18"/>
          <w:szCs w:val="18"/>
          <w:color w:val="auto"/>
        </w:rPr>
        <w:t>FreshRealm did not meet the significance test for Fiscal 2017 and 2016. Accordingly, Calavo has also included in this Form 10-K/A the unaudited financial statements of FreshRealm, LLC for fiscal years 2016 and 2017. The financial statements were not included in the Original Form 10-K because FreshRealm’s fiscal year ended December 31, 2018, which was after the date of the filing of the Original Form 10-K.</w:t>
      </w:r>
    </w:p>
    <w:p>
      <w:pPr>
        <w:spacing w:after="0" w:line="202" w:lineRule="exact"/>
        <w:rPr>
          <w:sz w:val="20"/>
          <w:szCs w:val="20"/>
          <w:color w:val="auto"/>
        </w:rPr>
      </w:pPr>
    </w:p>
    <w:p>
      <w:pPr>
        <w:ind w:right="40" w:firstLine="324"/>
        <w:spacing w:after="0" w:line="237" w:lineRule="auto"/>
        <w:rPr>
          <w:sz w:val="20"/>
          <w:szCs w:val="20"/>
          <w:color w:val="auto"/>
        </w:rPr>
      </w:pPr>
      <w:r>
        <w:rPr>
          <w:rFonts w:ascii="Arial" w:cs="Arial" w:eastAsia="Arial" w:hAnsi="Arial"/>
          <w:sz w:val="18"/>
          <w:szCs w:val="18"/>
          <w:color w:val="auto"/>
        </w:rPr>
        <w:t>Item 15 is the only portion of the Annual Report being supplemented or amended by this Form 10-K/A. Additionally, in connection with the filing of this Form 10-K/A and pursuant to SEC rules, Calavo is including the consent of the independent auditors of FreshRealm LLC and currently dated certifications. This Form 10-K/A does not otherwise update any exhibits as originally filed and does not otherwise reflect events occurring after the original filing date of the Annual Report. Accordingly, this Form 10-K/A should be read in conjunction with Calavo’s filings with the SEC subsequent to the filing of the Annual Report.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212090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19" w:right="1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80" w:type="dxa"/>
            <w:vAlign w:val="bottom"/>
            <w:gridSpan w:val="41"/>
          </w:tcPr>
          <w:p>
            <w:pPr>
              <w:jc w:val="right"/>
              <w:ind w:right="38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35"/>
        </w:trPr>
        <w:tc>
          <w:tcPr>
            <w:tcW w:w="1020" w:type="dxa"/>
            <w:vAlign w:val="bottom"/>
            <w:gridSpan w:val="2"/>
            <w:vMerge w:val="continue"/>
          </w:tcPr>
          <w:p>
            <w:pPr>
              <w:spacing w:after="0"/>
              <w:rPr>
                <w:sz w:val="11"/>
                <w:szCs w:val="11"/>
                <w:color w:val="auto"/>
              </w:rPr>
            </w:pPr>
          </w:p>
        </w:tc>
        <w:tc>
          <w:tcPr>
            <w:tcW w:w="8040" w:type="dxa"/>
            <w:vAlign w:val="bottom"/>
            <w:gridSpan w:val="59"/>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80" w:type="dxa"/>
            <w:vAlign w:val="bottom"/>
            <w:gridSpan w:val="41"/>
          </w:tcPr>
          <w:p>
            <w:pPr>
              <w:jc w:val="right"/>
              <w:ind w:right="3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8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860" w:type="dxa"/>
            <w:vAlign w:val="bottom"/>
            <w:tcBorders>
              <w:top w:val="single" w:sz="8" w:color="auto"/>
              <w:bottom w:val="single" w:sz="8" w:color="0000EE"/>
            </w:tcBorders>
            <w:gridSpan w:val="54"/>
          </w:tcPr>
          <w:p>
            <w:pPr>
              <w:spacing w:after="0" w:line="170" w:lineRule="exact"/>
              <w:rPr>
                <w:rFonts w:ascii="Arial" w:cs="Arial" w:eastAsia="Arial" w:hAnsi="Arial"/>
                <w:sz w:val="18"/>
                <w:szCs w:val="18"/>
                <w:color w:val="0000EE"/>
                <w:w w:val="99"/>
              </w:rPr>
            </w:pPr>
            <w:hyperlink r:id="rId15">
              <w:r>
                <w:rPr>
                  <w:rFonts w:ascii="Arial" w:cs="Arial" w:eastAsia="Arial" w:hAnsi="Arial"/>
                  <w:sz w:val="18"/>
                  <w:szCs w:val="18"/>
                  <w:color w:val="0000EE"/>
                  <w:w w:val="99"/>
                </w:rPr>
                <w:t>Agreement and Plan of Merger and Reorganization dated as of February 20, 2001 between Calavo</w:t>
              </w:r>
            </w:hyperlink>
          </w:p>
        </w:tc>
        <w:tc>
          <w:tcPr>
            <w:tcW w:w="160" w:type="dxa"/>
            <w:vAlign w:val="bottom"/>
            <w:tcBorders>
              <w:top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59"/>
          </w:tcPr>
          <w:p>
            <w:pPr>
              <w:spacing w:after="0" w:line="182" w:lineRule="exact"/>
              <w:rPr>
                <w:rFonts w:ascii="Arial" w:cs="Arial" w:eastAsia="Arial" w:hAnsi="Arial"/>
                <w:sz w:val="18"/>
                <w:szCs w:val="18"/>
                <w:color w:val="0000EE"/>
              </w:rPr>
            </w:pPr>
            <w:hyperlink r:id="rId15">
              <w:r>
                <w:rPr>
                  <w:rFonts w:ascii="Arial" w:cs="Arial" w:eastAsia="Arial" w:hAnsi="Arial"/>
                  <w:sz w:val="18"/>
                  <w:szCs w:val="18"/>
                  <w:color w:val="0000EE"/>
                </w:rPr>
                <w:t>Growers, Inc. and Calavo Growers of California.</w:t>
              </w:r>
              <w:r>
                <w:rPr>
                  <w:rFonts w:ascii="Arial" w:cs="Arial" w:eastAsia="Arial" w:hAnsi="Arial"/>
                  <w:sz w:val="8"/>
                  <w:szCs w:val="8"/>
                  <w:u w:val="single" w:color="auto"/>
                  <w:color w:val="0000EE"/>
                </w:rPr>
                <w:t>1</w:t>
              </w:r>
            </w:hyperlink>
          </w:p>
        </w:tc>
        <w:tc>
          <w:tcPr>
            <w:tcW w:w="0" w:type="dxa"/>
            <w:vAlign w:val="bottom"/>
          </w:tcPr>
          <w:p>
            <w:pPr>
              <w:spacing w:after="0"/>
              <w:rPr>
                <w:sz w:val="1"/>
                <w:szCs w:val="1"/>
                <w:color w:val="auto"/>
              </w:rPr>
            </w:pPr>
          </w:p>
        </w:tc>
      </w:tr>
      <w:tr>
        <w:trPr>
          <w:trHeight w:val="20"/>
        </w:trPr>
        <w:tc>
          <w:tcPr>
            <w:tcW w:w="9060" w:type="dxa"/>
            <w:vAlign w:val="bottom"/>
            <w:gridSpan w:val="6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2.2</w:t>
            </w:r>
          </w:p>
        </w:tc>
        <w:tc>
          <w:tcPr>
            <w:tcW w:w="7920" w:type="dxa"/>
            <w:vAlign w:val="bottom"/>
            <w:tcBorders>
              <w:bottom w:val="single" w:sz="8" w:color="0000EE"/>
            </w:tcBorders>
            <w:gridSpan w:val="56"/>
          </w:tcPr>
          <w:p>
            <w:pPr>
              <w:spacing w:after="0" w:line="182" w:lineRule="exact"/>
              <w:rPr>
                <w:rFonts w:ascii="Arial" w:cs="Arial" w:eastAsia="Arial" w:hAnsi="Arial"/>
                <w:sz w:val="18"/>
                <w:szCs w:val="18"/>
                <w:color w:val="0000EE"/>
                <w:w w:val="99"/>
              </w:rPr>
            </w:pPr>
            <w:hyperlink r:id="rId16">
              <w:r>
                <w:rPr>
                  <w:rFonts w:ascii="Arial" w:cs="Arial" w:eastAsia="Arial" w:hAnsi="Arial"/>
                  <w:sz w:val="18"/>
                  <w:szCs w:val="18"/>
                  <w:color w:val="0000EE"/>
                  <w:w w:val="99"/>
                </w:rPr>
                <w:t>Agreement and Plan of Merger dated as of November 7, 2003 among Calavo Growers, Inc., Calavo</w:t>
              </w:r>
            </w:hyperlink>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80" w:type="dxa"/>
            <w:vAlign w:val="bottom"/>
            <w:tcBorders>
              <w:bottom w:val="single" w:sz="8" w:color="0000EE"/>
            </w:tcBorders>
            <w:gridSpan w:val="48"/>
          </w:tcPr>
          <w:p>
            <w:pPr>
              <w:spacing w:after="0" w:line="182" w:lineRule="exact"/>
              <w:rPr>
                <w:rFonts w:ascii="Arial" w:cs="Arial" w:eastAsia="Arial" w:hAnsi="Arial"/>
                <w:sz w:val="18"/>
                <w:szCs w:val="18"/>
                <w:color w:val="0000EE"/>
                <w:w w:val="99"/>
              </w:rPr>
            </w:pPr>
            <w:hyperlink r:id="rId16">
              <w:r>
                <w:rPr>
                  <w:rFonts w:ascii="Arial" w:cs="Arial" w:eastAsia="Arial" w:hAnsi="Arial"/>
                  <w:sz w:val="18"/>
                  <w:szCs w:val="18"/>
                  <w:color w:val="0000EE"/>
                  <w:w w:val="99"/>
                </w:rPr>
                <w:t>Acquisition Inc., Maui Fresh International, Inc. and Arthur J. Bruno, Robert J. Bruno and Javier J.</w:t>
              </w:r>
            </w:hyperlink>
          </w:p>
        </w:tc>
        <w:tc>
          <w:tcPr>
            <w:tcW w:w="3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4"/>
            <w:vMerge w:val="restart"/>
          </w:tcPr>
          <w:p>
            <w:pPr>
              <w:spacing w:after="0" w:line="182" w:lineRule="exact"/>
              <w:rPr>
                <w:rFonts w:ascii="Arial" w:cs="Arial" w:eastAsia="Arial" w:hAnsi="Arial"/>
                <w:sz w:val="18"/>
                <w:szCs w:val="18"/>
                <w:color w:val="0000EE"/>
                <w:w w:val="94"/>
              </w:rPr>
            </w:pPr>
            <w:hyperlink r:id="rId16">
              <w:r>
                <w:rPr>
                  <w:rFonts w:ascii="Arial" w:cs="Arial" w:eastAsia="Arial" w:hAnsi="Arial"/>
                  <w:sz w:val="18"/>
                  <w:szCs w:val="18"/>
                  <w:color w:val="0000EE"/>
                  <w:w w:val="94"/>
                </w:rPr>
                <w:t>Badillo.</w:t>
              </w:r>
            </w:hyperlink>
          </w:p>
        </w:tc>
        <w:tc>
          <w:tcPr>
            <w:tcW w:w="100" w:type="dxa"/>
            <w:vAlign w:val="bottom"/>
            <w:tcBorders>
              <w:bottom w:val="single" w:sz="8" w:color="0000EE"/>
            </w:tcBorders>
            <w:gridSpan w:val="2"/>
          </w:tcPr>
          <w:p>
            <w:pPr>
              <w:jc w:val="right"/>
              <w:spacing w:after="0" w:line="102" w:lineRule="exact"/>
              <w:rPr>
                <w:rFonts w:ascii="Arial" w:cs="Arial" w:eastAsia="Arial" w:hAnsi="Arial"/>
                <w:sz w:val="9"/>
                <w:szCs w:val="9"/>
                <w:color w:val="0000EE"/>
              </w:rPr>
            </w:pPr>
            <w:hyperlink r:id="rId16">
              <w:r>
                <w:rPr>
                  <w:rFonts w:ascii="Arial" w:cs="Arial" w:eastAsia="Arial" w:hAnsi="Arial"/>
                  <w:sz w:val="9"/>
                  <w:szCs w:val="9"/>
                  <w:color w:val="0000EE"/>
                </w:rPr>
                <w:t>2</w:t>
              </w:r>
            </w:hyperlink>
          </w:p>
        </w:tc>
        <w:tc>
          <w:tcPr>
            <w:tcW w:w="180" w:type="dxa"/>
            <w:vAlign w:val="bottom"/>
            <w:vMerge w:val="restart"/>
          </w:tcPr>
          <w:p>
            <w:pPr>
              <w:spacing w:after="0"/>
              <w:rPr>
                <w:sz w:val="10"/>
                <w:szCs w:val="10"/>
                <w:color w:val="auto"/>
              </w:rPr>
            </w:pPr>
          </w:p>
        </w:tc>
        <w:tc>
          <w:tcPr>
            <w:tcW w:w="14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520" w:type="dxa"/>
            <w:vAlign w:val="bottom"/>
            <w:vMerge w:val="restart"/>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1960" w:type="dxa"/>
            <w:vAlign w:val="bottom"/>
            <w:gridSpan w:val="2"/>
            <w:vMerge w:val="restart"/>
          </w:tcPr>
          <w:p>
            <w:pPr>
              <w:spacing w:after="0"/>
              <w:rPr>
                <w:sz w:val="10"/>
                <w:szCs w:val="10"/>
                <w:color w:val="auto"/>
              </w:rPr>
            </w:pPr>
          </w:p>
        </w:tc>
        <w:tc>
          <w:tcPr>
            <w:tcW w:w="560" w:type="dxa"/>
            <w:vAlign w:val="bottom"/>
            <w:gridSpan w:val="2"/>
            <w:vMerge w:val="restart"/>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1380" w:type="dxa"/>
            <w:vAlign w:val="bottom"/>
            <w:gridSpan w:val="2"/>
            <w:vMerge w:val="restart"/>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840" w:type="dxa"/>
            <w:vAlign w:val="bottom"/>
            <w:gridSpan w:val="5"/>
            <w:vMerge w:val="restart"/>
          </w:tcPr>
          <w:p>
            <w:pPr>
              <w:spacing w:after="0"/>
              <w:rPr>
                <w:sz w:val="10"/>
                <w:szCs w:val="10"/>
                <w:color w:val="auto"/>
              </w:rPr>
            </w:pPr>
          </w:p>
        </w:tc>
        <w:tc>
          <w:tcPr>
            <w:tcW w:w="40" w:type="dxa"/>
            <w:vAlign w:val="bottom"/>
            <w:gridSpan w:val="2"/>
            <w:vMerge w:val="restart"/>
          </w:tcPr>
          <w:p>
            <w:pPr>
              <w:spacing w:after="0"/>
              <w:rPr>
                <w:sz w:val="10"/>
                <w:szCs w:val="10"/>
                <w:color w:val="auto"/>
              </w:rPr>
            </w:pPr>
          </w:p>
        </w:tc>
        <w:tc>
          <w:tcPr>
            <w:tcW w:w="80" w:type="dxa"/>
            <w:vAlign w:val="bottom"/>
            <w:gridSpan w:val="3"/>
            <w:vMerge w:val="restart"/>
          </w:tcPr>
          <w:p>
            <w:pPr>
              <w:spacing w:after="0"/>
              <w:rPr>
                <w:sz w:val="10"/>
                <w:szCs w:val="10"/>
                <w:color w:val="auto"/>
              </w:rPr>
            </w:pPr>
          </w:p>
        </w:tc>
        <w:tc>
          <w:tcPr>
            <w:tcW w:w="460" w:type="dxa"/>
            <w:vAlign w:val="bottom"/>
            <w:gridSpan w:val="16"/>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bottom w:val="single" w:sz="8" w:color="0000EE"/>
            </w:tcBorders>
            <w:gridSpan w:val="4"/>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40" w:type="dxa"/>
            <w:vAlign w:val="bottom"/>
            <w:gridSpan w:val="5"/>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80" w:type="dxa"/>
            <w:vAlign w:val="bottom"/>
            <w:gridSpan w:val="3"/>
            <w:vMerge w:val="continue"/>
          </w:tcPr>
          <w:p>
            <w:pPr>
              <w:spacing w:after="0"/>
              <w:rPr>
                <w:sz w:val="4"/>
                <w:szCs w:val="4"/>
                <w:color w:val="auto"/>
              </w:rPr>
            </w:pPr>
          </w:p>
        </w:tc>
        <w:tc>
          <w:tcPr>
            <w:tcW w:w="46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2.3</w:t>
            </w:r>
          </w:p>
        </w:tc>
        <w:tc>
          <w:tcPr>
            <w:tcW w:w="7640" w:type="dxa"/>
            <w:vAlign w:val="bottom"/>
            <w:tcBorders>
              <w:bottom w:val="single" w:sz="8" w:color="0000EE"/>
            </w:tcBorders>
            <w:gridSpan w:val="46"/>
          </w:tcPr>
          <w:p>
            <w:pPr>
              <w:spacing w:after="0" w:line="182" w:lineRule="exact"/>
              <w:rPr>
                <w:rFonts w:ascii="Arial" w:cs="Arial" w:eastAsia="Arial" w:hAnsi="Arial"/>
                <w:sz w:val="18"/>
                <w:szCs w:val="18"/>
                <w:color w:val="0000EE"/>
                <w:w w:val="99"/>
              </w:rPr>
            </w:pPr>
            <w:hyperlink r:id="rId17">
              <w:r>
                <w:rPr>
                  <w:rFonts w:ascii="Arial" w:cs="Arial" w:eastAsia="Arial" w:hAnsi="Arial"/>
                  <w:sz w:val="18"/>
                  <w:szCs w:val="18"/>
                  <w:color w:val="0000EE"/>
                  <w:w w:val="99"/>
                </w:rPr>
                <w:t>Stock Purchase Agreement dated as of June 1, 2005, between Limoneira Company and Calavo</w:t>
              </w:r>
            </w:hyperlink>
          </w:p>
        </w:tc>
        <w:tc>
          <w:tcPr>
            <w:tcW w:w="40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10"/>
            <w:vMerge w:val="restart"/>
          </w:tcPr>
          <w:p>
            <w:pPr>
              <w:spacing w:after="0" w:line="182" w:lineRule="exact"/>
              <w:rPr>
                <w:rFonts w:ascii="Arial" w:cs="Arial" w:eastAsia="Arial" w:hAnsi="Arial"/>
                <w:sz w:val="18"/>
                <w:szCs w:val="18"/>
                <w:color w:val="0000EE"/>
                <w:w w:val="97"/>
              </w:rPr>
            </w:pPr>
            <w:hyperlink r:id="rId17">
              <w:r>
                <w:rPr>
                  <w:rFonts w:ascii="Arial" w:cs="Arial" w:eastAsia="Arial" w:hAnsi="Arial"/>
                  <w:sz w:val="18"/>
                  <w:szCs w:val="18"/>
                  <w:color w:val="0000EE"/>
                  <w:w w:val="97"/>
                </w:rPr>
                <w:t>Growers, Inc.</w:t>
              </w:r>
            </w:hyperlink>
          </w:p>
        </w:tc>
        <w:tc>
          <w:tcPr>
            <w:tcW w:w="100" w:type="dxa"/>
            <w:vAlign w:val="bottom"/>
            <w:tcBorders>
              <w:bottom w:val="single" w:sz="8" w:color="0000EE"/>
            </w:tcBorders>
            <w:gridSpan w:val="2"/>
          </w:tcPr>
          <w:p>
            <w:pPr>
              <w:jc w:val="right"/>
              <w:spacing w:after="0" w:line="102" w:lineRule="exact"/>
              <w:rPr>
                <w:rFonts w:ascii="Arial" w:cs="Arial" w:eastAsia="Arial" w:hAnsi="Arial"/>
                <w:sz w:val="9"/>
                <w:szCs w:val="9"/>
                <w:color w:val="0000EE"/>
              </w:rPr>
            </w:pPr>
            <w:hyperlink r:id="rId17">
              <w:r>
                <w:rPr>
                  <w:rFonts w:ascii="Arial" w:cs="Arial" w:eastAsia="Arial" w:hAnsi="Arial"/>
                  <w:sz w:val="9"/>
                  <w:szCs w:val="9"/>
                  <w:color w:val="0000EE"/>
                </w:rPr>
                <w:t>3</w:t>
              </w:r>
            </w:hyperlink>
          </w:p>
        </w:tc>
        <w:tc>
          <w:tcPr>
            <w:tcW w:w="60" w:type="dxa"/>
            <w:vAlign w:val="bottom"/>
            <w:vMerge w:val="restart"/>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520" w:type="dxa"/>
            <w:vAlign w:val="bottom"/>
            <w:vMerge w:val="restart"/>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1960" w:type="dxa"/>
            <w:vAlign w:val="bottom"/>
            <w:gridSpan w:val="2"/>
            <w:vMerge w:val="restart"/>
          </w:tcPr>
          <w:p>
            <w:pPr>
              <w:spacing w:after="0"/>
              <w:rPr>
                <w:sz w:val="10"/>
                <w:szCs w:val="10"/>
                <w:color w:val="auto"/>
              </w:rPr>
            </w:pPr>
          </w:p>
        </w:tc>
        <w:tc>
          <w:tcPr>
            <w:tcW w:w="560" w:type="dxa"/>
            <w:vAlign w:val="bottom"/>
            <w:gridSpan w:val="2"/>
            <w:vMerge w:val="restart"/>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1380" w:type="dxa"/>
            <w:vAlign w:val="bottom"/>
            <w:gridSpan w:val="2"/>
            <w:vMerge w:val="restart"/>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840" w:type="dxa"/>
            <w:vAlign w:val="bottom"/>
            <w:gridSpan w:val="5"/>
            <w:vMerge w:val="restart"/>
          </w:tcPr>
          <w:p>
            <w:pPr>
              <w:spacing w:after="0"/>
              <w:rPr>
                <w:sz w:val="10"/>
                <w:szCs w:val="10"/>
                <w:color w:val="auto"/>
              </w:rPr>
            </w:pPr>
          </w:p>
        </w:tc>
        <w:tc>
          <w:tcPr>
            <w:tcW w:w="40" w:type="dxa"/>
            <w:vAlign w:val="bottom"/>
            <w:gridSpan w:val="2"/>
            <w:vMerge w:val="restart"/>
          </w:tcPr>
          <w:p>
            <w:pPr>
              <w:spacing w:after="0"/>
              <w:rPr>
                <w:sz w:val="10"/>
                <w:szCs w:val="10"/>
                <w:color w:val="auto"/>
              </w:rPr>
            </w:pPr>
          </w:p>
        </w:tc>
        <w:tc>
          <w:tcPr>
            <w:tcW w:w="80" w:type="dxa"/>
            <w:vAlign w:val="bottom"/>
            <w:gridSpan w:val="3"/>
            <w:vMerge w:val="restart"/>
          </w:tcPr>
          <w:p>
            <w:pPr>
              <w:spacing w:after="0"/>
              <w:rPr>
                <w:sz w:val="10"/>
                <w:szCs w:val="10"/>
                <w:color w:val="auto"/>
              </w:rPr>
            </w:pPr>
          </w:p>
        </w:tc>
        <w:tc>
          <w:tcPr>
            <w:tcW w:w="460" w:type="dxa"/>
            <w:vAlign w:val="bottom"/>
            <w:gridSpan w:val="16"/>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Borders>
              <w:bottom w:val="single" w:sz="8" w:color="0000EE"/>
            </w:tcBorders>
            <w:gridSpan w:val="10"/>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40" w:type="dxa"/>
            <w:vAlign w:val="bottom"/>
            <w:gridSpan w:val="5"/>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80" w:type="dxa"/>
            <w:vAlign w:val="bottom"/>
            <w:gridSpan w:val="3"/>
            <w:vMerge w:val="continue"/>
          </w:tcPr>
          <w:p>
            <w:pPr>
              <w:spacing w:after="0"/>
              <w:rPr>
                <w:sz w:val="4"/>
                <w:szCs w:val="4"/>
                <w:color w:val="auto"/>
              </w:rPr>
            </w:pPr>
          </w:p>
        </w:tc>
        <w:tc>
          <w:tcPr>
            <w:tcW w:w="46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2.4</w:t>
            </w:r>
          </w:p>
        </w:tc>
        <w:tc>
          <w:tcPr>
            <w:tcW w:w="8040" w:type="dxa"/>
            <w:vAlign w:val="bottom"/>
            <w:tcBorders>
              <w:bottom w:val="single" w:sz="8" w:color="0000EE"/>
            </w:tcBorders>
            <w:gridSpan w:val="59"/>
          </w:tcPr>
          <w:p>
            <w:pPr>
              <w:spacing w:after="0" w:line="182" w:lineRule="exact"/>
              <w:rPr>
                <w:rFonts w:ascii="Arial" w:cs="Arial" w:eastAsia="Arial" w:hAnsi="Arial"/>
                <w:sz w:val="18"/>
                <w:szCs w:val="18"/>
                <w:color w:val="0000EE"/>
                <w:w w:val="99"/>
              </w:rPr>
            </w:pPr>
            <w:hyperlink r:id="rId18">
              <w:r>
                <w:rPr>
                  <w:rFonts w:ascii="Arial" w:cs="Arial" w:eastAsia="Arial" w:hAnsi="Arial"/>
                  <w:sz w:val="18"/>
                  <w:szCs w:val="18"/>
                  <w:color w:val="0000EE"/>
                  <w:w w:val="99"/>
                </w:rPr>
                <w:t>Acquisition Agreement between Calavo Growers, Inc., a California corporation and Lecil E. Cole, Eric</w:t>
              </w:r>
            </w:hyperlink>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40" w:type="dxa"/>
            <w:vAlign w:val="bottom"/>
            <w:tcBorders>
              <w:bottom w:val="single" w:sz="8" w:color="0000EE"/>
            </w:tcBorders>
            <w:gridSpan w:val="53"/>
          </w:tcPr>
          <w:p>
            <w:pPr>
              <w:spacing w:after="0" w:line="182" w:lineRule="exact"/>
              <w:rPr>
                <w:rFonts w:ascii="Arial" w:cs="Arial" w:eastAsia="Arial" w:hAnsi="Arial"/>
                <w:sz w:val="18"/>
                <w:szCs w:val="18"/>
                <w:color w:val="0000EE"/>
                <w:w w:val="99"/>
              </w:rPr>
            </w:pPr>
            <w:hyperlink r:id="rId18">
              <w:r>
                <w:rPr>
                  <w:rFonts w:ascii="Arial" w:cs="Arial" w:eastAsia="Arial" w:hAnsi="Arial"/>
                  <w:sz w:val="18"/>
                  <w:szCs w:val="18"/>
                  <w:color w:val="0000EE"/>
                  <w:w w:val="99"/>
                </w:rPr>
                <w:t>Weinert, Suzanne Cole-Savard, Guy Cole, and Lecil E. Cole and Mary Jeanette Cole, acting jointly</w:t>
              </w:r>
            </w:hyperlink>
          </w:p>
        </w:tc>
        <w:tc>
          <w:tcPr>
            <w:tcW w:w="2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tcBorders>
              <w:bottom w:val="single" w:sz="8" w:color="0000EE"/>
            </w:tcBorders>
            <w:gridSpan w:val="57"/>
          </w:tcPr>
          <w:p>
            <w:pPr>
              <w:spacing w:after="0" w:line="182" w:lineRule="exact"/>
              <w:rPr>
                <w:rFonts w:ascii="Arial" w:cs="Arial" w:eastAsia="Arial" w:hAnsi="Arial"/>
                <w:sz w:val="18"/>
                <w:szCs w:val="18"/>
                <w:color w:val="0000EE"/>
                <w:w w:val="99"/>
              </w:rPr>
            </w:pPr>
            <w:hyperlink r:id="rId18">
              <w:r>
                <w:rPr>
                  <w:rFonts w:ascii="Arial" w:cs="Arial" w:eastAsia="Arial" w:hAnsi="Arial"/>
                  <w:sz w:val="18"/>
                  <w:szCs w:val="18"/>
                  <w:color w:val="0000EE"/>
                  <w:w w:val="99"/>
                </w:rPr>
                <w:t>and severally as trustees of the Lecil E. and Mary Jeanette Cole Revocable Trust dated October 19,</w:t>
              </w:r>
            </w:hyperlink>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80" w:type="dxa"/>
            <w:vAlign w:val="bottom"/>
            <w:gridSpan w:val="57"/>
          </w:tcPr>
          <w:p>
            <w:pPr>
              <w:spacing w:after="0"/>
              <w:rPr>
                <w:rFonts w:ascii="Arial" w:cs="Arial" w:eastAsia="Arial" w:hAnsi="Arial"/>
                <w:sz w:val="18"/>
                <w:szCs w:val="18"/>
                <w:u w:val="single" w:color="auto"/>
                <w:color w:val="0000EE"/>
                <w:w w:val="98"/>
              </w:rPr>
            </w:pPr>
            <w:hyperlink r:id="rId18">
              <w:r>
                <w:rPr>
                  <w:rFonts w:ascii="Arial" w:cs="Arial" w:eastAsia="Arial" w:hAnsi="Arial"/>
                  <w:sz w:val="18"/>
                  <w:szCs w:val="18"/>
                  <w:u w:val="single" w:color="auto"/>
                  <w:color w:val="0000EE"/>
                  <w:w w:val="98"/>
                  <w:vertAlign w:val="subscript"/>
                </w:rPr>
                <w:t>4</w:t>
              </w:r>
              <w:r>
                <w:rPr>
                  <w:rFonts w:ascii="Arial" w:cs="Arial" w:eastAsia="Arial" w:hAnsi="Arial"/>
                  <w:sz w:val="18"/>
                  <w:szCs w:val="18"/>
                  <w:u w:val="single" w:color="auto"/>
                  <w:color w:val="0000EE"/>
                  <w:w w:val="98"/>
                </w:rPr>
                <w:t>1993, also known as the Lecil E. and Mary Jeanette Cole Revocable 1993 Trust dated May 19, 2008</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7300" w:type="dxa"/>
            <w:vAlign w:val="bottom"/>
            <w:tcBorders>
              <w:bottom w:val="single" w:sz="8" w:color="0000EE"/>
            </w:tcBorders>
            <w:gridSpan w:val="36"/>
          </w:tcPr>
          <w:p>
            <w:pPr>
              <w:spacing w:after="0"/>
              <w:rPr>
                <w:rFonts w:ascii="Arial" w:cs="Arial" w:eastAsia="Arial" w:hAnsi="Arial"/>
                <w:sz w:val="18"/>
                <w:szCs w:val="18"/>
                <w:color w:val="0000EE"/>
                <w:w w:val="99"/>
              </w:rPr>
            </w:pPr>
            <w:hyperlink r:id="rId18">
              <w:r>
                <w:rPr>
                  <w:rFonts w:ascii="Arial" w:cs="Arial" w:eastAsia="Arial" w:hAnsi="Arial"/>
                  <w:sz w:val="18"/>
                  <w:szCs w:val="18"/>
                  <w:color w:val="0000EE"/>
                  <w:w w:val="99"/>
                </w:rPr>
                <w:t>Acquisition Agreement between Calavo Growers, Inc., Calavo Salsa Lisa, LLC, Lisa’s Salsa</w:t>
              </w:r>
            </w:hyperlink>
          </w:p>
        </w:tc>
        <w:tc>
          <w:tcPr>
            <w:tcW w:w="740" w:type="dxa"/>
            <w:vAlign w:val="bottom"/>
            <w:gridSpan w:val="23"/>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60" w:type="dxa"/>
            <w:vAlign w:val="bottom"/>
            <w:gridSpan w:val="29"/>
            <w:vMerge w:val="restart"/>
          </w:tcPr>
          <w:p>
            <w:pPr>
              <w:spacing w:after="0" w:line="182" w:lineRule="exact"/>
              <w:rPr>
                <w:rFonts w:ascii="Arial" w:cs="Arial" w:eastAsia="Arial" w:hAnsi="Arial"/>
                <w:sz w:val="18"/>
                <w:szCs w:val="18"/>
                <w:color w:val="0000EE"/>
              </w:rPr>
            </w:pPr>
            <w:hyperlink r:id="rId18">
              <w:r>
                <w:rPr>
                  <w:rFonts w:ascii="Arial" w:cs="Arial" w:eastAsia="Arial" w:hAnsi="Arial"/>
                  <w:sz w:val="18"/>
                  <w:szCs w:val="18"/>
                  <w:color w:val="0000EE"/>
                </w:rPr>
                <w:t>Company and Elizabeth Nicholson and Eric Nicholson dated February 8, 2010</w:t>
              </w:r>
            </w:hyperlink>
          </w:p>
        </w:tc>
        <w:tc>
          <w:tcPr>
            <w:tcW w:w="100" w:type="dxa"/>
            <w:vAlign w:val="bottom"/>
            <w:tcBorders>
              <w:bottom w:val="single" w:sz="8" w:color="0000EE"/>
            </w:tcBorders>
          </w:tcPr>
          <w:p>
            <w:pPr>
              <w:jc w:val="right"/>
              <w:spacing w:after="0" w:line="102" w:lineRule="exact"/>
              <w:rPr>
                <w:rFonts w:ascii="Arial" w:cs="Arial" w:eastAsia="Arial" w:hAnsi="Arial"/>
                <w:sz w:val="9"/>
                <w:szCs w:val="9"/>
                <w:color w:val="0000EE"/>
                <w:w w:val="79"/>
              </w:rPr>
            </w:pPr>
            <w:hyperlink r:id="rId18">
              <w:r>
                <w:rPr>
                  <w:rFonts w:ascii="Arial" w:cs="Arial" w:eastAsia="Arial" w:hAnsi="Arial"/>
                  <w:sz w:val="9"/>
                  <w:szCs w:val="9"/>
                  <w:color w:val="0000EE"/>
                  <w:w w:val="79"/>
                </w:rPr>
                <w:t>13</w:t>
              </w:r>
            </w:hyperlink>
          </w:p>
        </w:tc>
        <w:tc>
          <w:tcPr>
            <w:tcW w:w="140" w:type="dxa"/>
            <w:vAlign w:val="bottom"/>
            <w:vMerge w:val="restart"/>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840" w:type="dxa"/>
            <w:vAlign w:val="bottom"/>
            <w:gridSpan w:val="5"/>
            <w:vMerge w:val="restart"/>
          </w:tcPr>
          <w:p>
            <w:pPr>
              <w:spacing w:after="0"/>
              <w:rPr>
                <w:sz w:val="10"/>
                <w:szCs w:val="10"/>
                <w:color w:val="auto"/>
              </w:rPr>
            </w:pPr>
          </w:p>
        </w:tc>
        <w:tc>
          <w:tcPr>
            <w:tcW w:w="40" w:type="dxa"/>
            <w:vAlign w:val="bottom"/>
            <w:gridSpan w:val="2"/>
            <w:vMerge w:val="restart"/>
          </w:tcPr>
          <w:p>
            <w:pPr>
              <w:spacing w:after="0"/>
              <w:rPr>
                <w:sz w:val="10"/>
                <w:szCs w:val="10"/>
                <w:color w:val="auto"/>
              </w:rPr>
            </w:pPr>
          </w:p>
        </w:tc>
        <w:tc>
          <w:tcPr>
            <w:tcW w:w="80" w:type="dxa"/>
            <w:vAlign w:val="bottom"/>
            <w:gridSpan w:val="3"/>
            <w:vMerge w:val="restart"/>
          </w:tcPr>
          <w:p>
            <w:pPr>
              <w:spacing w:after="0"/>
              <w:rPr>
                <w:sz w:val="10"/>
                <w:szCs w:val="10"/>
                <w:color w:val="auto"/>
              </w:rPr>
            </w:pPr>
          </w:p>
        </w:tc>
        <w:tc>
          <w:tcPr>
            <w:tcW w:w="460" w:type="dxa"/>
            <w:vAlign w:val="bottom"/>
            <w:gridSpan w:val="16"/>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60" w:type="dxa"/>
            <w:vAlign w:val="bottom"/>
            <w:tcBorders>
              <w:bottom w:val="single" w:sz="8" w:color="0000EE"/>
            </w:tcBorders>
            <w:gridSpan w:val="29"/>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40" w:type="dxa"/>
            <w:vAlign w:val="bottom"/>
            <w:gridSpan w:val="5"/>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80" w:type="dxa"/>
            <w:vAlign w:val="bottom"/>
            <w:gridSpan w:val="3"/>
            <w:vMerge w:val="continue"/>
          </w:tcPr>
          <w:p>
            <w:pPr>
              <w:spacing w:after="0"/>
              <w:rPr>
                <w:sz w:val="4"/>
                <w:szCs w:val="4"/>
                <w:color w:val="auto"/>
              </w:rPr>
            </w:pPr>
          </w:p>
        </w:tc>
        <w:tc>
          <w:tcPr>
            <w:tcW w:w="46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2.6</w:t>
            </w:r>
          </w:p>
        </w:tc>
        <w:tc>
          <w:tcPr>
            <w:tcW w:w="8040" w:type="dxa"/>
            <w:vAlign w:val="bottom"/>
            <w:gridSpan w:val="59"/>
          </w:tcPr>
          <w:p>
            <w:pPr>
              <w:spacing w:after="0" w:line="182" w:lineRule="exact"/>
              <w:rPr>
                <w:rFonts w:ascii="Arial" w:cs="Arial" w:eastAsia="Arial" w:hAnsi="Arial"/>
                <w:sz w:val="18"/>
                <w:szCs w:val="18"/>
                <w:color w:val="0000EE"/>
              </w:rPr>
            </w:pPr>
            <w:hyperlink r:id="rId19">
              <w:r>
                <w:rPr>
                  <w:rFonts w:ascii="Arial" w:cs="Arial" w:eastAsia="Arial" w:hAnsi="Arial"/>
                  <w:sz w:val="18"/>
                  <w:szCs w:val="18"/>
                  <w:color w:val="0000EE"/>
                </w:rPr>
                <w:t>Amended and Restated Limited Liability Company Agreement for Calavo Salsa Lisa, LLC dated</w:t>
              </w:r>
            </w:hyperlink>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40" w:type="dxa"/>
            <w:vAlign w:val="bottom"/>
            <w:tcBorders>
              <w:top w:val="single" w:sz="8" w:color="0000EE"/>
              <w:bottom w:val="single" w:sz="8" w:color="0000EE"/>
            </w:tcBorders>
            <w:gridSpan w:val="41"/>
          </w:tcPr>
          <w:p>
            <w:pPr>
              <w:spacing w:after="0" w:line="182" w:lineRule="exact"/>
              <w:rPr>
                <w:rFonts w:ascii="Arial" w:cs="Arial" w:eastAsia="Arial" w:hAnsi="Arial"/>
                <w:sz w:val="18"/>
                <w:szCs w:val="18"/>
                <w:color w:val="0000EE"/>
                <w:w w:val="99"/>
              </w:rPr>
            </w:pPr>
            <w:hyperlink r:id="rId19">
              <w:r>
                <w:rPr>
                  <w:rFonts w:ascii="Arial" w:cs="Arial" w:eastAsia="Arial" w:hAnsi="Arial"/>
                  <w:sz w:val="18"/>
                  <w:szCs w:val="18"/>
                  <w:color w:val="0000EE"/>
                  <w:w w:val="99"/>
                </w:rPr>
                <w:t>February 8, 2010 among Calavo Growers, Inc., Calavo Salsa Lisa LLC, Lisa’s Salsa Company,</w:t>
              </w:r>
            </w:hyperlink>
          </w:p>
        </w:tc>
        <w:tc>
          <w:tcPr>
            <w:tcW w:w="60" w:type="dxa"/>
            <w:vAlign w:val="bottom"/>
            <w:tcBorders>
              <w:top w:val="single" w:sz="8" w:color="0000EE"/>
            </w:tcBorders>
            <w:gridSpan w:val="3"/>
          </w:tcPr>
          <w:p>
            <w:pPr>
              <w:spacing w:after="0"/>
              <w:rPr>
                <w:sz w:val="15"/>
                <w:szCs w:val="15"/>
                <w:color w:val="auto"/>
              </w:rPr>
            </w:pPr>
          </w:p>
        </w:tc>
        <w:tc>
          <w:tcPr>
            <w:tcW w:w="44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60" w:type="dxa"/>
            <w:vAlign w:val="bottom"/>
            <w:tcBorders>
              <w:bottom w:val="single" w:sz="8" w:color="0000EE"/>
            </w:tcBorders>
            <w:gridSpan w:val="47"/>
          </w:tcPr>
          <w:p>
            <w:pPr>
              <w:spacing w:after="0" w:line="182" w:lineRule="exact"/>
              <w:rPr>
                <w:rFonts w:ascii="Arial" w:cs="Arial" w:eastAsia="Arial" w:hAnsi="Arial"/>
                <w:sz w:val="18"/>
                <w:szCs w:val="18"/>
                <w:color w:val="0000EE"/>
                <w:w w:val="99"/>
              </w:rPr>
            </w:pPr>
            <w:hyperlink r:id="rId19">
              <w:r>
                <w:rPr>
                  <w:rFonts w:ascii="Arial" w:cs="Arial" w:eastAsia="Arial" w:hAnsi="Arial"/>
                  <w:sz w:val="18"/>
                  <w:szCs w:val="18"/>
                  <w:color w:val="0000EE"/>
                  <w:w w:val="99"/>
                </w:rPr>
                <w:t>Elizabeth Nicholson and Eric Nicholson. (Portions of this agreement have been deleted and filed</w:t>
              </w:r>
            </w:hyperlink>
          </w:p>
        </w:tc>
        <w:tc>
          <w:tcPr>
            <w:tcW w:w="38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59"/>
          </w:tcPr>
          <w:p>
            <w:pPr>
              <w:spacing w:after="0" w:line="182" w:lineRule="exact"/>
              <w:rPr>
                <w:rFonts w:ascii="Arial" w:cs="Arial" w:eastAsia="Arial" w:hAnsi="Arial"/>
                <w:sz w:val="18"/>
                <w:szCs w:val="18"/>
                <w:color w:val="0000EE"/>
              </w:rPr>
            </w:pPr>
            <w:hyperlink r:id="rId19">
              <w:r>
                <w:rPr>
                  <w:rFonts w:ascii="Arial" w:cs="Arial" w:eastAsia="Arial" w:hAnsi="Arial"/>
                  <w:sz w:val="18"/>
                  <w:szCs w:val="18"/>
                  <w:color w:val="0000EE"/>
                </w:rPr>
                <w:t>separately with the Securities and Exchange Commission Pursuant to a request for confidential</w:t>
              </w:r>
            </w:hyperlink>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0000EE"/>
              <w:bottom w:val="single" w:sz="8" w:color="0000EE"/>
            </w:tcBorders>
            <w:gridSpan w:val="7"/>
            <w:vMerge w:val="restart"/>
          </w:tcPr>
          <w:p>
            <w:pPr>
              <w:spacing w:after="0" w:line="182" w:lineRule="exact"/>
              <w:rPr>
                <w:rFonts w:ascii="Arial" w:cs="Arial" w:eastAsia="Arial" w:hAnsi="Arial"/>
                <w:sz w:val="18"/>
                <w:szCs w:val="18"/>
                <w:color w:val="0000EE"/>
                <w:w w:val="96"/>
              </w:rPr>
            </w:pPr>
            <w:hyperlink r:id="rId19">
              <w:r>
                <w:rPr>
                  <w:rFonts w:ascii="Arial" w:cs="Arial" w:eastAsia="Arial" w:hAnsi="Arial"/>
                  <w:sz w:val="18"/>
                  <w:szCs w:val="18"/>
                  <w:color w:val="0000EE"/>
                  <w:w w:val="96"/>
                </w:rPr>
                <w:t>treatment.)</w:t>
              </w:r>
            </w:hyperlink>
          </w:p>
        </w:tc>
        <w:tc>
          <w:tcPr>
            <w:tcW w:w="140" w:type="dxa"/>
            <w:vAlign w:val="bottom"/>
            <w:tcBorders>
              <w:top w:val="single" w:sz="8" w:color="0000EE"/>
              <w:bottom w:val="single" w:sz="8" w:color="0000EE"/>
            </w:tcBorders>
            <w:gridSpan w:val="2"/>
          </w:tcPr>
          <w:p>
            <w:pPr>
              <w:jc w:val="right"/>
              <w:spacing w:after="0" w:line="102" w:lineRule="exact"/>
              <w:rPr>
                <w:rFonts w:ascii="Arial" w:cs="Arial" w:eastAsia="Arial" w:hAnsi="Arial"/>
                <w:sz w:val="9"/>
                <w:szCs w:val="9"/>
                <w:color w:val="0000EE"/>
              </w:rPr>
            </w:pPr>
            <w:hyperlink r:id="rId19">
              <w:r>
                <w:rPr>
                  <w:rFonts w:ascii="Arial" w:cs="Arial" w:eastAsia="Arial" w:hAnsi="Arial"/>
                  <w:sz w:val="9"/>
                  <w:szCs w:val="9"/>
                  <w:color w:val="0000EE"/>
                </w:rPr>
                <w:t>13</w:t>
              </w:r>
            </w:hyperlink>
          </w:p>
        </w:tc>
        <w:tc>
          <w:tcPr>
            <w:tcW w:w="220" w:type="dxa"/>
            <w:vAlign w:val="bottom"/>
            <w:tcBorders>
              <w:top w:val="single" w:sz="8" w:color="0000EE"/>
              <w:bottom w:val="single" w:sz="8" w:color="0000EE"/>
            </w:tcBorders>
            <w:gridSpan w:val="4"/>
            <w:vMerge w:val="restart"/>
          </w:tcPr>
          <w:p>
            <w:pPr>
              <w:spacing w:after="0"/>
              <w:rPr>
                <w:sz w:val="10"/>
                <w:szCs w:val="10"/>
                <w:color w:val="auto"/>
              </w:rPr>
            </w:pPr>
          </w:p>
        </w:tc>
        <w:tc>
          <w:tcPr>
            <w:tcW w:w="120" w:type="dxa"/>
            <w:vAlign w:val="bottom"/>
            <w:tcBorders>
              <w:top w:val="single" w:sz="8" w:color="0000EE"/>
              <w:bottom w:val="single" w:sz="8" w:color="0000EE"/>
            </w:tcBorders>
            <w:gridSpan w:val="2"/>
            <w:vMerge w:val="restart"/>
          </w:tcPr>
          <w:p>
            <w:pPr>
              <w:spacing w:after="0"/>
              <w:rPr>
                <w:sz w:val="10"/>
                <w:szCs w:val="10"/>
                <w:color w:val="auto"/>
              </w:rPr>
            </w:pPr>
          </w:p>
        </w:tc>
        <w:tc>
          <w:tcPr>
            <w:tcW w:w="520" w:type="dxa"/>
            <w:vAlign w:val="bottom"/>
            <w:tcBorders>
              <w:top w:val="single" w:sz="8" w:color="0000EE"/>
              <w:bottom w:val="single" w:sz="8" w:color="0000EE"/>
            </w:tcBorders>
            <w:vMerge w:val="restart"/>
          </w:tcPr>
          <w:p>
            <w:pPr>
              <w:spacing w:after="0"/>
              <w:rPr>
                <w:sz w:val="10"/>
                <w:szCs w:val="10"/>
                <w:color w:val="auto"/>
              </w:rPr>
            </w:pPr>
          </w:p>
        </w:tc>
        <w:tc>
          <w:tcPr>
            <w:tcW w:w="100" w:type="dxa"/>
            <w:vAlign w:val="bottom"/>
            <w:tcBorders>
              <w:top w:val="single" w:sz="8" w:color="0000EE"/>
              <w:bottom w:val="single" w:sz="8" w:color="0000EE"/>
            </w:tcBorders>
            <w:gridSpan w:val="2"/>
            <w:vMerge w:val="restart"/>
          </w:tcPr>
          <w:p>
            <w:pPr>
              <w:spacing w:after="0"/>
              <w:rPr>
                <w:sz w:val="10"/>
                <w:szCs w:val="10"/>
                <w:color w:val="auto"/>
              </w:rPr>
            </w:pPr>
          </w:p>
        </w:tc>
        <w:tc>
          <w:tcPr>
            <w:tcW w:w="1960" w:type="dxa"/>
            <w:vAlign w:val="bottom"/>
            <w:tcBorders>
              <w:top w:val="single" w:sz="8" w:color="0000EE"/>
              <w:bottom w:val="single" w:sz="8" w:color="0000EE"/>
            </w:tcBorders>
            <w:gridSpan w:val="2"/>
            <w:vMerge w:val="restart"/>
          </w:tcPr>
          <w:p>
            <w:pPr>
              <w:spacing w:after="0"/>
              <w:rPr>
                <w:sz w:val="10"/>
                <w:szCs w:val="10"/>
                <w:color w:val="auto"/>
              </w:rPr>
            </w:pPr>
          </w:p>
        </w:tc>
        <w:tc>
          <w:tcPr>
            <w:tcW w:w="560" w:type="dxa"/>
            <w:vAlign w:val="bottom"/>
            <w:tcBorders>
              <w:top w:val="single" w:sz="8" w:color="0000EE"/>
              <w:bottom w:val="single" w:sz="8" w:color="0000EE"/>
            </w:tcBorders>
            <w:gridSpan w:val="2"/>
            <w:vMerge w:val="restart"/>
          </w:tcPr>
          <w:p>
            <w:pPr>
              <w:spacing w:after="0"/>
              <w:rPr>
                <w:sz w:val="10"/>
                <w:szCs w:val="10"/>
                <w:color w:val="auto"/>
              </w:rPr>
            </w:pPr>
          </w:p>
        </w:tc>
        <w:tc>
          <w:tcPr>
            <w:tcW w:w="100" w:type="dxa"/>
            <w:vAlign w:val="bottom"/>
            <w:tcBorders>
              <w:top w:val="single" w:sz="8" w:color="0000EE"/>
              <w:bottom w:val="single" w:sz="8" w:color="0000EE"/>
            </w:tcBorders>
            <w:gridSpan w:val="2"/>
            <w:vMerge w:val="restart"/>
          </w:tcPr>
          <w:p>
            <w:pPr>
              <w:spacing w:after="0"/>
              <w:rPr>
                <w:sz w:val="10"/>
                <w:szCs w:val="10"/>
                <w:color w:val="auto"/>
              </w:rPr>
            </w:pPr>
          </w:p>
        </w:tc>
        <w:tc>
          <w:tcPr>
            <w:tcW w:w="1380" w:type="dxa"/>
            <w:vAlign w:val="bottom"/>
            <w:tcBorders>
              <w:top w:val="single" w:sz="8" w:color="0000EE"/>
              <w:bottom w:val="single" w:sz="8" w:color="0000EE"/>
            </w:tcBorders>
            <w:gridSpan w:val="2"/>
            <w:vMerge w:val="restart"/>
          </w:tcPr>
          <w:p>
            <w:pPr>
              <w:spacing w:after="0"/>
              <w:rPr>
                <w:sz w:val="10"/>
                <w:szCs w:val="10"/>
                <w:color w:val="auto"/>
              </w:rPr>
            </w:pPr>
          </w:p>
        </w:tc>
        <w:tc>
          <w:tcPr>
            <w:tcW w:w="120" w:type="dxa"/>
            <w:vAlign w:val="bottom"/>
            <w:tcBorders>
              <w:top w:val="single" w:sz="8" w:color="0000EE"/>
              <w:bottom w:val="single" w:sz="8" w:color="0000EE"/>
            </w:tcBorders>
            <w:gridSpan w:val="2"/>
            <w:vMerge w:val="restart"/>
          </w:tcPr>
          <w:p>
            <w:pPr>
              <w:spacing w:after="0"/>
              <w:rPr>
                <w:sz w:val="10"/>
                <w:szCs w:val="10"/>
                <w:color w:val="auto"/>
              </w:rPr>
            </w:pPr>
          </w:p>
        </w:tc>
        <w:tc>
          <w:tcPr>
            <w:tcW w:w="420" w:type="dxa"/>
            <w:vAlign w:val="bottom"/>
            <w:tcBorders>
              <w:top w:val="single" w:sz="8" w:color="0000EE"/>
              <w:bottom w:val="single" w:sz="8" w:color="0000EE"/>
            </w:tcBorders>
            <w:gridSpan w:val="3"/>
            <w:vMerge w:val="restart"/>
          </w:tcPr>
          <w:p>
            <w:pPr>
              <w:spacing w:after="0"/>
              <w:rPr>
                <w:sz w:val="10"/>
                <w:szCs w:val="10"/>
                <w:color w:val="auto"/>
              </w:rPr>
            </w:pPr>
          </w:p>
        </w:tc>
        <w:tc>
          <w:tcPr>
            <w:tcW w:w="120" w:type="dxa"/>
            <w:vAlign w:val="bottom"/>
            <w:tcBorders>
              <w:top w:val="single" w:sz="8" w:color="0000EE"/>
              <w:bottom w:val="single" w:sz="8" w:color="0000EE"/>
            </w:tcBorders>
            <w:gridSpan w:val="2"/>
            <w:vMerge w:val="restart"/>
          </w:tcPr>
          <w:p>
            <w:pPr>
              <w:spacing w:after="0"/>
              <w:rPr>
                <w:sz w:val="10"/>
                <w:szCs w:val="10"/>
                <w:color w:val="auto"/>
              </w:rPr>
            </w:pPr>
          </w:p>
        </w:tc>
        <w:tc>
          <w:tcPr>
            <w:tcW w:w="840" w:type="dxa"/>
            <w:vAlign w:val="bottom"/>
            <w:tcBorders>
              <w:top w:val="single" w:sz="8" w:color="0000EE"/>
              <w:bottom w:val="single" w:sz="8" w:color="0000EE"/>
            </w:tcBorders>
            <w:gridSpan w:val="5"/>
            <w:vMerge w:val="restart"/>
          </w:tcPr>
          <w:p>
            <w:pPr>
              <w:spacing w:after="0"/>
              <w:rPr>
                <w:sz w:val="10"/>
                <w:szCs w:val="10"/>
                <w:color w:val="auto"/>
              </w:rPr>
            </w:pPr>
          </w:p>
        </w:tc>
        <w:tc>
          <w:tcPr>
            <w:tcW w:w="40" w:type="dxa"/>
            <w:vAlign w:val="bottom"/>
            <w:tcBorders>
              <w:top w:val="single" w:sz="8" w:color="0000EE"/>
              <w:bottom w:val="single" w:sz="8" w:color="0000EE"/>
            </w:tcBorders>
            <w:gridSpan w:val="2"/>
            <w:vMerge w:val="restart"/>
          </w:tcPr>
          <w:p>
            <w:pPr>
              <w:spacing w:after="0"/>
              <w:rPr>
                <w:sz w:val="10"/>
                <w:szCs w:val="10"/>
                <w:color w:val="auto"/>
              </w:rPr>
            </w:pPr>
          </w:p>
        </w:tc>
        <w:tc>
          <w:tcPr>
            <w:tcW w:w="60" w:type="dxa"/>
            <w:vAlign w:val="bottom"/>
            <w:tcBorders>
              <w:top w:val="single" w:sz="8" w:color="0000EE"/>
              <w:bottom w:val="single" w:sz="8" w:color="0000EE"/>
            </w:tcBorders>
            <w:gridSpan w:val="2"/>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460" w:type="dxa"/>
            <w:vAlign w:val="bottom"/>
            <w:gridSpan w:val="16"/>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Borders>
              <w:bottom w:val="single" w:sz="8" w:color="0000EE"/>
            </w:tcBorders>
            <w:gridSpan w:val="7"/>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4"/>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40" w:type="dxa"/>
            <w:vAlign w:val="bottom"/>
            <w:gridSpan w:val="5"/>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6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2.7</w:t>
            </w:r>
          </w:p>
        </w:tc>
        <w:tc>
          <w:tcPr>
            <w:tcW w:w="8040" w:type="dxa"/>
            <w:vAlign w:val="bottom"/>
            <w:gridSpan w:val="59"/>
          </w:tcPr>
          <w:p>
            <w:pPr>
              <w:spacing w:after="0" w:line="182" w:lineRule="exact"/>
              <w:rPr>
                <w:rFonts w:ascii="Arial" w:cs="Arial" w:eastAsia="Arial" w:hAnsi="Arial"/>
                <w:sz w:val="18"/>
                <w:szCs w:val="18"/>
                <w:color w:val="0000EE"/>
              </w:rPr>
            </w:pPr>
            <w:hyperlink r:id="rId20">
              <w:r>
                <w:rPr>
                  <w:rFonts w:ascii="Arial" w:cs="Arial" w:eastAsia="Arial" w:hAnsi="Arial"/>
                  <w:sz w:val="18"/>
                  <w:szCs w:val="18"/>
                  <w:color w:val="0000EE"/>
                </w:rPr>
                <w:t>Agreement and Plan of Merger dated May 25, 2011 among Calavo Growers, Inc., CG Mergersub</w:t>
              </w:r>
            </w:hyperlink>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20" w:type="dxa"/>
            <w:vAlign w:val="bottom"/>
            <w:tcBorders>
              <w:top w:val="single" w:sz="8" w:color="0000EE"/>
              <w:bottom w:val="single" w:sz="8" w:color="0000EE"/>
            </w:tcBorders>
            <w:gridSpan w:val="45"/>
          </w:tcPr>
          <w:p>
            <w:pPr>
              <w:spacing w:after="0" w:line="182" w:lineRule="exact"/>
              <w:rPr>
                <w:rFonts w:ascii="Arial" w:cs="Arial" w:eastAsia="Arial" w:hAnsi="Arial"/>
                <w:sz w:val="18"/>
                <w:szCs w:val="18"/>
                <w:color w:val="0000EE"/>
                <w:w w:val="99"/>
              </w:rPr>
            </w:pPr>
            <w:hyperlink r:id="rId20">
              <w:r>
                <w:rPr>
                  <w:rFonts w:ascii="Arial" w:cs="Arial" w:eastAsia="Arial" w:hAnsi="Arial"/>
                  <w:sz w:val="18"/>
                  <w:szCs w:val="18"/>
                  <w:color w:val="0000EE"/>
                  <w:w w:val="99"/>
                </w:rPr>
                <w:t>LLC, Renaissance Food Group, LLC and Liberty Fresh Foods, LLC, Kenneth Catchot, Cut Fruit,</w:t>
              </w:r>
            </w:hyperlink>
          </w:p>
        </w:tc>
        <w:tc>
          <w:tcPr>
            <w:tcW w:w="80" w:type="dxa"/>
            <w:vAlign w:val="bottom"/>
            <w:tcBorders>
              <w:top w:val="single" w:sz="8" w:color="0000EE"/>
            </w:tcBorders>
            <w:gridSpan w:val="4"/>
          </w:tcPr>
          <w:p>
            <w:pPr>
              <w:spacing w:after="0"/>
              <w:rPr>
                <w:sz w:val="15"/>
                <w:szCs w:val="15"/>
                <w:color w:val="auto"/>
              </w:rPr>
            </w:pPr>
          </w:p>
        </w:tc>
        <w:tc>
          <w:tcPr>
            <w:tcW w:w="34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59"/>
          </w:tcPr>
          <w:p>
            <w:pPr>
              <w:spacing w:after="0" w:line="182" w:lineRule="exact"/>
              <w:rPr>
                <w:rFonts w:ascii="Arial" w:cs="Arial" w:eastAsia="Arial" w:hAnsi="Arial"/>
                <w:sz w:val="18"/>
                <w:szCs w:val="18"/>
                <w:color w:val="0000EE"/>
              </w:rPr>
            </w:pPr>
            <w:hyperlink r:id="rId20">
              <w:r>
                <w:rPr>
                  <w:rFonts w:ascii="Arial" w:cs="Arial" w:eastAsia="Arial" w:hAnsi="Arial"/>
                  <w:sz w:val="18"/>
                  <w:szCs w:val="18"/>
                  <w:color w:val="0000EE"/>
                </w:rPr>
                <w:t>LLC, James Catchot, James Gibson, Jose O. Castillo, Donald L. Johnson and RFG Nominee Trust</w:t>
              </w:r>
              <w:r>
                <w:rPr>
                  <w:rFonts w:ascii="Arial" w:cs="Arial" w:eastAsia="Arial" w:hAnsi="Arial"/>
                  <w:sz w:val="8"/>
                  <w:szCs w:val="8"/>
                  <w:u w:val="single" w:color="auto"/>
                  <w:color w:val="0000EE"/>
                </w:rPr>
                <w:t>1</w:t>
              </w:r>
            </w:hyperlink>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760" w:type="dxa"/>
            <w:vAlign w:val="bottom"/>
            <w:tcBorders>
              <w:top w:val="single" w:sz="8" w:color="0000EE"/>
              <w:bottom w:val="single" w:sz="8" w:color="0000EE"/>
            </w:tcBorders>
            <w:gridSpan w:val="52"/>
          </w:tcPr>
          <w:p>
            <w:pPr>
              <w:spacing w:after="0" w:line="182" w:lineRule="exact"/>
              <w:rPr>
                <w:rFonts w:ascii="Arial" w:cs="Arial" w:eastAsia="Arial" w:hAnsi="Arial"/>
                <w:sz w:val="18"/>
                <w:szCs w:val="18"/>
                <w:color w:val="0000EE"/>
                <w:w w:val="99"/>
              </w:rPr>
            </w:pPr>
            <w:hyperlink r:id="rId20">
              <w:r>
                <w:rPr>
                  <w:rFonts w:ascii="Arial" w:cs="Arial" w:eastAsia="Arial" w:hAnsi="Arial"/>
                  <w:sz w:val="18"/>
                  <w:szCs w:val="18"/>
                  <w:color w:val="0000EE"/>
                  <w:w w:val="99"/>
                </w:rPr>
                <w:t>(Certain portions of the exhibit have been omitted based upon a request for confidential treatment</w:t>
              </w:r>
            </w:hyperlink>
          </w:p>
        </w:tc>
        <w:tc>
          <w:tcPr>
            <w:tcW w:w="80" w:type="dxa"/>
            <w:vAlign w:val="bottom"/>
            <w:tcBorders>
              <w:top w:val="single" w:sz="8" w:color="0000EE"/>
            </w:tcBorders>
          </w:tcPr>
          <w:p>
            <w:pPr>
              <w:spacing w:after="0"/>
              <w:rPr>
                <w:sz w:val="15"/>
                <w:szCs w:val="15"/>
                <w:color w:val="auto"/>
              </w:rPr>
            </w:pPr>
          </w:p>
        </w:tc>
        <w:tc>
          <w:tcPr>
            <w:tcW w:w="2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59"/>
          </w:tcPr>
          <w:p>
            <w:pPr>
              <w:spacing w:after="0" w:line="182" w:lineRule="exact"/>
              <w:rPr>
                <w:rFonts w:ascii="Arial" w:cs="Arial" w:eastAsia="Arial" w:hAnsi="Arial"/>
                <w:sz w:val="18"/>
                <w:szCs w:val="18"/>
                <w:color w:val="0000EE"/>
              </w:rPr>
            </w:pPr>
            <w:hyperlink r:id="rId20">
              <w:r>
                <w:rPr>
                  <w:rFonts w:ascii="Arial" w:cs="Arial" w:eastAsia="Arial" w:hAnsi="Arial"/>
                  <w:sz w:val="18"/>
                  <w:szCs w:val="18"/>
                  <w:color w:val="0000EE"/>
                </w:rPr>
                <w:t>filed by the Registrant with the Securities and Exchange Commission. The omitted portions of the</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20" w:type="dxa"/>
            <w:vAlign w:val="bottom"/>
            <w:gridSpan w:val="56"/>
          </w:tcPr>
          <w:p>
            <w:pPr>
              <w:spacing w:after="0"/>
              <w:rPr>
                <w:rFonts w:ascii="Arial" w:cs="Arial" w:eastAsia="Arial" w:hAnsi="Arial"/>
                <w:sz w:val="18"/>
                <w:szCs w:val="18"/>
                <w:color w:val="0000EE"/>
                <w:w w:val="97"/>
              </w:rPr>
            </w:pPr>
            <w:hyperlink r:id="rId20">
              <w:r>
                <w:rPr>
                  <w:rFonts w:ascii="Arial" w:cs="Arial" w:eastAsia="Arial" w:hAnsi="Arial"/>
                  <w:sz w:val="18"/>
                  <w:szCs w:val="18"/>
                  <w:color w:val="0000EE"/>
                  <w:w w:val="97"/>
                  <w:vertAlign w:val="subscript"/>
                </w:rPr>
                <w:t>16</w:t>
              </w:r>
              <w:r>
                <w:rPr>
                  <w:rFonts w:ascii="Arial" w:cs="Arial" w:eastAsia="Arial" w:hAnsi="Arial"/>
                  <w:sz w:val="18"/>
                  <w:szCs w:val="18"/>
                  <w:color w:val="0000EE"/>
                  <w:w w:val="97"/>
                </w:rPr>
                <w:t>exhibit have been separately filed by the Registrant with the Securities and Exchange Commission.)</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gridSpan w:val="1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8040" w:type="dxa"/>
            <w:vAlign w:val="bottom"/>
            <w:gridSpan w:val="59"/>
          </w:tcPr>
          <w:p>
            <w:pPr>
              <w:spacing w:after="0"/>
              <w:rPr>
                <w:rFonts w:ascii="Arial" w:cs="Arial" w:eastAsia="Arial" w:hAnsi="Arial"/>
                <w:sz w:val="18"/>
                <w:szCs w:val="18"/>
                <w:color w:val="0000EE"/>
              </w:rPr>
            </w:pPr>
            <w:hyperlink r:id="rId21">
              <w:r>
                <w:rPr>
                  <w:rFonts w:ascii="Arial" w:cs="Arial" w:eastAsia="Arial" w:hAnsi="Arial"/>
                  <w:sz w:val="18"/>
                  <w:szCs w:val="18"/>
                  <w:color w:val="0000EE"/>
                </w:rPr>
                <w:t>Sale of LLC Interest Agreement dated October 31, 2013 between Calavo Growers, Inc. and San</w:t>
              </w:r>
            </w:hyperlink>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tcBorders>
              <w:top w:val="single" w:sz="8" w:color="0000EE"/>
              <w:bottom w:val="single" w:sz="8" w:color="0000EE"/>
            </w:tcBorders>
            <w:gridSpan w:val="16"/>
            <w:vMerge w:val="restart"/>
          </w:tcPr>
          <w:p>
            <w:pPr>
              <w:spacing w:after="0" w:line="182" w:lineRule="exact"/>
              <w:rPr>
                <w:rFonts w:ascii="Arial" w:cs="Arial" w:eastAsia="Arial" w:hAnsi="Arial"/>
                <w:sz w:val="18"/>
                <w:szCs w:val="18"/>
                <w:color w:val="0000EE"/>
                <w:w w:val="98"/>
              </w:rPr>
            </w:pPr>
            <w:hyperlink r:id="rId21">
              <w:r>
                <w:rPr>
                  <w:rFonts w:ascii="Arial" w:cs="Arial" w:eastAsia="Arial" w:hAnsi="Arial"/>
                  <w:sz w:val="18"/>
                  <w:szCs w:val="18"/>
                  <w:color w:val="0000EE"/>
                  <w:w w:val="98"/>
                </w:rPr>
                <w:t>Rafael Distributing, Inc.</w:t>
              </w:r>
            </w:hyperlink>
          </w:p>
        </w:tc>
        <w:tc>
          <w:tcPr>
            <w:tcW w:w="100" w:type="dxa"/>
            <w:vAlign w:val="bottom"/>
            <w:tcBorders>
              <w:top w:val="single" w:sz="8" w:color="0000EE"/>
              <w:bottom w:val="single" w:sz="8" w:color="0000EE"/>
            </w:tcBorders>
            <w:gridSpan w:val="2"/>
          </w:tcPr>
          <w:p>
            <w:pPr>
              <w:jc w:val="right"/>
              <w:spacing w:after="0" w:line="102" w:lineRule="exact"/>
              <w:rPr>
                <w:rFonts w:ascii="Arial" w:cs="Arial" w:eastAsia="Arial" w:hAnsi="Arial"/>
                <w:sz w:val="9"/>
                <w:szCs w:val="9"/>
                <w:color w:val="0000EE"/>
                <w:w w:val="79"/>
              </w:rPr>
            </w:pPr>
            <w:hyperlink r:id="rId21">
              <w:r>
                <w:rPr>
                  <w:rFonts w:ascii="Arial" w:cs="Arial" w:eastAsia="Arial" w:hAnsi="Arial"/>
                  <w:sz w:val="9"/>
                  <w:szCs w:val="9"/>
                  <w:color w:val="0000EE"/>
                  <w:w w:val="79"/>
                </w:rPr>
                <w:t>17</w:t>
              </w:r>
            </w:hyperlink>
          </w:p>
        </w:tc>
        <w:tc>
          <w:tcPr>
            <w:tcW w:w="1960" w:type="dxa"/>
            <w:vAlign w:val="bottom"/>
            <w:tcBorders>
              <w:top w:val="single" w:sz="8" w:color="0000EE"/>
              <w:bottom w:val="single" w:sz="8" w:color="0000EE"/>
            </w:tcBorders>
            <w:gridSpan w:val="2"/>
            <w:vMerge w:val="restart"/>
          </w:tcPr>
          <w:p>
            <w:pPr>
              <w:spacing w:after="0"/>
              <w:rPr>
                <w:sz w:val="10"/>
                <w:szCs w:val="10"/>
                <w:color w:val="auto"/>
              </w:rPr>
            </w:pPr>
          </w:p>
        </w:tc>
        <w:tc>
          <w:tcPr>
            <w:tcW w:w="560" w:type="dxa"/>
            <w:vAlign w:val="bottom"/>
            <w:tcBorders>
              <w:top w:val="single" w:sz="8" w:color="0000EE"/>
              <w:bottom w:val="single" w:sz="8" w:color="0000EE"/>
            </w:tcBorders>
            <w:gridSpan w:val="2"/>
            <w:vMerge w:val="restart"/>
          </w:tcPr>
          <w:p>
            <w:pPr>
              <w:spacing w:after="0"/>
              <w:rPr>
                <w:sz w:val="10"/>
                <w:szCs w:val="10"/>
                <w:color w:val="auto"/>
              </w:rPr>
            </w:pPr>
          </w:p>
        </w:tc>
        <w:tc>
          <w:tcPr>
            <w:tcW w:w="100" w:type="dxa"/>
            <w:vAlign w:val="bottom"/>
            <w:tcBorders>
              <w:top w:val="single" w:sz="8" w:color="0000EE"/>
              <w:bottom w:val="single" w:sz="8" w:color="0000EE"/>
            </w:tcBorders>
            <w:gridSpan w:val="2"/>
            <w:vMerge w:val="restart"/>
          </w:tcPr>
          <w:p>
            <w:pPr>
              <w:spacing w:after="0"/>
              <w:rPr>
                <w:sz w:val="10"/>
                <w:szCs w:val="10"/>
                <w:color w:val="auto"/>
              </w:rPr>
            </w:pPr>
          </w:p>
        </w:tc>
        <w:tc>
          <w:tcPr>
            <w:tcW w:w="1380" w:type="dxa"/>
            <w:vAlign w:val="bottom"/>
            <w:tcBorders>
              <w:top w:val="single" w:sz="8" w:color="0000EE"/>
              <w:bottom w:val="single" w:sz="8" w:color="0000EE"/>
            </w:tcBorders>
            <w:gridSpan w:val="2"/>
            <w:vMerge w:val="restart"/>
          </w:tcPr>
          <w:p>
            <w:pPr>
              <w:spacing w:after="0"/>
              <w:rPr>
                <w:sz w:val="10"/>
                <w:szCs w:val="10"/>
                <w:color w:val="auto"/>
              </w:rPr>
            </w:pPr>
          </w:p>
        </w:tc>
        <w:tc>
          <w:tcPr>
            <w:tcW w:w="120" w:type="dxa"/>
            <w:vAlign w:val="bottom"/>
            <w:tcBorders>
              <w:top w:val="single" w:sz="8" w:color="0000EE"/>
              <w:bottom w:val="single" w:sz="8" w:color="0000EE"/>
            </w:tcBorders>
            <w:gridSpan w:val="2"/>
            <w:vMerge w:val="restart"/>
          </w:tcPr>
          <w:p>
            <w:pPr>
              <w:spacing w:after="0"/>
              <w:rPr>
                <w:sz w:val="10"/>
                <w:szCs w:val="10"/>
                <w:color w:val="auto"/>
              </w:rPr>
            </w:pPr>
          </w:p>
        </w:tc>
        <w:tc>
          <w:tcPr>
            <w:tcW w:w="420" w:type="dxa"/>
            <w:vAlign w:val="bottom"/>
            <w:tcBorders>
              <w:top w:val="single" w:sz="8" w:color="0000EE"/>
              <w:bottom w:val="single" w:sz="8" w:color="0000EE"/>
            </w:tcBorders>
            <w:gridSpan w:val="3"/>
            <w:vMerge w:val="restart"/>
          </w:tcPr>
          <w:p>
            <w:pPr>
              <w:spacing w:after="0"/>
              <w:rPr>
                <w:sz w:val="10"/>
                <w:szCs w:val="10"/>
                <w:color w:val="auto"/>
              </w:rPr>
            </w:pPr>
          </w:p>
        </w:tc>
        <w:tc>
          <w:tcPr>
            <w:tcW w:w="120" w:type="dxa"/>
            <w:vAlign w:val="bottom"/>
            <w:tcBorders>
              <w:top w:val="single" w:sz="8" w:color="0000EE"/>
              <w:bottom w:val="single" w:sz="8" w:color="0000EE"/>
            </w:tcBorders>
            <w:gridSpan w:val="2"/>
            <w:vMerge w:val="restart"/>
          </w:tcPr>
          <w:p>
            <w:pPr>
              <w:spacing w:after="0"/>
              <w:rPr>
                <w:sz w:val="10"/>
                <w:szCs w:val="10"/>
                <w:color w:val="auto"/>
              </w:rPr>
            </w:pPr>
          </w:p>
        </w:tc>
        <w:tc>
          <w:tcPr>
            <w:tcW w:w="840" w:type="dxa"/>
            <w:vAlign w:val="bottom"/>
            <w:tcBorders>
              <w:top w:val="single" w:sz="8" w:color="0000EE"/>
              <w:bottom w:val="single" w:sz="8" w:color="0000EE"/>
            </w:tcBorders>
            <w:gridSpan w:val="5"/>
            <w:vMerge w:val="restart"/>
          </w:tcPr>
          <w:p>
            <w:pPr>
              <w:spacing w:after="0"/>
              <w:rPr>
                <w:sz w:val="10"/>
                <w:szCs w:val="10"/>
                <w:color w:val="auto"/>
              </w:rPr>
            </w:pPr>
          </w:p>
        </w:tc>
        <w:tc>
          <w:tcPr>
            <w:tcW w:w="40" w:type="dxa"/>
            <w:vAlign w:val="bottom"/>
            <w:tcBorders>
              <w:top w:val="single" w:sz="8" w:color="0000EE"/>
              <w:bottom w:val="single" w:sz="8" w:color="0000EE"/>
            </w:tcBorders>
            <w:gridSpan w:val="2"/>
            <w:vMerge w:val="restart"/>
          </w:tcPr>
          <w:p>
            <w:pPr>
              <w:spacing w:after="0"/>
              <w:rPr>
                <w:sz w:val="10"/>
                <w:szCs w:val="10"/>
                <w:color w:val="auto"/>
              </w:rPr>
            </w:pPr>
          </w:p>
        </w:tc>
        <w:tc>
          <w:tcPr>
            <w:tcW w:w="80" w:type="dxa"/>
            <w:vAlign w:val="bottom"/>
            <w:tcBorders>
              <w:top w:val="single" w:sz="8" w:color="0000EE"/>
              <w:bottom w:val="single" w:sz="8" w:color="0000EE"/>
            </w:tcBorders>
            <w:gridSpan w:val="3"/>
            <w:vMerge w:val="restart"/>
          </w:tcPr>
          <w:p>
            <w:pPr>
              <w:spacing w:after="0"/>
              <w:rPr>
                <w:sz w:val="10"/>
                <w:szCs w:val="10"/>
                <w:color w:val="auto"/>
              </w:rPr>
            </w:pPr>
          </w:p>
        </w:tc>
        <w:tc>
          <w:tcPr>
            <w:tcW w:w="60" w:type="dxa"/>
            <w:vAlign w:val="bottom"/>
            <w:tcBorders>
              <w:top w:val="single" w:sz="8" w:color="0000EE"/>
              <w:bottom w:val="single" w:sz="8" w:color="0000EE"/>
            </w:tcBorders>
            <w:gridSpan w:val="3"/>
            <w:vMerge w:val="restart"/>
          </w:tcPr>
          <w:p>
            <w:pPr>
              <w:spacing w:after="0"/>
              <w:rPr>
                <w:sz w:val="10"/>
                <w:szCs w:val="10"/>
                <w:color w:val="auto"/>
              </w:rPr>
            </w:pPr>
          </w:p>
        </w:tc>
        <w:tc>
          <w:tcPr>
            <w:tcW w:w="400" w:type="dxa"/>
            <w:vAlign w:val="bottom"/>
            <w:gridSpan w:val="1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60" w:type="dxa"/>
            <w:vAlign w:val="bottom"/>
            <w:tcBorders>
              <w:bottom w:val="single" w:sz="8" w:color="0000EE"/>
            </w:tcBorders>
            <w:gridSpan w:val="16"/>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40" w:type="dxa"/>
            <w:vAlign w:val="bottom"/>
            <w:gridSpan w:val="5"/>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80" w:type="dxa"/>
            <w:vAlign w:val="bottom"/>
            <w:gridSpan w:val="3"/>
            <w:vMerge w:val="continue"/>
          </w:tcPr>
          <w:p>
            <w:pPr>
              <w:spacing w:after="0"/>
              <w:rPr>
                <w:sz w:val="4"/>
                <w:szCs w:val="4"/>
                <w:color w:val="auto"/>
              </w:rPr>
            </w:pPr>
          </w:p>
        </w:tc>
        <w:tc>
          <w:tcPr>
            <w:tcW w:w="60" w:type="dxa"/>
            <w:vAlign w:val="bottom"/>
            <w:gridSpan w:val="3"/>
            <w:vMerge w:val="continue"/>
          </w:tcPr>
          <w:p>
            <w:pPr>
              <w:spacing w:after="0"/>
              <w:rPr>
                <w:sz w:val="4"/>
                <w:szCs w:val="4"/>
                <w:color w:val="auto"/>
              </w:rPr>
            </w:pPr>
          </w:p>
        </w:tc>
        <w:tc>
          <w:tcPr>
            <w:tcW w:w="40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2.9</w:t>
            </w:r>
          </w:p>
        </w:tc>
        <w:tc>
          <w:tcPr>
            <w:tcW w:w="8040" w:type="dxa"/>
            <w:vAlign w:val="bottom"/>
            <w:gridSpan w:val="59"/>
          </w:tcPr>
          <w:p>
            <w:pPr>
              <w:spacing w:after="0" w:line="182" w:lineRule="exact"/>
              <w:rPr>
                <w:rFonts w:ascii="Arial" w:cs="Arial" w:eastAsia="Arial" w:hAnsi="Arial"/>
                <w:sz w:val="18"/>
                <w:szCs w:val="18"/>
                <w:color w:val="0000EE"/>
              </w:rPr>
            </w:pPr>
            <w:hyperlink r:id="rId22">
              <w:r>
                <w:rPr>
                  <w:rFonts w:ascii="Arial" w:cs="Arial" w:eastAsia="Arial" w:hAnsi="Arial"/>
                  <w:sz w:val="18"/>
                  <w:szCs w:val="18"/>
                  <w:color w:val="0000EE"/>
                </w:rPr>
                <w:t>Amendment No. 1 to Agreement and Plan of Merger, dated July 31, 2013, among Calavo Growers,</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6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59"/>
          </w:tcPr>
          <w:p>
            <w:pPr>
              <w:spacing w:after="0" w:line="182" w:lineRule="exact"/>
              <w:rPr>
                <w:rFonts w:ascii="Arial" w:cs="Arial" w:eastAsia="Arial" w:hAnsi="Arial"/>
                <w:sz w:val="18"/>
                <w:szCs w:val="18"/>
                <w:color w:val="0000EE"/>
              </w:rPr>
            </w:pPr>
            <w:hyperlink r:id="rId22">
              <w:r>
                <w:rPr>
                  <w:rFonts w:ascii="Arial" w:cs="Arial" w:eastAsia="Arial" w:hAnsi="Arial"/>
                  <w:sz w:val="18"/>
                  <w:szCs w:val="18"/>
                  <w:color w:val="0000EE"/>
                </w:rPr>
                <w:t>Inc., Renaissance Food Group, LLC and Liberty Fresh Foods, LLC, Kenneth Catchot, Cut Fruit, LLC,</w:t>
              </w:r>
            </w:hyperlink>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60" w:type="dxa"/>
            <w:vAlign w:val="bottom"/>
            <w:tcBorders>
              <w:top w:val="single" w:sz="8" w:color="0000EE"/>
              <w:bottom w:val="single" w:sz="8" w:color="0000EE"/>
            </w:tcBorders>
            <w:gridSpan w:val="38"/>
            <w:vMerge w:val="restart"/>
          </w:tcPr>
          <w:p>
            <w:pPr>
              <w:spacing w:after="0" w:line="182" w:lineRule="exact"/>
              <w:rPr>
                <w:rFonts w:ascii="Arial" w:cs="Arial" w:eastAsia="Arial" w:hAnsi="Arial"/>
                <w:sz w:val="18"/>
                <w:szCs w:val="18"/>
                <w:color w:val="0000EE"/>
                <w:w w:val="99"/>
              </w:rPr>
            </w:pPr>
            <w:hyperlink r:id="rId22">
              <w:r>
                <w:rPr>
                  <w:rFonts w:ascii="Arial" w:cs="Arial" w:eastAsia="Arial" w:hAnsi="Arial"/>
                  <w:sz w:val="18"/>
                  <w:szCs w:val="18"/>
                  <w:color w:val="0000EE"/>
                  <w:w w:val="99"/>
                </w:rPr>
                <w:t>James Catchot, James Gibson, Jose O. Castillo, Donald L. Johnson and RFG Nominee Trust.</w:t>
              </w:r>
            </w:hyperlink>
          </w:p>
        </w:tc>
        <w:tc>
          <w:tcPr>
            <w:tcW w:w="120" w:type="dxa"/>
            <w:vAlign w:val="bottom"/>
            <w:tcBorders>
              <w:top w:val="single" w:sz="8" w:color="0000EE"/>
              <w:bottom w:val="single" w:sz="8" w:color="0000EE"/>
            </w:tcBorders>
            <w:gridSpan w:val="5"/>
          </w:tcPr>
          <w:p>
            <w:pPr>
              <w:jc w:val="right"/>
              <w:spacing w:after="0" w:line="102" w:lineRule="exact"/>
              <w:rPr>
                <w:rFonts w:ascii="Arial" w:cs="Arial" w:eastAsia="Arial" w:hAnsi="Arial"/>
                <w:sz w:val="9"/>
                <w:szCs w:val="9"/>
                <w:color w:val="0000EE"/>
                <w:w w:val="99"/>
              </w:rPr>
            </w:pPr>
            <w:hyperlink r:id="rId22">
              <w:r>
                <w:rPr>
                  <w:rFonts w:ascii="Arial" w:cs="Arial" w:eastAsia="Arial" w:hAnsi="Arial"/>
                  <w:sz w:val="9"/>
                  <w:szCs w:val="9"/>
                  <w:color w:val="0000EE"/>
                  <w:w w:val="99"/>
                </w:rPr>
                <w:t>18</w:t>
              </w:r>
            </w:hyperlink>
          </w:p>
        </w:tc>
        <w:tc>
          <w:tcPr>
            <w:tcW w:w="420" w:type="dxa"/>
            <w:vAlign w:val="bottom"/>
            <w:tcBorders>
              <w:top w:val="single" w:sz="8" w:color="0000EE"/>
              <w:bottom w:val="single" w:sz="8" w:color="0000EE"/>
            </w:tcBorders>
            <w:gridSpan w:val="15"/>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60" w:type="dxa"/>
            <w:vAlign w:val="bottom"/>
            <w:tcBorders>
              <w:bottom w:val="single" w:sz="8" w:color="0000EE"/>
            </w:tcBorders>
            <w:gridSpan w:val="38"/>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gridSpan w:val="3"/>
          </w:tcPr>
          <w:p>
            <w:pPr>
              <w:spacing w:after="0"/>
              <w:rPr>
                <w:sz w:val="4"/>
                <w:szCs w:val="4"/>
                <w:color w:val="auto"/>
              </w:rPr>
            </w:pPr>
          </w:p>
        </w:tc>
        <w:tc>
          <w:tcPr>
            <w:tcW w:w="420" w:type="dxa"/>
            <w:vAlign w:val="bottom"/>
            <w:gridSpan w:val="15"/>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2.10</w:t>
            </w:r>
          </w:p>
        </w:tc>
        <w:tc>
          <w:tcPr>
            <w:tcW w:w="7480" w:type="dxa"/>
            <w:vAlign w:val="bottom"/>
            <w:tcBorders>
              <w:bottom w:val="single" w:sz="8" w:color="0000EE"/>
            </w:tcBorders>
            <w:gridSpan w:val="39"/>
          </w:tcPr>
          <w:p>
            <w:pPr>
              <w:spacing w:after="0" w:line="182" w:lineRule="exact"/>
              <w:rPr>
                <w:rFonts w:ascii="Arial" w:cs="Arial" w:eastAsia="Arial" w:hAnsi="Arial"/>
                <w:sz w:val="18"/>
                <w:szCs w:val="18"/>
                <w:color w:val="0000EE"/>
                <w:w w:val="99"/>
              </w:rPr>
            </w:pPr>
            <w:hyperlink r:id="rId23">
              <w:r>
                <w:rPr>
                  <w:rFonts w:ascii="Arial" w:cs="Arial" w:eastAsia="Arial" w:hAnsi="Arial"/>
                  <w:sz w:val="18"/>
                  <w:szCs w:val="18"/>
                  <w:color w:val="0000EE"/>
                  <w:w w:val="99"/>
                </w:rPr>
                <w:t>Amended and Restated Limited Liability Company Agreement, dated August 16, 2013, by and</w:t>
              </w:r>
            </w:hyperlink>
          </w:p>
        </w:tc>
        <w:tc>
          <w:tcPr>
            <w:tcW w:w="56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500" w:type="dxa"/>
            <w:vAlign w:val="bottom"/>
            <w:gridSpan w:val="31"/>
            <w:vMerge w:val="restart"/>
          </w:tcPr>
          <w:p>
            <w:pPr>
              <w:spacing w:after="0" w:line="182" w:lineRule="exact"/>
              <w:rPr>
                <w:rFonts w:ascii="Arial" w:cs="Arial" w:eastAsia="Arial" w:hAnsi="Arial"/>
                <w:sz w:val="18"/>
                <w:szCs w:val="18"/>
                <w:color w:val="0000EE"/>
                <w:w w:val="99"/>
              </w:rPr>
            </w:pPr>
            <w:hyperlink r:id="rId23">
              <w:r>
                <w:rPr>
                  <w:rFonts w:ascii="Arial" w:cs="Arial" w:eastAsia="Arial" w:hAnsi="Arial"/>
                  <w:sz w:val="18"/>
                  <w:szCs w:val="18"/>
                  <w:color w:val="0000EE"/>
                  <w:w w:val="99"/>
                </w:rPr>
                <w:t>among FreshRealm, LLC, a Delaware limited liability company, and the Members.</w:t>
              </w:r>
            </w:hyperlink>
          </w:p>
        </w:tc>
        <w:tc>
          <w:tcPr>
            <w:tcW w:w="120" w:type="dxa"/>
            <w:vAlign w:val="bottom"/>
            <w:tcBorders>
              <w:bottom w:val="single" w:sz="8" w:color="0000EE"/>
            </w:tcBorders>
            <w:gridSpan w:val="2"/>
          </w:tcPr>
          <w:p>
            <w:pPr>
              <w:jc w:val="right"/>
              <w:spacing w:after="0" w:line="102" w:lineRule="exact"/>
              <w:rPr>
                <w:rFonts w:ascii="Arial" w:cs="Arial" w:eastAsia="Arial" w:hAnsi="Arial"/>
                <w:sz w:val="9"/>
                <w:szCs w:val="9"/>
                <w:color w:val="0000EE"/>
                <w:w w:val="99"/>
              </w:rPr>
            </w:pPr>
            <w:hyperlink r:id="rId23">
              <w:r>
                <w:rPr>
                  <w:rFonts w:ascii="Arial" w:cs="Arial" w:eastAsia="Arial" w:hAnsi="Arial"/>
                  <w:sz w:val="9"/>
                  <w:szCs w:val="9"/>
                  <w:color w:val="0000EE"/>
                  <w:w w:val="99"/>
                </w:rPr>
                <w:t>19</w:t>
              </w:r>
            </w:hyperlink>
          </w:p>
        </w:tc>
        <w:tc>
          <w:tcPr>
            <w:tcW w:w="880" w:type="dxa"/>
            <w:vAlign w:val="bottom"/>
            <w:gridSpan w:val="7"/>
            <w:vMerge w:val="restart"/>
          </w:tcPr>
          <w:p>
            <w:pPr>
              <w:spacing w:after="0"/>
              <w:rPr>
                <w:sz w:val="10"/>
                <w:szCs w:val="10"/>
                <w:color w:val="auto"/>
              </w:rPr>
            </w:pPr>
          </w:p>
        </w:tc>
        <w:tc>
          <w:tcPr>
            <w:tcW w:w="540" w:type="dxa"/>
            <w:vAlign w:val="bottom"/>
            <w:gridSpan w:val="19"/>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500" w:type="dxa"/>
            <w:vAlign w:val="bottom"/>
            <w:tcBorders>
              <w:bottom w:val="single" w:sz="8" w:color="0000EE"/>
            </w:tcBorders>
            <w:gridSpan w:val="31"/>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7"/>
            <w:vMerge w:val="continue"/>
          </w:tcPr>
          <w:p>
            <w:pPr>
              <w:spacing w:after="0"/>
              <w:rPr>
                <w:sz w:val="4"/>
                <w:szCs w:val="4"/>
                <w:color w:val="auto"/>
              </w:rPr>
            </w:pPr>
          </w:p>
        </w:tc>
        <w:tc>
          <w:tcPr>
            <w:tcW w:w="540" w:type="dxa"/>
            <w:vAlign w:val="bottom"/>
            <w:gridSpan w:val="1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2.11</w:t>
            </w:r>
          </w:p>
        </w:tc>
        <w:tc>
          <w:tcPr>
            <w:tcW w:w="8040" w:type="dxa"/>
            <w:vAlign w:val="bottom"/>
            <w:gridSpan w:val="59"/>
          </w:tcPr>
          <w:p>
            <w:pPr>
              <w:spacing w:after="0" w:line="182" w:lineRule="exact"/>
              <w:rPr>
                <w:rFonts w:ascii="Arial" w:cs="Arial" w:eastAsia="Arial" w:hAnsi="Arial"/>
                <w:sz w:val="18"/>
                <w:szCs w:val="18"/>
                <w:color w:val="0000EE"/>
              </w:rPr>
            </w:pPr>
            <w:hyperlink r:id="rId24">
              <w:r>
                <w:rPr>
                  <w:rFonts w:ascii="Arial" w:cs="Arial" w:eastAsia="Arial" w:hAnsi="Arial"/>
                  <w:sz w:val="18"/>
                  <w:szCs w:val="18"/>
                  <w:color w:val="0000EE"/>
                </w:rPr>
                <w:t>Amendment No. 2 to Agreement and Plan of Merger, dated as of October 1, 2013, among Calavo</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6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760" w:type="dxa"/>
            <w:vAlign w:val="bottom"/>
            <w:tcBorders>
              <w:bottom w:val="single" w:sz="8" w:color="0000EE"/>
            </w:tcBorders>
            <w:gridSpan w:val="52"/>
          </w:tcPr>
          <w:p>
            <w:pPr>
              <w:spacing w:after="0" w:line="182" w:lineRule="exact"/>
              <w:rPr>
                <w:rFonts w:ascii="Arial" w:cs="Arial" w:eastAsia="Arial" w:hAnsi="Arial"/>
                <w:sz w:val="18"/>
                <w:szCs w:val="18"/>
                <w:color w:val="0000EE"/>
                <w:w w:val="99"/>
              </w:rPr>
            </w:pPr>
            <w:hyperlink r:id="rId24">
              <w:r>
                <w:rPr>
                  <w:rFonts w:ascii="Arial" w:cs="Arial" w:eastAsia="Arial" w:hAnsi="Arial"/>
                  <w:sz w:val="18"/>
                  <w:szCs w:val="18"/>
                  <w:color w:val="0000EE"/>
                  <w:w w:val="99"/>
                </w:rPr>
                <w:t>Growers, Inc., Renaissance Food Group, LLC and Liberty Fresh Foods, LLC, Kenneth J. Catchot,</w:t>
              </w:r>
            </w:hyperlink>
          </w:p>
        </w:tc>
        <w:tc>
          <w:tcPr>
            <w:tcW w:w="2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59"/>
          </w:tcPr>
          <w:p>
            <w:pPr>
              <w:spacing w:after="0" w:line="182" w:lineRule="exact"/>
              <w:rPr>
                <w:rFonts w:ascii="Arial" w:cs="Arial" w:eastAsia="Arial" w:hAnsi="Arial"/>
                <w:sz w:val="18"/>
                <w:szCs w:val="18"/>
                <w:color w:val="0000EE"/>
              </w:rPr>
            </w:pPr>
            <w:hyperlink r:id="rId24">
              <w:r>
                <w:rPr>
                  <w:rFonts w:ascii="Arial" w:cs="Arial" w:eastAsia="Arial" w:hAnsi="Arial"/>
                  <w:sz w:val="18"/>
                  <w:szCs w:val="18"/>
                  <w:color w:val="0000EE"/>
                </w:rPr>
                <w:t>Cut Fruit, LLC, James S. Catchot, James Gibson, Jose O. Castillo, Donald L. Johnson and the RFG</w:t>
              </w:r>
            </w:hyperlink>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Borders>
              <w:top w:val="single" w:sz="8" w:color="0000EE"/>
              <w:bottom w:val="single" w:sz="8" w:color="0000EE"/>
            </w:tcBorders>
            <w:gridSpan w:val="13"/>
            <w:vMerge w:val="restart"/>
          </w:tcPr>
          <w:p>
            <w:pPr>
              <w:spacing w:after="0" w:line="182" w:lineRule="exact"/>
              <w:rPr>
                <w:rFonts w:ascii="Arial" w:cs="Arial" w:eastAsia="Arial" w:hAnsi="Arial"/>
                <w:sz w:val="18"/>
                <w:szCs w:val="18"/>
                <w:color w:val="0000EE"/>
                <w:w w:val="97"/>
              </w:rPr>
            </w:pPr>
            <w:hyperlink r:id="rId24">
              <w:r>
                <w:rPr>
                  <w:rFonts w:ascii="Arial" w:cs="Arial" w:eastAsia="Arial" w:hAnsi="Arial"/>
                  <w:sz w:val="18"/>
                  <w:szCs w:val="18"/>
                  <w:color w:val="0000EE"/>
                  <w:w w:val="97"/>
                </w:rPr>
                <w:t>Nominee Trust.</w:t>
              </w:r>
            </w:hyperlink>
          </w:p>
        </w:tc>
        <w:tc>
          <w:tcPr>
            <w:tcW w:w="120" w:type="dxa"/>
            <w:vAlign w:val="bottom"/>
            <w:tcBorders>
              <w:top w:val="single" w:sz="8" w:color="0000EE"/>
              <w:bottom w:val="single" w:sz="8" w:color="0000EE"/>
            </w:tcBorders>
            <w:gridSpan w:val="2"/>
          </w:tcPr>
          <w:p>
            <w:pPr>
              <w:jc w:val="right"/>
              <w:spacing w:after="0" w:line="102" w:lineRule="exact"/>
              <w:rPr>
                <w:rFonts w:ascii="Arial" w:cs="Arial" w:eastAsia="Arial" w:hAnsi="Arial"/>
                <w:sz w:val="9"/>
                <w:szCs w:val="9"/>
                <w:color w:val="0000EE"/>
                <w:w w:val="99"/>
              </w:rPr>
            </w:pPr>
            <w:hyperlink r:id="rId24">
              <w:r>
                <w:rPr>
                  <w:rFonts w:ascii="Arial" w:cs="Arial" w:eastAsia="Arial" w:hAnsi="Arial"/>
                  <w:sz w:val="9"/>
                  <w:szCs w:val="9"/>
                  <w:color w:val="0000EE"/>
                  <w:w w:val="99"/>
                </w:rPr>
                <w:t>20</w:t>
              </w:r>
            </w:hyperlink>
          </w:p>
        </w:tc>
        <w:tc>
          <w:tcPr>
            <w:tcW w:w="2580" w:type="dxa"/>
            <w:vAlign w:val="bottom"/>
            <w:tcBorders>
              <w:top w:val="single" w:sz="8" w:color="0000EE"/>
              <w:bottom w:val="single" w:sz="8" w:color="0000EE"/>
            </w:tcBorders>
            <w:gridSpan w:val="5"/>
            <w:vMerge w:val="restart"/>
          </w:tcPr>
          <w:p>
            <w:pPr>
              <w:spacing w:after="0"/>
              <w:rPr>
                <w:sz w:val="10"/>
                <w:szCs w:val="10"/>
                <w:color w:val="auto"/>
              </w:rPr>
            </w:pPr>
          </w:p>
        </w:tc>
        <w:tc>
          <w:tcPr>
            <w:tcW w:w="560" w:type="dxa"/>
            <w:vAlign w:val="bottom"/>
            <w:tcBorders>
              <w:top w:val="single" w:sz="8" w:color="0000EE"/>
              <w:bottom w:val="single" w:sz="8" w:color="0000EE"/>
            </w:tcBorders>
            <w:gridSpan w:val="2"/>
            <w:vMerge w:val="restart"/>
          </w:tcPr>
          <w:p>
            <w:pPr>
              <w:spacing w:after="0"/>
              <w:rPr>
                <w:sz w:val="10"/>
                <w:szCs w:val="10"/>
                <w:color w:val="auto"/>
              </w:rPr>
            </w:pPr>
          </w:p>
        </w:tc>
        <w:tc>
          <w:tcPr>
            <w:tcW w:w="100" w:type="dxa"/>
            <w:vAlign w:val="bottom"/>
            <w:tcBorders>
              <w:top w:val="single" w:sz="8" w:color="0000EE"/>
              <w:bottom w:val="single" w:sz="8" w:color="0000EE"/>
            </w:tcBorders>
            <w:gridSpan w:val="2"/>
            <w:vMerge w:val="restart"/>
          </w:tcPr>
          <w:p>
            <w:pPr>
              <w:spacing w:after="0"/>
              <w:rPr>
                <w:sz w:val="10"/>
                <w:szCs w:val="10"/>
                <w:color w:val="auto"/>
              </w:rPr>
            </w:pPr>
          </w:p>
        </w:tc>
        <w:tc>
          <w:tcPr>
            <w:tcW w:w="1380" w:type="dxa"/>
            <w:vAlign w:val="bottom"/>
            <w:tcBorders>
              <w:top w:val="single" w:sz="8" w:color="0000EE"/>
              <w:bottom w:val="single" w:sz="8" w:color="0000EE"/>
            </w:tcBorders>
            <w:gridSpan w:val="2"/>
            <w:vMerge w:val="restart"/>
          </w:tcPr>
          <w:p>
            <w:pPr>
              <w:spacing w:after="0"/>
              <w:rPr>
                <w:sz w:val="10"/>
                <w:szCs w:val="10"/>
                <w:color w:val="auto"/>
              </w:rPr>
            </w:pPr>
          </w:p>
        </w:tc>
        <w:tc>
          <w:tcPr>
            <w:tcW w:w="120" w:type="dxa"/>
            <w:vAlign w:val="bottom"/>
            <w:tcBorders>
              <w:top w:val="single" w:sz="8" w:color="0000EE"/>
              <w:bottom w:val="single" w:sz="8" w:color="0000EE"/>
            </w:tcBorders>
            <w:gridSpan w:val="2"/>
            <w:vMerge w:val="restart"/>
          </w:tcPr>
          <w:p>
            <w:pPr>
              <w:spacing w:after="0"/>
              <w:rPr>
                <w:sz w:val="10"/>
                <w:szCs w:val="10"/>
                <w:color w:val="auto"/>
              </w:rPr>
            </w:pPr>
          </w:p>
        </w:tc>
        <w:tc>
          <w:tcPr>
            <w:tcW w:w="1420" w:type="dxa"/>
            <w:vAlign w:val="bottom"/>
            <w:tcBorders>
              <w:top w:val="single" w:sz="8" w:color="0000EE"/>
              <w:bottom w:val="single" w:sz="8" w:color="0000EE"/>
            </w:tcBorders>
            <w:gridSpan w:val="12"/>
            <w:vMerge w:val="restart"/>
          </w:tcPr>
          <w:p>
            <w:pPr>
              <w:spacing w:after="0"/>
              <w:rPr>
                <w:sz w:val="10"/>
                <w:szCs w:val="10"/>
                <w:color w:val="auto"/>
              </w:rPr>
            </w:pPr>
          </w:p>
        </w:tc>
        <w:tc>
          <w:tcPr>
            <w:tcW w:w="420" w:type="dxa"/>
            <w:vAlign w:val="bottom"/>
            <w:tcBorders>
              <w:top w:val="single" w:sz="8" w:color="0000EE"/>
              <w:bottom w:val="single" w:sz="8" w:color="0000EE"/>
            </w:tcBorders>
            <w:gridSpan w:val="16"/>
            <w:vMerge w:val="restart"/>
          </w:tcPr>
          <w:p>
            <w:pPr>
              <w:spacing w:after="0"/>
              <w:rPr>
                <w:sz w:val="10"/>
                <w:szCs w:val="10"/>
                <w:color w:val="auto"/>
              </w:rPr>
            </w:pP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Borders>
              <w:bottom w:val="single" w:sz="8" w:color="0000EE"/>
            </w:tcBorders>
            <w:gridSpan w:val="13"/>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5"/>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420" w:type="dxa"/>
            <w:vAlign w:val="bottom"/>
            <w:gridSpan w:val="12"/>
            <w:vMerge w:val="continue"/>
          </w:tcPr>
          <w:p>
            <w:pPr>
              <w:spacing w:after="0"/>
              <w:rPr>
                <w:sz w:val="4"/>
                <w:szCs w:val="4"/>
                <w:color w:val="auto"/>
              </w:rPr>
            </w:pPr>
          </w:p>
        </w:tc>
        <w:tc>
          <w:tcPr>
            <w:tcW w:w="420" w:type="dxa"/>
            <w:vAlign w:val="bottom"/>
            <w:gridSpan w:val="16"/>
            <w:vMerge w:val="continue"/>
          </w:tcPr>
          <w:p>
            <w:pPr>
              <w:spacing w:after="0"/>
              <w:rPr>
                <w:sz w:val="4"/>
                <w:szCs w:val="4"/>
                <w:color w:val="auto"/>
              </w:rPr>
            </w:pPr>
          </w:p>
        </w:tc>
        <w:tc>
          <w:tcPr>
            <w:tcW w:w="1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020" w:type="dxa"/>
            <w:vAlign w:val="bottom"/>
            <w:gridSpan w:val="2"/>
            <w:vMerge w:val="restart"/>
          </w:tcPr>
          <w:p>
            <w:pPr>
              <w:jc w:val="right"/>
              <w:ind w:right="200"/>
              <w:spacing w:after="0" w:line="182" w:lineRule="exact"/>
              <w:rPr>
                <w:sz w:val="20"/>
                <w:szCs w:val="20"/>
                <w:color w:val="auto"/>
              </w:rPr>
            </w:pPr>
            <w:r>
              <w:rPr>
                <w:rFonts w:ascii="Arial" w:cs="Arial" w:eastAsia="Arial" w:hAnsi="Arial"/>
                <w:sz w:val="18"/>
                <w:szCs w:val="18"/>
                <w:color w:val="auto"/>
              </w:rPr>
              <w:t>3.1</w:t>
            </w:r>
          </w:p>
        </w:tc>
        <w:tc>
          <w:tcPr>
            <w:tcW w:w="3820" w:type="dxa"/>
            <w:vAlign w:val="bottom"/>
            <w:gridSpan w:val="19"/>
            <w:vMerge w:val="restart"/>
          </w:tcPr>
          <w:p>
            <w:pPr>
              <w:spacing w:after="0" w:line="182" w:lineRule="exact"/>
              <w:rPr>
                <w:rFonts w:ascii="Arial" w:cs="Arial" w:eastAsia="Arial" w:hAnsi="Arial"/>
                <w:sz w:val="18"/>
                <w:szCs w:val="18"/>
                <w:color w:val="0000EE"/>
                <w:w w:val="99"/>
              </w:rPr>
            </w:pPr>
            <w:hyperlink r:id="rId25">
              <w:r>
                <w:rPr>
                  <w:rFonts w:ascii="Arial" w:cs="Arial" w:eastAsia="Arial" w:hAnsi="Arial"/>
                  <w:sz w:val="18"/>
                  <w:szCs w:val="18"/>
                  <w:color w:val="0000EE"/>
                  <w:w w:val="99"/>
                </w:rPr>
                <w:t>Articles of Incorporation of Calavo Growers, Inc.</w:t>
              </w:r>
            </w:hyperlink>
          </w:p>
        </w:tc>
        <w:tc>
          <w:tcPr>
            <w:tcW w:w="100" w:type="dxa"/>
            <w:vAlign w:val="bottom"/>
            <w:tcBorders>
              <w:bottom w:val="single" w:sz="8" w:color="0000EE"/>
            </w:tcBorders>
          </w:tcPr>
          <w:p>
            <w:pPr>
              <w:jc w:val="right"/>
              <w:spacing w:after="0" w:line="102" w:lineRule="exact"/>
              <w:rPr>
                <w:rFonts w:ascii="Arial" w:cs="Arial" w:eastAsia="Arial" w:hAnsi="Arial"/>
                <w:sz w:val="9"/>
                <w:szCs w:val="9"/>
                <w:color w:val="0000EE"/>
              </w:rPr>
            </w:pPr>
            <w:hyperlink r:id="rId25">
              <w:r>
                <w:rPr>
                  <w:rFonts w:ascii="Arial" w:cs="Arial" w:eastAsia="Arial" w:hAnsi="Arial"/>
                  <w:sz w:val="9"/>
                  <w:szCs w:val="9"/>
                  <w:color w:val="0000EE"/>
                </w:rPr>
                <w:t>1</w:t>
              </w:r>
            </w:hyperlink>
          </w:p>
        </w:tc>
        <w:tc>
          <w:tcPr>
            <w:tcW w:w="560" w:type="dxa"/>
            <w:vAlign w:val="bottom"/>
            <w:gridSpan w:val="2"/>
            <w:vMerge w:val="restart"/>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1380" w:type="dxa"/>
            <w:vAlign w:val="bottom"/>
            <w:gridSpan w:val="2"/>
            <w:vMerge w:val="restart"/>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1420" w:type="dxa"/>
            <w:vAlign w:val="bottom"/>
            <w:gridSpan w:val="12"/>
            <w:vMerge w:val="restart"/>
          </w:tcPr>
          <w:p>
            <w:pPr>
              <w:spacing w:after="0"/>
              <w:rPr>
                <w:sz w:val="10"/>
                <w:szCs w:val="10"/>
                <w:color w:val="auto"/>
              </w:rPr>
            </w:pPr>
          </w:p>
        </w:tc>
        <w:tc>
          <w:tcPr>
            <w:tcW w:w="540" w:type="dxa"/>
            <w:vAlign w:val="bottom"/>
            <w:gridSpan w:val="19"/>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020" w:type="dxa"/>
            <w:vAlign w:val="bottom"/>
            <w:gridSpan w:val="2"/>
            <w:vMerge w:val="continue"/>
          </w:tcPr>
          <w:p>
            <w:pPr>
              <w:spacing w:after="0"/>
              <w:rPr>
                <w:sz w:val="4"/>
                <w:szCs w:val="4"/>
                <w:color w:val="auto"/>
              </w:rPr>
            </w:pPr>
          </w:p>
        </w:tc>
        <w:tc>
          <w:tcPr>
            <w:tcW w:w="3820" w:type="dxa"/>
            <w:vAlign w:val="bottom"/>
            <w:tcBorders>
              <w:bottom w:val="single" w:sz="8" w:color="0000EE"/>
            </w:tcBorders>
            <w:gridSpan w:val="19"/>
            <w:vMerge w:val="continue"/>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420" w:type="dxa"/>
            <w:vAlign w:val="bottom"/>
            <w:gridSpan w:val="12"/>
            <w:vMerge w:val="continue"/>
          </w:tcPr>
          <w:p>
            <w:pPr>
              <w:spacing w:after="0"/>
              <w:rPr>
                <w:sz w:val="4"/>
                <w:szCs w:val="4"/>
                <w:color w:val="auto"/>
              </w:rPr>
            </w:pPr>
          </w:p>
        </w:tc>
        <w:tc>
          <w:tcPr>
            <w:tcW w:w="540" w:type="dxa"/>
            <w:vAlign w:val="bottom"/>
            <w:gridSpan w:val="1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3.2</w:t>
            </w:r>
          </w:p>
        </w:tc>
        <w:tc>
          <w:tcPr>
            <w:tcW w:w="8040" w:type="dxa"/>
            <w:vAlign w:val="bottom"/>
            <w:gridSpan w:val="59"/>
          </w:tcPr>
          <w:p>
            <w:pPr>
              <w:spacing w:after="0" w:line="182" w:lineRule="exact"/>
              <w:rPr>
                <w:rFonts w:ascii="Arial" w:cs="Arial" w:eastAsia="Arial" w:hAnsi="Arial"/>
                <w:sz w:val="18"/>
                <w:szCs w:val="18"/>
                <w:color w:val="0000EE"/>
              </w:rPr>
            </w:pPr>
            <w:hyperlink r:id="rId26">
              <w:r>
                <w:rPr>
                  <w:rFonts w:ascii="Arial" w:cs="Arial" w:eastAsia="Arial" w:hAnsi="Arial"/>
                  <w:sz w:val="18"/>
                  <w:szCs w:val="18"/>
                  <w:color w:val="0000EE"/>
                </w:rPr>
                <w:t>Amended and Restated Bylaws of Calavo Growers, Inc.</w:t>
              </w:r>
              <w:r>
                <w:rPr>
                  <w:rFonts w:ascii="Arial" w:cs="Arial" w:eastAsia="Arial" w:hAnsi="Arial"/>
                  <w:sz w:val="8"/>
                  <w:szCs w:val="8"/>
                  <w:u w:val="single" w:color="auto"/>
                  <w:color w:val="0000EE"/>
                </w:rPr>
                <w:t>5</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20" w:type="dxa"/>
            <w:vAlign w:val="bottom"/>
            <w:gridSpan w:val="2"/>
            <w:vMerge w:val="restart"/>
          </w:tcPr>
          <w:p>
            <w:pPr>
              <w:jc w:val="right"/>
              <w:ind w:right="200"/>
              <w:spacing w:after="0" w:line="182" w:lineRule="exact"/>
              <w:rPr>
                <w:sz w:val="20"/>
                <w:szCs w:val="20"/>
                <w:color w:val="auto"/>
              </w:rPr>
            </w:pPr>
            <w:r>
              <w:rPr>
                <w:rFonts w:ascii="Arial" w:cs="Arial" w:eastAsia="Arial" w:hAnsi="Arial"/>
                <w:sz w:val="18"/>
                <w:szCs w:val="18"/>
                <w:color w:val="auto"/>
              </w:rPr>
              <w:t>3.3</w:t>
            </w:r>
          </w:p>
        </w:tc>
        <w:tc>
          <w:tcPr>
            <w:tcW w:w="5960" w:type="dxa"/>
            <w:vAlign w:val="bottom"/>
            <w:gridSpan w:val="26"/>
            <w:vMerge w:val="restart"/>
          </w:tcPr>
          <w:p>
            <w:pPr>
              <w:spacing w:after="0" w:line="182" w:lineRule="exact"/>
              <w:rPr>
                <w:rFonts w:ascii="Arial" w:cs="Arial" w:eastAsia="Arial" w:hAnsi="Arial"/>
                <w:sz w:val="18"/>
                <w:szCs w:val="18"/>
                <w:color w:val="0000EE"/>
                <w:w w:val="99"/>
              </w:rPr>
            </w:pPr>
            <w:hyperlink r:id="rId27">
              <w:r>
                <w:rPr>
                  <w:rFonts w:ascii="Arial" w:cs="Arial" w:eastAsia="Arial" w:hAnsi="Arial"/>
                  <w:sz w:val="18"/>
                  <w:szCs w:val="18"/>
                  <w:color w:val="0000EE"/>
                  <w:w w:val="99"/>
                </w:rPr>
                <w:t>Amendments to Articles of Incorporation or Bylaws of Calavo Growers, Inc.</w:t>
              </w:r>
            </w:hyperlink>
          </w:p>
        </w:tc>
        <w:tc>
          <w:tcPr>
            <w:tcW w:w="120" w:type="dxa"/>
            <w:vAlign w:val="bottom"/>
            <w:tcBorders>
              <w:bottom w:val="single" w:sz="8" w:color="0000EE"/>
            </w:tcBorders>
            <w:gridSpan w:val="2"/>
          </w:tcPr>
          <w:p>
            <w:pPr>
              <w:jc w:val="right"/>
              <w:spacing w:after="0" w:line="102" w:lineRule="exact"/>
              <w:rPr>
                <w:rFonts w:ascii="Arial" w:cs="Arial" w:eastAsia="Arial" w:hAnsi="Arial"/>
                <w:sz w:val="9"/>
                <w:szCs w:val="9"/>
                <w:color w:val="0000EE"/>
                <w:w w:val="99"/>
              </w:rPr>
            </w:pPr>
            <w:hyperlink r:id="rId27">
              <w:r>
                <w:rPr>
                  <w:rFonts w:ascii="Arial" w:cs="Arial" w:eastAsia="Arial" w:hAnsi="Arial"/>
                  <w:sz w:val="9"/>
                  <w:szCs w:val="9"/>
                  <w:color w:val="0000EE"/>
                  <w:w w:val="99"/>
                </w:rPr>
                <w:t>15</w:t>
              </w:r>
            </w:hyperlink>
          </w:p>
        </w:tc>
        <w:tc>
          <w:tcPr>
            <w:tcW w:w="1420" w:type="dxa"/>
            <w:vAlign w:val="bottom"/>
            <w:gridSpan w:val="12"/>
            <w:vMerge w:val="restart"/>
          </w:tcPr>
          <w:p>
            <w:pPr>
              <w:spacing w:after="0"/>
              <w:rPr>
                <w:sz w:val="10"/>
                <w:szCs w:val="10"/>
                <w:color w:val="auto"/>
              </w:rPr>
            </w:pPr>
          </w:p>
        </w:tc>
        <w:tc>
          <w:tcPr>
            <w:tcW w:w="540" w:type="dxa"/>
            <w:vAlign w:val="bottom"/>
            <w:gridSpan w:val="19"/>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020" w:type="dxa"/>
            <w:vAlign w:val="bottom"/>
            <w:gridSpan w:val="2"/>
            <w:vMerge w:val="continue"/>
          </w:tcPr>
          <w:p>
            <w:pPr>
              <w:spacing w:after="0"/>
              <w:rPr>
                <w:sz w:val="4"/>
                <w:szCs w:val="4"/>
                <w:color w:val="auto"/>
              </w:rPr>
            </w:pPr>
          </w:p>
        </w:tc>
        <w:tc>
          <w:tcPr>
            <w:tcW w:w="5960" w:type="dxa"/>
            <w:vAlign w:val="bottom"/>
            <w:tcBorders>
              <w:bottom w:val="single" w:sz="8" w:color="0000EE"/>
            </w:tcBorders>
            <w:gridSpan w:val="26"/>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12"/>
            <w:vMerge w:val="continue"/>
          </w:tcPr>
          <w:p>
            <w:pPr>
              <w:spacing w:after="0"/>
              <w:rPr>
                <w:sz w:val="4"/>
                <w:szCs w:val="4"/>
                <w:color w:val="auto"/>
              </w:rPr>
            </w:pPr>
          </w:p>
        </w:tc>
        <w:tc>
          <w:tcPr>
            <w:tcW w:w="540" w:type="dxa"/>
            <w:vAlign w:val="bottom"/>
            <w:gridSpan w:val="1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020" w:type="dxa"/>
            <w:vAlign w:val="bottom"/>
            <w:gridSpan w:val="2"/>
            <w:vMerge w:val="restart"/>
          </w:tcPr>
          <w:p>
            <w:pPr>
              <w:jc w:val="right"/>
              <w:ind w:right="200"/>
              <w:spacing w:after="0" w:line="182" w:lineRule="exact"/>
              <w:rPr>
                <w:sz w:val="20"/>
                <w:szCs w:val="20"/>
                <w:color w:val="auto"/>
              </w:rPr>
            </w:pPr>
            <w:r>
              <w:rPr>
                <w:rFonts w:ascii="Arial" w:cs="Arial" w:eastAsia="Arial" w:hAnsi="Arial"/>
                <w:sz w:val="18"/>
                <w:szCs w:val="18"/>
                <w:color w:val="auto"/>
              </w:rPr>
              <w:t>3.4</w:t>
            </w:r>
          </w:p>
        </w:tc>
        <w:tc>
          <w:tcPr>
            <w:tcW w:w="7380" w:type="dxa"/>
            <w:vAlign w:val="bottom"/>
            <w:gridSpan w:val="37"/>
            <w:vMerge w:val="restart"/>
          </w:tcPr>
          <w:p>
            <w:pPr>
              <w:spacing w:after="0" w:line="182" w:lineRule="exact"/>
              <w:rPr>
                <w:rFonts w:ascii="Arial" w:cs="Arial" w:eastAsia="Arial" w:hAnsi="Arial"/>
                <w:sz w:val="18"/>
                <w:szCs w:val="18"/>
                <w:color w:val="0000EE"/>
                <w:w w:val="99"/>
              </w:rPr>
            </w:pPr>
            <w:hyperlink r:id="rId28">
              <w:r>
                <w:rPr>
                  <w:rFonts w:ascii="Arial" w:cs="Arial" w:eastAsia="Arial" w:hAnsi="Arial"/>
                  <w:sz w:val="18"/>
                  <w:szCs w:val="18"/>
                  <w:color w:val="0000EE"/>
                  <w:w w:val="99"/>
                </w:rPr>
                <w:t>Amended and Restated Bylaws of Calavo Growers, Inc., effective as of September 25, 2014.</w:t>
              </w:r>
            </w:hyperlink>
          </w:p>
        </w:tc>
        <w:tc>
          <w:tcPr>
            <w:tcW w:w="120" w:type="dxa"/>
            <w:vAlign w:val="bottom"/>
            <w:tcBorders>
              <w:bottom w:val="single" w:sz="8" w:color="0000EE"/>
            </w:tcBorders>
            <w:gridSpan w:val="3"/>
          </w:tcPr>
          <w:p>
            <w:pPr>
              <w:jc w:val="right"/>
              <w:spacing w:after="0" w:line="102" w:lineRule="exact"/>
              <w:rPr>
                <w:rFonts w:ascii="Arial" w:cs="Arial" w:eastAsia="Arial" w:hAnsi="Arial"/>
                <w:sz w:val="9"/>
                <w:szCs w:val="9"/>
                <w:color w:val="0000EE"/>
                <w:w w:val="99"/>
              </w:rPr>
            </w:pPr>
            <w:hyperlink r:id="rId28">
              <w:r>
                <w:rPr>
                  <w:rFonts w:ascii="Arial" w:cs="Arial" w:eastAsia="Arial" w:hAnsi="Arial"/>
                  <w:sz w:val="9"/>
                  <w:szCs w:val="9"/>
                  <w:color w:val="0000EE"/>
                  <w:w w:val="99"/>
                </w:rPr>
                <w:t>21</w:t>
              </w:r>
            </w:hyperlink>
          </w:p>
        </w:tc>
        <w:tc>
          <w:tcPr>
            <w:tcW w:w="540" w:type="dxa"/>
            <w:vAlign w:val="bottom"/>
            <w:gridSpan w:val="19"/>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020" w:type="dxa"/>
            <w:vAlign w:val="bottom"/>
            <w:gridSpan w:val="2"/>
            <w:vMerge w:val="continue"/>
          </w:tcPr>
          <w:p>
            <w:pPr>
              <w:spacing w:after="0"/>
              <w:rPr>
                <w:sz w:val="4"/>
                <w:szCs w:val="4"/>
                <w:color w:val="auto"/>
              </w:rPr>
            </w:pPr>
          </w:p>
        </w:tc>
        <w:tc>
          <w:tcPr>
            <w:tcW w:w="7380" w:type="dxa"/>
            <w:vAlign w:val="bottom"/>
            <w:tcBorders>
              <w:bottom w:val="single" w:sz="8" w:color="0000EE"/>
            </w:tcBorders>
            <w:gridSpan w:val="37"/>
            <w:vMerge w:val="continue"/>
          </w:tcPr>
          <w:p>
            <w:pPr>
              <w:spacing w:after="0"/>
              <w:rPr>
                <w:sz w:val="4"/>
                <w:szCs w:val="4"/>
                <w:color w:val="auto"/>
              </w:rPr>
            </w:pPr>
          </w:p>
        </w:tc>
        <w:tc>
          <w:tcPr>
            <w:tcW w:w="120" w:type="dxa"/>
            <w:vAlign w:val="bottom"/>
            <w:gridSpan w:val="3"/>
          </w:tcPr>
          <w:p>
            <w:pPr>
              <w:spacing w:after="0"/>
              <w:rPr>
                <w:sz w:val="4"/>
                <w:szCs w:val="4"/>
                <w:color w:val="auto"/>
              </w:rPr>
            </w:pPr>
          </w:p>
        </w:tc>
        <w:tc>
          <w:tcPr>
            <w:tcW w:w="540" w:type="dxa"/>
            <w:vAlign w:val="bottom"/>
            <w:gridSpan w:val="1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10.1</w:t>
            </w:r>
          </w:p>
        </w:tc>
        <w:tc>
          <w:tcPr>
            <w:tcW w:w="8040" w:type="dxa"/>
            <w:vAlign w:val="bottom"/>
            <w:gridSpan w:val="59"/>
          </w:tcPr>
          <w:p>
            <w:pPr>
              <w:spacing w:after="0" w:line="182" w:lineRule="exact"/>
              <w:rPr>
                <w:rFonts w:ascii="Arial" w:cs="Arial" w:eastAsia="Arial" w:hAnsi="Arial"/>
                <w:sz w:val="18"/>
                <w:szCs w:val="18"/>
                <w:color w:val="0000EE"/>
              </w:rPr>
            </w:pPr>
            <w:hyperlink r:id="rId29">
              <w:r>
                <w:rPr>
                  <w:rFonts w:ascii="Arial" w:cs="Arial" w:eastAsia="Arial" w:hAnsi="Arial"/>
                  <w:sz w:val="18"/>
                  <w:szCs w:val="18"/>
                  <w:color w:val="0000EE"/>
                </w:rPr>
                <w:t>Form of Marketing Agreement for Calavo Growers, Inc.</w:t>
              </w:r>
              <w:r>
                <w:rPr>
                  <w:rFonts w:ascii="Arial" w:cs="Arial" w:eastAsia="Arial" w:hAnsi="Arial"/>
                  <w:sz w:val="8"/>
                  <w:szCs w:val="8"/>
                  <w:u w:val="single" w:color="auto"/>
                  <w:color w:val="0000EE"/>
                </w:rPr>
                <w:t>6</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10.2</w:t>
            </w:r>
          </w:p>
        </w:tc>
        <w:tc>
          <w:tcPr>
            <w:tcW w:w="7280" w:type="dxa"/>
            <w:vAlign w:val="bottom"/>
            <w:tcBorders>
              <w:bottom w:val="single" w:sz="8" w:color="0000EE"/>
            </w:tcBorders>
            <w:gridSpan w:val="35"/>
          </w:tcPr>
          <w:p>
            <w:pPr>
              <w:spacing w:after="0" w:line="182" w:lineRule="exact"/>
              <w:rPr>
                <w:rFonts w:ascii="Arial" w:cs="Arial" w:eastAsia="Arial" w:hAnsi="Arial"/>
                <w:sz w:val="18"/>
                <w:szCs w:val="18"/>
                <w:color w:val="0000EE"/>
                <w:w w:val="99"/>
              </w:rPr>
            </w:pPr>
            <w:hyperlink r:id="rId30">
              <w:r>
                <w:rPr>
                  <w:rFonts w:ascii="Arial" w:cs="Arial" w:eastAsia="Arial" w:hAnsi="Arial"/>
                  <w:sz w:val="18"/>
                  <w:szCs w:val="18"/>
                  <w:color w:val="0000EE"/>
                  <w:w w:val="99"/>
                </w:rPr>
                <w:t>Marketing Agreement dated as of April 1, 1996 between Tropical Hawaiian Products, Inc., a</w:t>
              </w:r>
            </w:hyperlink>
          </w:p>
        </w:tc>
        <w:tc>
          <w:tcPr>
            <w:tcW w:w="76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80" w:type="dxa"/>
            <w:vAlign w:val="bottom"/>
            <w:gridSpan w:val="22"/>
            <w:vMerge w:val="restart"/>
          </w:tcPr>
          <w:p>
            <w:pPr>
              <w:spacing w:after="0" w:line="182" w:lineRule="exact"/>
              <w:rPr>
                <w:rFonts w:ascii="Arial" w:cs="Arial" w:eastAsia="Arial" w:hAnsi="Arial"/>
                <w:sz w:val="18"/>
                <w:szCs w:val="18"/>
                <w:color w:val="0000EE"/>
                <w:w w:val="99"/>
              </w:rPr>
            </w:pPr>
            <w:hyperlink r:id="rId30">
              <w:r>
                <w:rPr>
                  <w:rFonts w:ascii="Arial" w:cs="Arial" w:eastAsia="Arial" w:hAnsi="Arial"/>
                  <w:sz w:val="18"/>
                  <w:szCs w:val="18"/>
                  <w:color w:val="0000EE"/>
                  <w:w w:val="99"/>
                </w:rPr>
                <w:t>Hawaiian corporation, and Calavo Growers of California.</w:t>
              </w:r>
            </w:hyperlink>
          </w:p>
        </w:tc>
        <w:tc>
          <w:tcPr>
            <w:tcW w:w="100" w:type="dxa"/>
            <w:vAlign w:val="bottom"/>
            <w:tcBorders>
              <w:bottom w:val="single" w:sz="8" w:color="0000EE"/>
            </w:tcBorders>
            <w:gridSpan w:val="2"/>
          </w:tcPr>
          <w:p>
            <w:pPr>
              <w:jc w:val="right"/>
              <w:spacing w:after="0" w:line="102" w:lineRule="exact"/>
              <w:rPr>
                <w:rFonts w:ascii="Arial" w:cs="Arial" w:eastAsia="Arial" w:hAnsi="Arial"/>
                <w:sz w:val="9"/>
                <w:szCs w:val="9"/>
                <w:color w:val="0000EE"/>
              </w:rPr>
            </w:pPr>
            <w:hyperlink r:id="rId30">
              <w:r>
                <w:rPr>
                  <w:rFonts w:ascii="Arial" w:cs="Arial" w:eastAsia="Arial" w:hAnsi="Arial"/>
                  <w:sz w:val="9"/>
                  <w:szCs w:val="9"/>
                  <w:color w:val="0000EE"/>
                </w:rPr>
                <w:t>1</w:t>
              </w:r>
            </w:hyperlink>
          </w:p>
        </w:tc>
        <w:tc>
          <w:tcPr>
            <w:tcW w:w="3460" w:type="dxa"/>
            <w:vAlign w:val="bottom"/>
            <w:gridSpan w:val="35"/>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80" w:type="dxa"/>
            <w:vAlign w:val="bottom"/>
            <w:tcBorders>
              <w:bottom w:val="single" w:sz="8" w:color="0000EE"/>
            </w:tcBorders>
            <w:gridSpan w:val="2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460" w:type="dxa"/>
            <w:vAlign w:val="bottom"/>
            <w:gridSpan w:val="3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10.3</w:t>
            </w:r>
          </w:p>
        </w:tc>
        <w:tc>
          <w:tcPr>
            <w:tcW w:w="7160" w:type="dxa"/>
            <w:vAlign w:val="bottom"/>
            <w:tcBorders>
              <w:bottom w:val="single" w:sz="8" w:color="0000EE"/>
            </w:tcBorders>
            <w:gridSpan w:val="34"/>
          </w:tcPr>
          <w:p>
            <w:pPr>
              <w:spacing w:after="0" w:line="182" w:lineRule="exact"/>
              <w:rPr>
                <w:rFonts w:ascii="Arial" w:cs="Arial" w:eastAsia="Arial" w:hAnsi="Arial"/>
                <w:sz w:val="18"/>
                <w:szCs w:val="18"/>
                <w:color w:val="0000EE"/>
                <w:w w:val="99"/>
              </w:rPr>
            </w:pPr>
            <w:hyperlink r:id="rId31">
              <w:r>
                <w:rPr>
                  <w:rFonts w:ascii="Arial" w:cs="Arial" w:eastAsia="Arial" w:hAnsi="Arial"/>
                  <w:sz w:val="18"/>
                  <w:szCs w:val="18"/>
                  <w:color w:val="0000EE"/>
                  <w:w w:val="99"/>
                </w:rPr>
                <w:t>Lease Agreement dated as of November 21, 1997, between Tede S.A. de C.V., a Mexican</w:t>
              </w:r>
            </w:hyperlink>
          </w:p>
        </w:tc>
        <w:tc>
          <w:tcPr>
            <w:tcW w:w="880" w:type="dxa"/>
            <w:vAlign w:val="bottom"/>
            <w:gridSpan w:val="2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80" w:type="dxa"/>
            <w:vAlign w:val="bottom"/>
            <w:tcBorders>
              <w:bottom w:val="single" w:sz="8" w:color="0000EE"/>
            </w:tcBorders>
            <w:gridSpan w:val="35"/>
          </w:tcPr>
          <w:p>
            <w:pPr>
              <w:spacing w:after="0" w:line="182" w:lineRule="exact"/>
              <w:rPr>
                <w:rFonts w:ascii="Arial" w:cs="Arial" w:eastAsia="Arial" w:hAnsi="Arial"/>
                <w:sz w:val="18"/>
                <w:szCs w:val="18"/>
                <w:color w:val="0000EE"/>
                <w:w w:val="99"/>
              </w:rPr>
            </w:pPr>
            <w:hyperlink r:id="rId31">
              <w:r>
                <w:rPr>
                  <w:rFonts w:ascii="Arial" w:cs="Arial" w:eastAsia="Arial" w:hAnsi="Arial"/>
                  <w:sz w:val="18"/>
                  <w:szCs w:val="18"/>
                  <w:color w:val="0000EE"/>
                  <w:w w:val="99"/>
                </w:rPr>
                <w:t>corporation, and Calavo de Mexico, S.A. de C.V., a Mexican corporation, including attached</w:t>
              </w:r>
            </w:hyperlink>
          </w:p>
        </w:tc>
        <w:tc>
          <w:tcPr>
            <w:tcW w:w="76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59"/>
          </w:tcPr>
          <w:p>
            <w:pPr>
              <w:spacing w:after="0" w:line="182" w:lineRule="exact"/>
              <w:rPr>
                <w:rFonts w:ascii="Arial" w:cs="Arial" w:eastAsia="Arial" w:hAnsi="Arial"/>
                <w:sz w:val="18"/>
                <w:szCs w:val="18"/>
                <w:color w:val="0000EE"/>
              </w:rPr>
            </w:pPr>
            <w:hyperlink r:id="rId31">
              <w:r>
                <w:rPr>
                  <w:rFonts w:ascii="Arial" w:cs="Arial" w:eastAsia="Arial" w:hAnsi="Arial"/>
                  <w:sz w:val="18"/>
                  <w:szCs w:val="18"/>
                  <w:color w:val="0000EE"/>
                </w:rPr>
                <w:t>Guaranty of Calavo Growers of California dated December 16, 1996.</w:t>
              </w:r>
              <w:r>
                <w:rPr>
                  <w:rFonts w:ascii="Arial" w:cs="Arial" w:eastAsia="Arial" w:hAnsi="Arial"/>
                  <w:sz w:val="8"/>
                  <w:szCs w:val="8"/>
                  <w:u w:val="single" w:color="auto"/>
                  <w:color w:val="0000EE"/>
                </w:rPr>
                <w:t>1</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10.4</w:t>
            </w:r>
          </w:p>
        </w:tc>
        <w:tc>
          <w:tcPr>
            <w:tcW w:w="8040" w:type="dxa"/>
            <w:vAlign w:val="bottom"/>
            <w:tcBorders>
              <w:bottom w:val="single" w:sz="8" w:color="0000EE"/>
            </w:tcBorders>
            <w:gridSpan w:val="59"/>
          </w:tcPr>
          <w:p>
            <w:pPr>
              <w:spacing w:after="0" w:line="182" w:lineRule="exact"/>
              <w:rPr>
                <w:rFonts w:ascii="Arial" w:cs="Arial" w:eastAsia="Arial" w:hAnsi="Arial"/>
                <w:sz w:val="18"/>
                <w:szCs w:val="18"/>
                <w:color w:val="0000EE"/>
                <w:w w:val="99"/>
              </w:rPr>
            </w:pPr>
            <w:hyperlink r:id="rId32">
              <w:r>
                <w:rPr>
                  <w:rFonts w:ascii="Arial" w:cs="Arial" w:eastAsia="Arial" w:hAnsi="Arial"/>
                  <w:sz w:val="18"/>
                  <w:szCs w:val="18"/>
                  <w:color w:val="0000EE"/>
                  <w:w w:val="99"/>
                </w:rPr>
                <w:t>Lease agreement dated as of February 15, 2005, between Limoneira Company and Calavo Growers,</w:t>
              </w:r>
            </w:hyperlink>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59"/>
          </w:tcPr>
          <w:p>
            <w:pPr>
              <w:spacing w:after="0" w:line="182" w:lineRule="exact"/>
              <w:rPr>
                <w:rFonts w:ascii="Arial" w:cs="Arial" w:eastAsia="Arial" w:hAnsi="Arial"/>
                <w:sz w:val="18"/>
                <w:szCs w:val="18"/>
                <w:color w:val="0000EE"/>
              </w:rPr>
            </w:pPr>
            <w:hyperlink r:id="rId32">
              <w:r>
                <w:rPr>
                  <w:rFonts w:ascii="Arial" w:cs="Arial" w:eastAsia="Arial" w:hAnsi="Arial"/>
                  <w:sz w:val="18"/>
                  <w:szCs w:val="18"/>
                  <w:color w:val="0000EE"/>
                </w:rPr>
                <w:t>Inc.</w:t>
              </w:r>
              <w:r>
                <w:rPr>
                  <w:rFonts w:ascii="Arial" w:cs="Arial" w:eastAsia="Arial" w:hAnsi="Arial"/>
                  <w:sz w:val="8"/>
                  <w:szCs w:val="8"/>
                  <w:u w:val="single" w:color="auto"/>
                  <w:color w:val="0000EE"/>
                </w:rPr>
                <w:t>3</w:t>
              </w:r>
            </w:hyperlink>
          </w:p>
        </w:tc>
        <w:tc>
          <w:tcPr>
            <w:tcW w:w="0" w:type="dxa"/>
            <w:vAlign w:val="bottom"/>
          </w:tcPr>
          <w:p>
            <w:pPr>
              <w:spacing w:after="0"/>
              <w:rPr>
                <w:sz w:val="1"/>
                <w:szCs w:val="1"/>
                <w:color w:val="auto"/>
              </w:rPr>
            </w:pPr>
          </w:p>
        </w:tc>
      </w:tr>
      <w:tr>
        <w:trPr>
          <w:trHeight w:val="851"/>
        </w:trPr>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gridSpan w:val="2"/>
          </w:tcPr>
          <w:p>
            <w:pPr>
              <w:spacing w:after="0"/>
              <w:rPr>
                <w:sz w:val="24"/>
                <w:szCs w:val="24"/>
                <w:color w:val="auto"/>
              </w:rPr>
            </w:pPr>
          </w:p>
        </w:tc>
        <w:tc>
          <w:tcPr>
            <w:tcW w:w="7760" w:type="dxa"/>
            <w:vAlign w:val="bottom"/>
            <w:tcBorders>
              <w:bottom w:val="single" w:sz="8" w:color="auto"/>
            </w:tcBorders>
            <w:gridSpan w:val="56"/>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1"/>
        </w:trPr>
        <w:tc>
          <w:tcPr>
            <w:tcW w:w="9060" w:type="dxa"/>
            <w:vAlign w:val="bottom"/>
            <w:tcBorders>
              <w:bottom w:val="single" w:sz="8" w:color="auto"/>
            </w:tcBorders>
            <w:gridSpan w:val="61"/>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-3798570</wp:posOffset>
            </wp:positionV>
            <wp:extent cx="504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extLst>
                    </a:blip>
                    <a:srcRect/>
                    <a:stretch>
                      <a:fillRect/>
                    </a:stretch>
                  </pic:blipFill>
                  <pic:spPr bwMode="auto">
                    <a:xfrm>
                      <a:off x="0" y="0"/>
                      <a:ext cx="5044440" cy="8890"/>
                    </a:xfrm>
                    <a:prstGeom prst="rect">
                      <a:avLst/>
                    </a:prstGeom>
                    <a:noFill/>
                  </pic:spPr>
                </pic:pic>
              </a:graphicData>
            </a:graphic>
          </wp:anchor>
        </w:drawing>
      </w:r>
    </w:p>
    <w:p>
      <w:pPr>
        <w:sectPr>
          <w:pgSz w:w="11900" w:h="16838" w:orient="portrait"/>
          <w:cols w:equalWidth="0" w:num="1">
            <w:col w:w="9060"/>
          </w:cols>
          <w:pgMar w:left="1420" w:top="319" w:right="1419" w:bottom="1440" w:gutter="0" w:footer="0" w:header="0"/>
        </w:sectPr>
      </w:pPr>
    </w:p>
    <w:bookmarkStart w:id="3" w:name="page4"/>
    <w:bookmarkEnd w:id="3"/>
    <w:p>
      <w:pPr>
        <w:ind w:left="460"/>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34">
        <w:r>
          <w:rPr>
            <w:rFonts w:ascii="Arial" w:cs="Arial" w:eastAsia="Arial" w:hAnsi="Arial"/>
            <w:sz w:val="18"/>
            <w:szCs w:val="18"/>
            <w:u w:val="single" w:color="auto"/>
            <w:color w:val="0000EE"/>
          </w:rPr>
          <w:t>Standstill agreement dated June 1, 2005, between Limoneira Company and Calavo Growers, Inc.</w:t>
        </w:r>
        <w:r>
          <w:rPr>
            <w:rFonts w:ascii="Arial" w:cs="Arial" w:eastAsia="Arial" w:hAnsi="Arial"/>
            <w:sz w:val="8"/>
            <w:szCs w:val="8"/>
            <w:u w:val="single" w:color="auto"/>
            <w:color w:val="0000EE"/>
          </w:rPr>
          <w:t>3</w:t>
        </w:r>
      </w:hyperlink>
    </w:p>
    <w:p>
      <w:pPr>
        <w:ind w:left="460"/>
        <w:spacing w:after="0" w:line="23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35">
        <w:r>
          <w:rPr>
            <w:rFonts w:ascii="Arial" w:cs="Arial" w:eastAsia="Arial" w:hAnsi="Arial"/>
            <w:sz w:val="18"/>
            <w:szCs w:val="18"/>
            <w:u w:val="single" w:color="auto"/>
            <w:color w:val="0000EE"/>
          </w:rPr>
          <w:t>Standstill agreement dated June 1, 2005 between Calavo Growers, Inc. And Limoneira Company</w:t>
        </w:r>
        <w:r>
          <w:rPr>
            <w:rFonts w:ascii="Arial" w:cs="Arial" w:eastAsia="Arial" w:hAnsi="Arial"/>
            <w:sz w:val="8"/>
            <w:szCs w:val="8"/>
            <w:u w:val="single" w:color="auto"/>
            <w:color w:val="0000EE"/>
          </w:rPr>
          <w:t>3</w:t>
        </w:r>
      </w:hyperlink>
    </w:p>
    <w:p>
      <w:pPr>
        <w:spacing w:after="0" w:line="1" w:lineRule="exact"/>
        <w:rPr>
          <w:sz w:val="20"/>
          <w:szCs w:val="20"/>
          <w:color w:val="auto"/>
        </w:rPr>
      </w:pPr>
    </w:p>
    <w:p>
      <w:pPr>
        <w:ind w:left="1020" w:right="540" w:hanging="552"/>
        <w:spacing w:after="0" w:line="23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36">
        <w:r>
          <w:rPr>
            <w:rFonts w:ascii="Arial" w:cs="Arial" w:eastAsia="Arial" w:hAnsi="Arial"/>
            <w:sz w:val="18"/>
            <w:szCs w:val="18"/>
            <w:u w:val="single" w:color="auto"/>
            <w:color w:val="0000EE"/>
          </w:rPr>
          <w:t>Calavo Supplemental Executive Retirement Agreement dated March 11, 1983 between Egidio</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 xml:space="preserve">Carbone, Jr. and Calavo Growers of California. </w:t>
        </w:r>
        <w:r>
          <w:rPr>
            <w:rFonts w:ascii="Arial" w:cs="Arial" w:eastAsia="Arial" w:hAnsi="Arial"/>
            <w:sz w:val="8"/>
            <w:szCs w:val="8"/>
            <w:u w:val="single" w:color="auto"/>
            <w:color w:val="0000EE"/>
          </w:rPr>
          <w:t>1</w:t>
        </w:r>
      </w:hyperlink>
    </w:p>
    <w:p>
      <w:pPr>
        <w:spacing w:after="0" w:line="2" w:lineRule="exact"/>
        <w:rPr>
          <w:sz w:val="20"/>
          <w:szCs w:val="20"/>
          <w:color w:val="auto"/>
        </w:rPr>
      </w:pPr>
    </w:p>
    <w:p>
      <w:pPr>
        <w:jc w:val="center"/>
        <w:ind w:left="1520" w:right="360"/>
        <w:spacing w:after="0" w:line="234"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10.8  </w:t>
      </w:r>
      <w:hyperlink r:id="rId37">
        <w:r>
          <w:rPr>
            <w:rFonts w:ascii="Arial" w:cs="Arial" w:eastAsia="Arial" w:hAnsi="Arial"/>
            <w:sz w:val="18"/>
            <w:szCs w:val="18"/>
            <w:u w:val="single" w:color="auto"/>
            <w:color w:val="0000EE"/>
          </w:rPr>
          <w:t>Amendment to the Calavo Growers of California Supplemental Executive Retirement Agreement</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 xml:space="preserve">dated November 9, 1993 Between Egidio Carbone, Jr. and Calavo Growers of California. </w:t>
        </w:r>
        <w:r>
          <w:rPr>
            <w:rFonts w:ascii="Arial" w:cs="Arial" w:eastAsia="Arial" w:hAnsi="Arial"/>
            <w:sz w:val="8"/>
            <w:szCs w:val="8"/>
            <w:u w:val="single" w:color="auto"/>
            <w:color w:val="0000EE"/>
          </w:rPr>
          <w:t>1</w:t>
        </w:r>
      </w:hyperlink>
    </w:p>
    <w:p>
      <w:pPr>
        <w:spacing w:after="0" w:line="2" w:lineRule="exact"/>
        <w:rPr>
          <w:sz w:val="20"/>
          <w:szCs w:val="20"/>
          <w:color w:val="auto"/>
        </w:rPr>
      </w:pPr>
    </w:p>
    <w:p>
      <w:pPr>
        <w:ind w:left="1020" w:right="100" w:hanging="552"/>
        <w:spacing w:after="0" w:line="234"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10.9</w:t>
      </w:r>
      <w:r>
        <w:rPr>
          <w:sz w:val="20"/>
          <w:szCs w:val="20"/>
          <w:color w:val="auto"/>
        </w:rPr>
        <w:tab/>
      </w:r>
      <w:hyperlink r:id="rId38">
        <w:r>
          <w:rPr>
            <w:rFonts w:ascii="Arial" w:cs="Arial" w:eastAsia="Arial" w:hAnsi="Arial"/>
            <w:sz w:val="18"/>
            <w:szCs w:val="18"/>
            <w:u w:val="single" w:color="auto"/>
            <w:color w:val="0000EE"/>
          </w:rPr>
          <w:t>Line of Credit and Security Agreement, dated July 15, 2013 by and between Calavo Growers, Inc. a</w:t>
        </w:r>
      </w:hyperlink>
      <w:r>
        <w:rPr>
          <w:rFonts w:ascii="Arial" w:cs="Arial" w:eastAsia="Arial" w:hAnsi="Arial"/>
          <w:sz w:val="18"/>
          <w:szCs w:val="18"/>
          <w:u w:val="single" w:color="auto"/>
          <w:color w:val="0000EE"/>
        </w:rPr>
        <w:t xml:space="preserve"> </w:t>
      </w:r>
      <w:hyperlink r:id="rId38">
        <w:r>
          <w:rPr>
            <w:rFonts w:ascii="Arial" w:cs="Arial" w:eastAsia="Arial" w:hAnsi="Arial"/>
            <w:sz w:val="18"/>
            <w:szCs w:val="18"/>
            <w:u w:val="single" w:color="auto"/>
            <w:color w:val="0000EE"/>
          </w:rPr>
          <w:t>California Corporation, and FreshRealm, LLC, a Delaware limited liability company.</w:t>
        </w:r>
        <w:r>
          <w:rPr>
            <w:rFonts w:ascii="Arial" w:cs="Arial" w:eastAsia="Arial" w:hAnsi="Arial"/>
            <w:sz w:val="18"/>
            <w:szCs w:val="18"/>
            <w:color w:val="0000EE"/>
          </w:rPr>
          <w:t xml:space="preserve"> </w:t>
        </w:r>
        <w:r>
          <w:rPr>
            <w:rFonts w:ascii="Arial" w:cs="Arial" w:eastAsia="Arial" w:hAnsi="Arial"/>
            <w:sz w:val="8"/>
            <w:szCs w:val="8"/>
            <w:color w:val="0000EE"/>
          </w:rPr>
          <w:t>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-57785</wp:posOffset>
            </wp:positionV>
            <wp:extent cx="79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36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10.10</w:t>
      </w:r>
      <w:r>
        <w:rPr>
          <w:sz w:val="20"/>
          <w:szCs w:val="20"/>
          <w:color w:val="auto"/>
        </w:rPr>
        <w:tab/>
      </w:r>
      <w:hyperlink r:id="rId40">
        <w:r>
          <w:rPr>
            <w:rFonts w:ascii="Arial" w:cs="Arial" w:eastAsia="Arial" w:hAnsi="Arial"/>
            <w:sz w:val="17"/>
            <w:szCs w:val="17"/>
            <w:u w:val="single" w:color="auto"/>
            <w:color w:val="0000EE"/>
          </w:rPr>
          <w:t xml:space="preserve">2011 Management Incentive Plan of Calavo Growers, Inc. </w:t>
        </w:r>
        <w:r>
          <w:rPr>
            <w:rFonts w:ascii="Arial" w:cs="Arial" w:eastAsia="Arial" w:hAnsi="Arial"/>
            <w:sz w:val="8"/>
            <w:szCs w:val="8"/>
            <w:color w:val="0000EE"/>
          </w:rPr>
          <w:t>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-58420</wp:posOffset>
            </wp:positionV>
            <wp:extent cx="79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1020" w:right="300" w:hanging="652"/>
        <w:spacing w:after="0" w:line="23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42">
        <w:r>
          <w:rPr>
            <w:rFonts w:ascii="Arial" w:cs="Arial" w:eastAsia="Arial" w:hAnsi="Arial"/>
            <w:sz w:val="18"/>
            <w:szCs w:val="18"/>
            <w:u w:val="single" w:color="auto"/>
            <w:color w:val="0000EE"/>
          </w:rPr>
          <w:t>Equity Secured Promissory Note dated October 31, 2013 between Calavo Growers, Inc. and San</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 xml:space="preserve">Rafael Distributing, Inc. </w:t>
        </w:r>
        <w:r>
          <w:rPr>
            <w:rFonts w:ascii="Arial" w:cs="Arial" w:eastAsia="Arial" w:hAnsi="Arial"/>
            <w:sz w:val="8"/>
            <w:szCs w:val="8"/>
            <w:u w:val="single" w:color="auto"/>
            <w:color w:val="0000EE"/>
          </w:rPr>
          <w:t>17</w:t>
        </w:r>
      </w:hyperlink>
    </w:p>
    <w:p>
      <w:pPr>
        <w:spacing w:after="0" w:line="2" w:lineRule="exact"/>
        <w:rPr>
          <w:sz w:val="20"/>
          <w:szCs w:val="20"/>
          <w:color w:val="auto"/>
        </w:rPr>
      </w:pPr>
    </w:p>
    <w:p>
      <w:pPr>
        <w:ind w:left="1020" w:right="100" w:hanging="652"/>
        <w:spacing w:after="0" w:line="23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43">
        <w:r>
          <w:rPr>
            <w:rFonts w:ascii="Arial" w:cs="Arial" w:eastAsia="Arial" w:hAnsi="Arial"/>
            <w:sz w:val="18"/>
            <w:szCs w:val="18"/>
            <w:u w:val="single" w:color="auto"/>
            <w:color w:val="0000EE"/>
          </w:rPr>
          <w:t>Goodwill Secured Promissory Note dated October 31, 2013 between Calavo Growers, Inc. and San</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 xml:space="preserve">Rafael Distributing, Inc. </w:t>
        </w:r>
        <w:r>
          <w:rPr>
            <w:rFonts w:ascii="Arial" w:cs="Arial" w:eastAsia="Arial" w:hAnsi="Arial"/>
            <w:sz w:val="8"/>
            <w:szCs w:val="8"/>
            <w:u w:val="single" w:color="auto"/>
            <w:color w:val="0000EE"/>
          </w:rPr>
          <w:t>17</w:t>
        </w:r>
      </w:hyperlink>
    </w:p>
    <w:p>
      <w:pPr>
        <w:spacing w:after="0" w:line="2" w:lineRule="exact"/>
        <w:rPr>
          <w:sz w:val="20"/>
          <w:szCs w:val="20"/>
          <w:color w:val="auto"/>
        </w:rPr>
      </w:pPr>
    </w:p>
    <w:p>
      <w:pPr>
        <w:ind w:left="1020" w:right="360" w:hanging="652"/>
        <w:spacing w:after="0" w:line="234"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10.13</w:t>
      </w:r>
      <w:r>
        <w:rPr>
          <w:sz w:val="20"/>
          <w:szCs w:val="20"/>
          <w:color w:val="auto"/>
        </w:rPr>
        <w:tab/>
      </w:r>
      <w:hyperlink r:id="rId44">
        <w:r>
          <w:rPr>
            <w:rFonts w:ascii="Arial" w:cs="Arial" w:eastAsia="Arial" w:hAnsi="Arial"/>
            <w:sz w:val="18"/>
            <w:szCs w:val="18"/>
            <w:u w:val="single" w:color="auto"/>
            <w:color w:val="0000EE"/>
          </w:rPr>
          <w:t>Pledge and Security Agreement dated October 31, 2013 between Calavo Growers, Inc. and San</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Rafael Distributing, Inc.</w:t>
        </w:r>
        <w:r>
          <w:rPr>
            <w:rFonts w:ascii="Arial" w:cs="Arial" w:eastAsia="Arial" w:hAnsi="Arial"/>
            <w:sz w:val="18"/>
            <w:szCs w:val="18"/>
            <w:color w:val="0000EE"/>
          </w:rPr>
          <w:t xml:space="preserve"> </w:t>
        </w:r>
        <w:r>
          <w:rPr>
            <w:rFonts w:ascii="Arial" w:cs="Arial" w:eastAsia="Arial" w:hAnsi="Arial"/>
            <w:sz w:val="8"/>
            <w:szCs w:val="8"/>
            <w:color w:val="0000EE"/>
          </w:rPr>
          <w:t>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1826895</wp:posOffset>
            </wp:positionH>
            <wp:positionV relativeFrom="paragraph">
              <wp:posOffset>-57785</wp:posOffset>
            </wp:positionV>
            <wp:extent cx="79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36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10.14</w:t>
      </w:r>
      <w:r>
        <w:rPr>
          <w:sz w:val="20"/>
          <w:szCs w:val="20"/>
          <w:color w:val="auto"/>
        </w:rPr>
        <w:tab/>
      </w:r>
      <w:hyperlink r:id="rId46">
        <w:r>
          <w:rPr>
            <w:rFonts w:ascii="Arial" w:cs="Arial" w:eastAsia="Arial" w:hAnsi="Arial"/>
            <w:sz w:val="17"/>
            <w:szCs w:val="17"/>
            <w:u w:val="single" w:color="auto"/>
            <w:color w:val="0000EE"/>
          </w:rPr>
          <w:t xml:space="preserve">Personal Guaranty dated October 31, 2013 between Calavo Growers, Inc. and Francisco Clouthier. </w:t>
        </w:r>
        <w:r>
          <w:rPr>
            <w:rFonts w:ascii="Arial" w:cs="Arial" w:eastAsia="Arial" w:hAnsi="Arial"/>
            <w:sz w:val="8"/>
            <w:szCs w:val="8"/>
            <w:color w:val="0000EE"/>
          </w:rPr>
          <w:t>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5657850</wp:posOffset>
            </wp:positionH>
            <wp:positionV relativeFrom="paragraph">
              <wp:posOffset>-58420</wp:posOffset>
            </wp:positionV>
            <wp:extent cx="79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36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10.15</w:t>
      </w:r>
      <w:r>
        <w:rPr>
          <w:sz w:val="20"/>
          <w:szCs w:val="20"/>
          <w:color w:val="auto"/>
        </w:rPr>
        <w:tab/>
      </w:r>
      <w:hyperlink r:id="rId48">
        <w:r>
          <w:rPr>
            <w:rFonts w:ascii="Arial" w:cs="Arial" w:eastAsia="Arial" w:hAnsi="Arial"/>
            <w:sz w:val="17"/>
            <w:szCs w:val="17"/>
            <w:u w:val="single" w:color="auto"/>
            <w:color w:val="0000EE"/>
          </w:rPr>
          <w:t xml:space="preserve">Amendment to Goodwill Promissory Note </w:t>
        </w:r>
        <w:r>
          <w:rPr>
            <w:rFonts w:ascii="Arial" w:cs="Arial" w:eastAsia="Arial" w:hAnsi="Arial"/>
            <w:sz w:val="8"/>
            <w:szCs w:val="8"/>
            <w:color w:val="0000EE"/>
          </w:rPr>
          <w:t>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-58420</wp:posOffset>
            </wp:positionV>
            <wp:extent cx="793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360"/>
        <w:spacing w:after="0" w:line="182" w:lineRule="auto"/>
        <w:tabs>
          <w:tab w:leader="none" w:pos="1000" w:val="left"/>
        </w:tabs>
        <w:rPr>
          <w:rFonts w:ascii="Arial" w:cs="Arial" w:eastAsia="Arial" w:hAnsi="Arial"/>
          <w:sz w:val="14"/>
          <w:szCs w:val="14"/>
          <w:u w:val="single" w:color="auto"/>
          <w:color w:val="0000EE"/>
        </w:rPr>
      </w:pPr>
      <w:r>
        <w:rPr>
          <w:rFonts w:ascii="Arial" w:cs="Arial" w:eastAsia="Arial" w:hAnsi="Arial"/>
          <w:sz w:val="14"/>
          <w:szCs w:val="14"/>
          <w:color w:val="auto"/>
        </w:rPr>
        <w:t>10.16</w:t>
      </w:r>
      <w:r>
        <w:rPr>
          <w:sz w:val="20"/>
          <w:szCs w:val="20"/>
          <w:color w:val="auto"/>
        </w:rPr>
        <w:tab/>
      </w:r>
      <w:hyperlink r:id="rId50">
        <w:r>
          <w:rPr>
            <w:rFonts w:ascii="Arial" w:cs="Arial" w:eastAsia="Arial" w:hAnsi="Arial"/>
            <w:sz w:val="14"/>
            <w:szCs w:val="14"/>
            <w:u w:val="single" w:color="auto"/>
            <w:color w:val="0000EE"/>
          </w:rPr>
          <w:t>Employment Agreement dated July 21, 2015, between Calavo Growers, Inc. and B. John Lindeman.</w:t>
        </w:r>
      </w:hyperlink>
    </w:p>
    <w:p>
      <w:pPr>
        <w:ind w:left="1020"/>
        <w:spacing w:after="0"/>
        <w:rPr>
          <w:rFonts w:ascii="Arial" w:cs="Arial" w:eastAsia="Arial" w:hAnsi="Arial"/>
          <w:sz w:val="9"/>
          <w:szCs w:val="9"/>
          <w:color w:val="0000EE"/>
        </w:rPr>
      </w:pPr>
      <w:hyperlink r:id="rId50">
        <w:r>
          <w:rPr>
            <w:rFonts w:ascii="Arial" w:cs="Arial" w:eastAsia="Arial" w:hAnsi="Arial"/>
            <w:sz w:val="9"/>
            <w:szCs w:val="9"/>
            <w:color w:val="0000EE"/>
          </w:rPr>
          <w:t>22</w:t>
        </w:r>
      </w:hyperlink>
    </w:p>
    <w:p>
      <w:pPr>
        <w:spacing w:after="0" w:line="58" w:lineRule="exact"/>
        <w:rPr>
          <w:sz w:val="20"/>
          <w:szCs w:val="20"/>
          <w:color w:val="auto"/>
        </w:rPr>
      </w:pPr>
    </w:p>
    <w:p>
      <w:pPr>
        <w:ind w:left="1020" w:right="380" w:hanging="652"/>
        <w:spacing w:after="0" w:line="234"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10.17</w:t>
      </w:r>
      <w:r>
        <w:rPr>
          <w:sz w:val="20"/>
          <w:szCs w:val="20"/>
          <w:color w:val="auto"/>
        </w:rPr>
        <w:tab/>
      </w:r>
      <w:hyperlink r:id="rId51">
        <w:r>
          <w:rPr>
            <w:rFonts w:ascii="Arial" w:cs="Arial" w:eastAsia="Arial" w:hAnsi="Arial"/>
            <w:sz w:val="18"/>
            <w:szCs w:val="18"/>
            <w:u w:val="single" w:color="auto"/>
            <w:color w:val="0000EE"/>
          </w:rPr>
          <w:t>Amendment No. 7 to Business Loan Agreement, dated as of January 19, 2016 between Bank of</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America, N.A. and Calavo Growers, Inc.</w:t>
        </w:r>
        <w:r>
          <w:rPr>
            <w:rFonts w:ascii="Arial" w:cs="Arial" w:eastAsia="Arial" w:hAnsi="Arial"/>
            <w:sz w:val="18"/>
            <w:szCs w:val="18"/>
            <w:color w:val="0000EE"/>
          </w:rPr>
          <w:t xml:space="preserve"> </w:t>
        </w:r>
        <w:r>
          <w:rPr>
            <w:rFonts w:ascii="Arial" w:cs="Arial" w:eastAsia="Arial" w:hAnsi="Arial"/>
            <w:sz w:val="8"/>
            <w:szCs w:val="8"/>
            <w:color w:val="0000EE"/>
          </w:rPr>
          <w:t>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2671445</wp:posOffset>
            </wp:positionH>
            <wp:positionV relativeFrom="paragraph">
              <wp:posOffset>-57785</wp:posOffset>
            </wp:positionV>
            <wp:extent cx="79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2">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1020" w:right="140" w:hanging="652"/>
        <w:spacing w:after="0" w:line="234"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10.18</w:t>
      </w:r>
      <w:r>
        <w:rPr>
          <w:sz w:val="20"/>
          <w:szCs w:val="20"/>
          <w:color w:val="auto"/>
        </w:rPr>
        <w:tab/>
      </w:r>
      <w:hyperlink r:id="rId53">
        <w:r>
          <w:rPr>
            <w:rFonts w:ascii="Arial" w:cs="Arial" w:eastAsia="Arial" w:hAnsi="Arial"/>
            <w:sz w:val="18"/>
            <w:szCs w:val="18"/>
            <w:u w:val="single" w:color="auto"/>
            <w:color w:val="0000EE"/>
          </w:rPr>
          <w:t>Letter Amendment to Revolving Credit Facility, dated January 19, 2016 between Farm Credit West,</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PCA and Calavo Growers, Inc.</w:t>
        </w:r>
        <w:r>
          <w:rPr>
            <w:rFonts w:ascii="Arial" w:cs="Arial" w:eastAsia="Arial" w:hAnsi="Arial"/>
            <w:sz w:val="18"/>
            <w:szCs w:val="18"/>
            <w:color w:val="0000EE"/>
          </w:rPr>
          <w:t xml:space="preserve"> </w:t>
        </w:r>
        <w:r>
          <w:rPr>
            <w:rFonts w:ascii="Arial" w:cs="Arial" w:eastAsia="Arial" w:hAnsi="Arial"/>
            <w:sz w:val="8"/>
            <w:szCs w:val="8"/>
            <w:color w:val="0000EE"/>
          </w:rPr>
          <w:t>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-57785</wp:posOffset>
            </wp:positionV>
            <wp:extent cx="793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1020" w:right="140" w:hanging="652"/>
        <w:spacing w:after="0" w:line="234"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10.19</w:t>
      </w:r>
      <w:r>
        <w:rPr>
          <w:sz w:val="20"/>
          <w:szCs w:val="20"/>
          <w:color w:val="auto"/>
        </w:rPr>
        <w:tab/>
      </w:r>
      <w:hyperlink r:id="rId55">
        <w:r>
          <w:rPr>
            <w:rFonts w:ascii="Arial" w:cs="Arial" w:eastAsia="Arial" w:hAnsi="Arial"/>
            <w:sz w:val="18"/>
            <w:szCs w:val="18"/>
            <w:u w:val="single" w:color="auto"/>
            <w:color w:val="0000EE"/>
          </w:rPr>
          <w:t>Letter Amendment to Revolving Credit Facility, dated January 26, 2016 between Farm Credit West,</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PCA and Calavo Growers, Inc.</w:t>
        </w:r>
        <w:r>
          <w:rPr>
            <w:rFonts w:ascii="Arial" w:cs="Arial" w:eastAsia="Arial" w:hAnsi="Arial"/>
            <w:sz w:val="18"/>
            <w:szCs w:val="18"/>
            <w:color w:val="0000EE"/>
          </w:rPr>
          <w:t xml:space="preserve"> </w:t>
        </w:r>
        <w:r>
          <w:rPr>
            <w:rFonts w:ascii="Arial" w:cs="Arial" w:eastAsia="Arial" w:hAnsi="Arial"/>
            <w:sz w:val="8"/>
            <w:szCs w:val="8"/>
            <w:color w:val="0000EE"/>
          </w:rPr>
          <w:t>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-57785</wp:posOffset>
            </wp:positionV>
            <wp:extent cx="793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1020" w:right="380" w:hanging="652"/>
        <w:spacing w:after="0" w:line="234"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10.20</w:t>
      </w:r>
      <w:r>
        <w:rPr>
          <w:sz w:val="20"/>
          <w:szCs w:val="20"/>
          <w:color w:val="auto"/>
        </w:rPr>
        <w:tab/>
      </w:r>
      <w:hyperlink r:id="rId57">
        <w:r>
          <w:rPr>
            <w:rFonts w:ascii="Arial" w:cs="Arial" w:eastAsia="Arial" w:hAnsi="Arial"/>
            <w:sz w:val="18"/>
            <w:szCs w:val="18"/>
            <w:u w:val="single" w:color="auto"/>
            <w:color w:val="0000EE"/>
          </w:rPr>
          <w:t>Amendment No. 8 to Business Loan Agreement, dated as of January 28, 2016 between Bank of</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America, N.A. and Calavo Growers, Inc.</w:t>
        </w:r>
        <w:r>
          <w:rPr>
            <w:rFonts w:ascii="Arial" w:cs="Arial" w:eastAsia="Arial" w:hAnsi="Arial"/>
            <w:sz w:val="18"/>
            <w:szCs w:val="18"/>
            <w:color w:val="0000EE"/>
          </w:rPr>
          <w:t xml:space="preserve"> </w:t>
        </w:r>
        <w:r>
          <w:rPr>
            <w:rFonts w:ascii="Arial" w:cs="Arial" w:eastAsia="Arial" w:hAnsi="Arial"/>
            <w:sz w:val="8"/>
            <w:szCs w:val="8"/>
            <w:color w:val="0000EE"/>
          </w:rPr>
          <w:t>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2671445</wp:posOffset>
            </wp:positionH>
            <wp:positionV relativeFrom="paragraph">
              <wp:posOffset>-57785</wp:posOffset>
            </wp:positionV>
            <wp:extent cx="793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8">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1020" w:right="320" w:hanging="652"/>
        <w:spacing w:after="0" w:line="234"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10.21</w:t>
      </w:r>
      <w:r>
        <w:rPr>
          <w:sz w:val="20"/>
          <w:szCs w:val="20"/>
          <w:color w:val="auto"/>
        </w:rPr>
        <w:tab/>
      </w:r>
      <w:hyperlink r:id="rId59">
        <w:r>
          <w:rPr>
            <w:rFonts w:ascii="Arial" w:cs="Arial" w:eastAsia="Arial" w:hAnsi="Arial"/>
            <w:sz w:val="18"/>
            <w:szCs w:val="18"/>
            <w:u w:val="single" w:color="auto"/>
            <w:color w:val="0000EE"/>
          </w:rPr>
          <w:t>Continuing and Unconditional Guaranty, dated as of January 28, 2016 between Bank of America,</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N.A. and Calavo Growers, Inc.</w:t>
        </w:r>
        <w:r>
          <w:rPr>
            <w:rFonts w:ascii="Arial" w:cs="Arial" w:eastAsia="Arial" w:hAnsi="Arial"/>
            <w:sz w:val="18"/>
            <w:szCs w:val="18"/>
            <w:color w:val="0000EE"/>
          </w:rPr>
          <w:t xml:space="preserve"> </w:t>
        </w:r>
        <w:r>
          <w:rPr>
            <w:rFonts w:ascii="Arial" w:cs="Arial" w:eastAsia="Arial" w:hAnsi="Arial"/>
            <w:sz w:val="8"/>
            <w:szCs w:val="8"/>
            <w:color w:val="0000EE"/>
          </w:rPr>
          <w:t>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2188845</wp:posOffset>
            </wp:positionH>
            <wp:positionV relativeFrom="paragraph">
              <wp:posOffset>-57785</wp:posOffset>
            </wp:positionV>
            <wp:extent cx="793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0">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1020" w:right="680" w:hanging="652"/>
        <w:spacing w:after="0" w:line="234"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10.22</w:t>
      </w:r>
      <w:r>
        <w:rPr>
          <w:sz w:val="20"/>
          <w:szCs w:val="20"/>
          <w:color w:val="auto"/>
        </w:rPr>
        <w:tab/>
      </w:r>
      <w:hyperlink r:id="rId61">
        <w:r>
          <w:rPr>
            <w:rFonts w:ascii="Arial" w:cs="Arial" w:eastAsia="Arial" w:hAnsi="Arial"/>
            <w:sz w:val="18"/>
            <w:szCs w:val="18"/>
            <w:u w:val="single" w:color="auto"/>
            <w:color w:val="0000EE"/>
          </w:rPr>
          <w:t>Amendment No. 9 to Business Loan Agreement, dated as of May 26, 2016 between Bank of</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America, N.A. and Calavo Growers, Inc.</w:t>
        </w:r>
        <w:r>
          <w:rPr>
            <w:rFonts w:ascii="Arial" w:cs="Arial" w:eastAsia="Arial" w:hAnsi="Arial"/>
            <w:sz w:val="18"/>
            <w:szCs w:val="18"/>
            <w:color w:val="0000EE"/>
          </w:rPr>
          <w:t xml:space="preserve"> </w:t>
        </w:r>
        <w:r>
          <w:rPr>
            <w:rFonts w:ascii="Arial" w:cs="Arial" w:eastAsia="Arial" w:hAnsi="Arial"/>
            <w:sz w:val="8"/>
            <w:szCs w:val="8"/>
            <w:color w:val="0000EE"/>
          </w:rPr>
          <w:t>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2671445</wp:posOffset>
            </wp:positionH>
            <wp:positionV relativeFrom="paragraph">
              <wp:posOffset>-57785</wp:posOffset>
            </wp:positionV>
            <wp:extent cx="793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2">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1020" w:right="20" w:hanging="652"/>
        <w:spacing w:after="0" w:line="234"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10.23</w:t>
      </w:r>
      <w:r>
        <w:rPr>
          <w:sz w:val="20"/>
          <w:szCs w:val="20"/>
          <w:color w:val="auto"/>
        </w:rPr>
        <w:tab/>
      </w:r>
      <w:hyperlink r:id="rId63">
        <w:r>
          <w:rPr>
            <w:rFonts w:ascii="Arial" w:cs="Arial" w:eastAsia="Arial" w:hAnsi="Arial"/>
            <w:sz w:val="18"/>
            <w:szCs w:val="18"/>
            <w:u w:val="single" w:color="auto"/>
            <w:color w:val="0000EE"/>
          </w:rPr>
          <w:t>Letter Amendment to Revolving Credit Facility, dated May 20, 2016 between Farm Credit West, PCA</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and Calavo Growers, Inc.</w:t>
        </w:r>
        <w:r>
          <w:rPr>
            <w:rFonts w:ascii="Arial" w:cs="Arial" w:eastAsia="Arial" w:hAnsi="Arial"/>
            <w:sz w:val="18"/>
            <w:szCs w:val="18"/>
            <w:color w:val="0000EE"/>
          </w:rPr>
          <w:t xml:space="preserve"> </w:t>
        </w:r>
        <w:r>
          <w:rPr>
            <w:rFonts w:ascii="Arial" w:cs="Arial" w:eastAsia="Arial" w:hAnsi="Arial"/>
            <w:sz w:val="8"/>
            <w:szCs w:val="8"/>
            <w:color w:val="0000EE"/>
          </w:rPr>
          <w:t>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-57785</wp:posOffset>
            </wp:positionV>
            <wp:extent cx="793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4">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36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10.24</w:t>
      </w:r>
      <w:r>
        <w:rPr>
          <w:sz w:val="20"/>
          <w:szCs w:val="20"/>
          <w:color w:val="auto"/>
        </w:rPr>
        <w:tab/>
      </w:r>
      <w:hyperlink r:id="rId65">
        <w:r>
          <w:rPr>
            <w:rFonts w:ascii="Arial" w:cs="Arial" w:eastAsia="Arial" w:hAnsi="Arial"/>
            <w:sz w:val="17"/>
            <w:szCs w:val="17"/>
            <w:u w:val="single" w:color="auto"/>
            <w:color w:val="0000EE"/>
          </w:rPr>
          <w:t>Credit Agreement, dated as of June 14, 2016, by and among Calavo Growers, Inc., and the</w:t>
        </w:r>
      </w:hyperlink>
    </w:p>
    <w:p>
      <w:pPr>
        <w:ind w:left="1020"/>
        <w:spacing w:after="0" w:line="235" w:lineRule="auto"/>
        <w:rPr>
          <w:rFonts w:ascii="Arial" w:cs="Arial" w:eastAsia="Arial" w:hAnsi="Arial"/>
          <w:sz w:val="18"/>
          <w:szCs w:val="18"/>
          <w:color w:val="0000EE"/>
        </w:rPr>
      </w:pPr>
      <w:hyperlink r:id="rId65">
        <w:r>
          <w:rPr>
            <w:rFonts w:ascii="Arial" w:cs="Arial" w:eastAsia="Arial" w:hAnsi="Arial"/>
            <w:sz w:val="18"/>
            <w:szCs w:val="18"/>
            <w:u w:val="single" w:color="auto"/>
            <w:color w:val="0000EE"/>
          </w:rPr>
          <w:t>subsidiary guarantor identified therein and the lenders and agents names therein.</w:t>
        </w:r>
        <w:r>
          <w:rPr>
            <w:rFonts w:ascii="Arial" w:cs="Arial" w:eastAsia="Arial" w:hAnsi="Arial"/>
            <w:sz w:val="18"/>
            <w:szCs w:val="18"/>
            <w:color w:val="0000EE"/>
          </w:rPr>
          <w:t xml:space="preserve"> </w:t>
        </w:r>
        <w:r>
          <w:rPr>
            <w:rFonts w:ascii="Arial" w:cs="Arial" w:eastAsia="Arial" w:hAnsi="Arial"/>
            <w:sz w:val="8"/>
            <w:szCs w:val="8"/>
            <w:color w:val="0000EE"/>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-58420</wp:posOffset>
            </wp:positionV>
            <wp:extent cx="793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6">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36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10.25</w:t>
      </w:r>
      <w:r>
        <w:rPr>
          <w:sz w:val="20"/>
          <w:szCs w:val="20"/>
          <w:color w:val="auto"/>
        </w:rPr>
        <w:tab/>
      </w:r>
      <w:hyperlink r:id="rId67">
        <w:r>
          <w:rPr>
            <w:rFonts w:ascii="Arial" w:cs="Arial" w:eastAsia="Arial" w:hAnsi="Arial"/>
            <w:sz w:val="17"/>
            <w:szCs w:val="17"/>
            <w:u w:val="single" w:color="auto"/>
            <w:color w:val="0000EE"/>
          </w:rPr>
          <w:t>Revolving Credit Note, dated as of June 14, 2016, by and among Calavo Growers, Inc., and FCW.</w:t>
        </w:r>
        <w:r>
          <w:rPr>
            <w:rFonts w:ascii="Arial" w:cs="Arial" w:eastAsia="Arial" w:hAnsi="Arial"/>
            <w:sz w:val="8"/>
            <w:szCs w:val="8"/>
            <w:u w:val="single" w:color="auto"/>
            <w:color w:val="0000EE"/>
          </w:rPr>
          <w:t>26</w:t>
        </w:r>
      </w:hyperlink>
    </w:p>
    <w:p>
      <w:pPr>
        <w:ind w:left="36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10.26</w:t>
      </w:r>
      <w:r>
        <w:rPr>
          <w:sz w:val="20"/>
          <w:szCs w:val="20"/>
          <w:color w:val="auto"/>
        </w:rPr>
        <w:tab/>
      </w:r>
      <w:hyperlink r:id="rId68">
        <w:r>
          <w:rPr>
            <w:rFonts w:ascii="Arial" w:cs="Arial" w:eastAsia="Arial" w:hAnsi="Arial"/>
            <w:sz w:val="17"/>
            <w:szCs w:val="17"/>
            <w:u w:val="single" w:color="auto"/>
            <w:color w:val="0000EE"/>
          </w:rPr>
          <w:t xml:space="preserve">First Amendment to Credit Agreement dated August 29, 2016. </w:t>
        </w:r>
        <w:r>
          <w:rPr>
            <w:rFonts w:ascii="Arial" w:cs="Arial" w:eastAsia="Arial" w:hAnsi="Arial"/>
            <w:sz w:val="8"/>
            <w:szCs w:val="8"/>
            <w:color w:val="0000EE"/>
          </w:rPr>
          <w:t>27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-58420</wp:posOffset>
            </wp:positionV>
            <wp:extent cx="793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9">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1020" w:right="40" w:hanging="652"/>
        <w:spacing w:after="0" w:line="234"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10.27</w:t>
      </w:r>
      <w:r>
        <w:rPr>
          <w:sz w:val="20"/>
          <w:szCs w:val="20"/>
          <w:color w:val="auto"/>
        </w:rPr>
        <w:tab/>
      </w:r>
      <w:hyperlink r:id="rId70">
        <w:r>
          <w:rPr>
            <w:rFonts w:ascii="Arial" w:cs="Arial" w:eastAsia="Arial" w:hAnsi="Arial"/>
            <w:sz w:val="18"/>
            <w:szCs w:val="18"/>
            <w:u w:val="single" w:color="auto"/>
            <w:color w:val="0000EE"/>
          </w:rPr>
          <w:t>Agreement to Sell and Purchase and Escrow Instructions with Fresh Foods, LLC, a Delaware limited</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liability company dated July 25, 2016.</w:t>
        </w:r>
        <w:r>
          <w:rPr>
            <w:rFonts w:ascii="Arial" w:cs="Arial" w:eastAsia="Arial" w:hAnsi="Arial"/>
            <w:sz w:val="18"/>
            <w:szCs w:val="18"/>
            <w:color w:val="0000EE"/>
          </w:rPr>
          <w:t xml:space="preserve"> </w:t>
        </w:r>
        <w:r>
          <w:rPr>
            <w:rFonts w:ascii="Arial" w:cs="Arial" w:eastAsia="Arial" w:hAnsi="Arial"/>
            <w:sz w:val="8"/>
            <w:szCs w:val="8"/>
            <w:color w:val="0000EE"/>
          </w:rPr>
          <w:t>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2545080</wp:posOffset>
            </wp:positionH>
            <wp:positionV relativeFrom="paragraph">
              <wp:posOffset>-57785</wp:posOffset>
            </wp:positionV>
            <wp:extent cx="793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1020" w:right="200" w:hanging="652"/>
        <w:spacing w:after="0" w:line="234"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10.28</w:t>
      </w:r>
      <w:r>
        <w:rPr>
          <w:sz w:val="20"/>
          <w:szCs w:val="20"/>
          <w:color w:val="auto"/>
        </w:rPr>
        <w:tab/>
      </w:r>
      <w:hyperlink r:id="rId72">
        <w:r>
          <w:rPr>
            <w:rFonts w:ascii="Arial" w:cs="Arial" w:eastAsia="Arial" w:hAnsi="Arial"/>
            <w:sz w:val="18"/>
            <w:szCs w:val="18"/>
            <w:u w:val="single" w:color="auto"/>
            <w:color w:val="0000EE"/>
          </w:rPr>
          <w:t>First Amendment Agreement to Sell and Purchase and Escrow Instructions, by and among Calavo</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Growers, Inc., and Fresh Foods, LLC.</w:t>
        </w:r>
        <w:r>
          <w:rPr>
            <w:rFonts w:ascii="Arial" w:cs="Arial" w:eastAsia="Arial" w:hAnsi="Arial"/>
            <w:sz w:val="18"/>
            <w:szCs w:val="18"/>
            <w:color w:val="0000EE"/>
          </w:rPr>
          <w:t xml:space="preserve"> </w:t>
        </w:r>
        <w:r>
          <w:rPr>
            <w:rFonts w:ascii="Arial" w:cs="Arial" w:eastAsia="Arial" w:hAnsi="Arial"/>
            <w:sz w:val="8"/>
            <w:szCs w:val="8"/>
            <w:color w:val="0000EE"/>
          </w:rPr>
          <w:t>29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2557145</wp:posOffset>
            </wp:positionH>
            <wp:positionV relativeFrom="paragraph">
              <wp:posOffset>-57785</wp:posOffset>
            </wp:positionV>
            <wp:extent cx="793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3">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36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10.29</w:t>
      </w:r>
      <w:r>
        <w:rPr>
          <w:sz w:val="20"/>
          <w:szCs w:val="20"/>
          <w:color w:val="auto"/>
        </w:rPr>
        <w:tab/>
      </w:r>
      <w:hyperlink r:id="rId74">
        <w:r>
          <w:rPr>
            <w:rFonts w:ascii="Arial" w:cs="Arial" w:eastAsia="Arial" w:hAnsi="Arial"/>
            <w:sz w:val="17"/>
            <w:szCs w:val="17"/>
            <w:u w:val="single" w:color="auto"/>
            <w:color w:val="0000EE"/>
          </w:rPr>
          <w:t xml:space="preserve">FreshRealm, LLC, Sixth Amended and Restated Limited Liability Company Agreement. </w:t>
        </w:r>
        <w:r>
          <w:rPr>
            <w:rFonts w:ascii="Arial" w:cs="Arial" w:eastAsia="Arial" w:hAnsi="Arial"/>
            <w:sz w:val="8"/>
            <w:szCs w:val="8"/>
            <w:color w:val="0000EE"/>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-58420</wp:posOffset>
            </wp:positionV>
            <wp:extent cx="793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5">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1020" w:right="460" w:hanging="652"/>
        <w:spacing w:after="0" w:line="234" w:lineRule="auto"/>
        <w:tabs>
          <w:tab w:leader="none" w:pos="1000" w:val="left"/>
        </w:tabs>
        <w:rPr>
          <w:rFonts w:ascii="Arial" w:cs="Arial" w:eastAsia="Arial" w:hAnsi="Arial"/>
          <w:sz w:val="18"/>
          <w:szCs w:val="18"/>
          <w:color w:val="0000EE"/>
        </w:rPr>
      </w:pPr>
      <w:r>
        <w:rPr>
          <w:rFonts w:ascii="Arial" w:cs="Arial" w:eastAsia="Arial" w:hAnsi="Arial"/>
          <w:sz w:val="18"/>
          <w:szCs w:val="18"/>
          <w:color w:val="auto"/>
        </w:rPr>
        <w:t>10.30</w:t>
      </w:r>
      <w:r>
        <w:rPr>
          <w:sz w:val="20"/>
          <w:szCs w:val="20"/>
          <w:color w:val="auto"/>
        </w:rPr>
        <w:tab/>
      </w:r>
      <w:hyperlink r:id="rId76">
        <w:r>
          <w:rPr>
            <w:rFonts w:ascii="Arial" w:cs="Arial" w:eastAsia="Arial" w:hAnsi="Arial"/>
            <w:sz w:val="18"/>
            <w:szCs w:val="18"/>
            <w:u w:val="single" w:color="auto"/>
            <w:color w:val="0000EE"/>
          </w:rPr>
          <w:t>First Amendment to FreshRealm, LLC, Sixth Amended and Restated Limited Liability Company</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Agreement.</w:t>
        </w:r>
        <w:r>
          <w:rPr>
            <w:rFonts w:ascii="Arial" w:cs="Arial" w:eastAsia="Arial" w:hAnsi="Arial"/>
            <w:sz w:val="18"/>
            <w:szCs w:val="18"/>
            <w:color w:val="0000EE"/>
          </w:rPr>
          <w:t xml:space="preserve"> </w:t>
        </w:r>
        <w:r>
          <w:rPr>
            <w:rFonts w:ascii="Arial" w:cs="Arial" w:eastAsia="Arial" w:hAnsi="Arial"/>
            <w:sz w:val="8"/>
            <w:szCs w:val="8"/>
            <w:color w:val="0000EE"/>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-57785</wp:posOffset>
            </wp:positionV>
            <wp:extent cx="793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7">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46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21.1</w:t>
      </w:r>
      <w:r>
        <w:rPr>
          <w:sz w:val="20"/>
          <w:szCs w:val="20"/>
          <w:color w:val="auto"/>
        </w:rPr>
        <w:tab/>
      </w:r>
      <w:hyperlink r:id="rId78">
        <w:r>
          <w:rPr>
            <w:rFonts w:ascii="Arial" w:cs="Arial" w:eastAsia="Arial" w:hAnsi="Arial"/>
            <w:sz w:val="17"/>
            <w:szCs w:val="17"/>
            <w:u w:val="single" w:color="auto"/>
            <w:color w:val="0000EE"/>
          </w:rPr>
          <w:t xml:space="preserve">Subsidiaries of Calavo Growers, Inc. </w:t>
        </w:r>
        <w:r>
          <w:rPr>
            <w:rFonts w:ascii="Arial" w:cs="Arial" w:eastAsia="Arial" w:hAnsi="Arial"/>
            <w:sz w:val="8"/>
            <w:szCs w:val="8"/>
            <w:u w:val="single" w:color="auto"/>
            <w:color w:val="0000EE"/>
          </w:rPr>
          <w:t>1</w:t>
        </w:r>
      </w:hyperlink>
    </w:p>
    <w:p>
      <w:pPr>
        <w:ind w:left="46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23.1</w:t>
      </w:r>
      <w:r>
        <w:rPr>
          <w:sz w:val="20"/>
          <w:szCs w:val="20"/>
          <w:color w:val="auto"/>
        </w:rPr>
        <w:tab/>
      </w:r>
      <w:hyperlink r:id="rId79">
        <w:r>
          <w:rPr>
            <w:rFonts w:ascii="Arial" w:cs="Arial" w:eastAsia="Arial" w:hAnsi="Arial"/>
            <w:sz w:val="17"/>
            <w:szCs w:val="17"/>
            <w:u w:val="single" w:color="auto"/>
            <w:color w:val="0000EE"/>
          </w:rPr>
          <w:t xml:space="preserve">Consent of Deloitte &amp; Touche LLP. </w:t>
        </w:r>
        <w:r>
          <w:rPr>
            <w:rFonts w:ascii="Arial" w:cs="Arial" w:eastAsia="Arial" w:hAnsi="Arial"/>
            <w:sz w:val="8"/>
            <w:szCs w:val="8"/>
            <w:color w:val="0000EE"/>
          </w:rPr>
          <w:t>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-58420</wp:posOffset>
            </wp:positionV>
            <wp:extent cx="79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0">
                      <a:extLst>
                        <a:ext uri="{28A0092B-C50C-407E-A947-70E740481C1C}"/>
                      </a:extLst>
                    </a:blip>
                    <a:srcRect/>
                    <a:stretch>
                      <a:fillRect/>
                    </a:stretch>
                  </pic:blipFill>
                  <pic:spPr bwMode="auto">
                    <a:xfrm>
                      <a:off x="0" y="0"/>
                      <a:ext cx="79375" cy="8890"/>
                    </a:xfrm>
                    <a:prstGeom prst="rect">
                      <a:avLst/>
                    </a:prstGeom>
                    <a:noFill/>
                  </pic:spPr>
                </pic:pic>
              </a:graphicData>
            </a:graphic>
          </wp:anchor>
        </w:drawing>
      </w:r>
    </w:p>
    <w:p>
      <w:pPr>
        <w:ind w:left="460"/>
        <w:spacing w:after="0"/>
        <w:tabs>
          <w:tab w:leader="none" w:pos="10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u w:val="single" w:color="auto"/>
          <w:color w:val="0000EE"/>
        </w:rPr>
        <w:t>Consent of Moss Adams LLP. *</w:t>
      </w:r>
    </w:p>
    <w:p>
      <w:pPr>
        <w:ind w:left="460"/>
        <w:spacing w:after="0"/>
        <w:tabs>
          <w:tab w:leader="none" w:pos="10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EE"/>
        </w:rPr>
        <w:t>Certification of Chief Executive Officer Pursuant to Rule 13a-15(e) or Rule 15d-15(e)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-58420</wp:posOffset>
            </wp:positionV>
            <wp:extent cx="158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1">
                      <a:extLst>
                        <a:ext uri="{28A0092B-C50C-407E-A947-70E740481C1C}"/>
                      </a:extLst>
                    </a:blip>
                    <a:srcRect/>
                    <a:stretch>
                      <a:fillRect/>
                    </a:stretch>
                  </pic:blipFill>
                  <pic:spPr bwMode="auto">
                    <a:xfrm>
                      <a:off x="0" y="0"/>
                      <a:ext cx="15875" cy="8890"/>
                    </a:xfrm>
                    <a:prstGeom prst="rect">
                      <a:avLst/>
                    </a:prstGeom>
                    <a:noFill/>
                  </pic:spPr>
                </pic:pic>
              </a:graphicData>
            </a:graphic>
          </wp:anchor>
        </w:drawing>
      </w:r>
    </w:p>
    <w:p>
      <w:pPr>
        <w:ind w:left="460"/>
        <w:spacing w:after="0"/>
        <w:tabs>
          <w:tab w:leader="none" w:pos="10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EE"/>
        </w:rPr>
        <w:t>Certification of Chief Financial Officer Pursuant to Rule 13a-15(e) or Rule 15d-15(e)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-61595</wp:posOffset>
            </wp:positionV>
            <wp:extent cx="158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2">
                      <a:extLst>
                        <a:ext uri="{28A0092B-C50C-407E-A947-70E740481C1C}"/>
                      </a:extLst>
                    </a:blip>
                    <a:srcRect/>
                    <a:stretch>
                      <a:fillRect/>
                    </a:stretch>
                  </pic:blipFill>
                  <pic:spPr bwMode="auto">
                    <a:xfrm>
                      <a:off x="0" y="0"/>
                      <a:ext cx="15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3">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212090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337" w:right="1439" w:bottom="1440" w:gutter="0" w:footer="0" w:header="0"/>
        </w:sectPr>
      </w:pPr>
    </w:p>
    <w:bookmarkStart w:id="4" w:name="page5"/>
    <w:bookmarkEnd w:id="4"/>
    <w:p>
      <w:pPr>
        <w:ind w:left="1020" w:right="140" w:hanging="407"/>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Certification of Chief Executive Officer and Chief Financial Officer of Periodic Report Pursuant to 18 U.S.C. Section 1350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57150</wp:posOffset>
            </wp:positionV>
            <wp:extent cx="158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5">
                      <a:extLst>
                        <a:ext uri="{28A0092B-C50C-407E-A947-70E740481C1C}"/>
                      </a:extLst>
                    </a:blip>
                    <a:srcRect/>
                    <a:stretch>
                      <a:fillRect/>
                    </a:stretch>
                  </pic:blipFill>
                  <pic:spPr bwMode="auto">
                    <a:xfrm>
                      <a:off x="0" y="0"/>
                      <a:ext cx="15875" cy="8890"/>
                    </a:xfrm>
                    <a:prstGeom prst="rect">
                      <a:avLst/>
                    </a:prstGeom>
                    <a:noFill/>
                  </pic:spPr>
                </pic:pic>
              </a:graphicData>
            </a:graphic>
          </wp:anchor>
        </w:drawing>
      </w:r>
    </w:p>
    <w:p>
      <w:pPr>
        <w:spacing w:after="0" w:line="163" w:lineRule="exact"/>
        <w:rPr>
          <w:sz w:val="20"/>
          <w:szCs w:val="20"/>
          <w:color w:val="auto"/>
        </w:rPr>
      </w:pPr>
    </w:p>
    <w:p>
      <w:pPr>
        <w:ind w:left="1020" w:right="40" w:hanging="507"/>
        <w:spacing w:after="0" w:line="234"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following financial information from the Annual Report on Form 10-K of Calavo Growers, Inc. for the year ended October 31, 2018, formatted in XBRL (eXtensible Business Reporting Language): (1) Consolidated Balance Sheets as of October 31, 2018 and 2017; (2) Consolidated Statements of Income for the years ended October 31, 2018, 2017 and 2016; (3) Consolidated Statements of Comprehensive Income for the years ended October 31, 2018, 2017, and 2016; (4) Consolidated Statements of Shareholders’ Equity for the years ended October 31, 2018, 2017, and 2016;</w:t>
      </w:r>
    </w:p>
    <w:p>
      <w:pPr>
        <w:spacing w:after="0" w:line="4" w:lineRule="exact"/>
        <w:rPr>
          <w:rFonts w:ascii="Arial" w:cs="Arial" w:eastAsia="Arial" w:hAnsi="Arial"/>
          <w:sz w:val="18"/>
          <w:szCs w:val="18"/>
          <w:color w:val="auto"/>
        </w:rPr>
      </w:pPr>
    </w:p>
    <w:p>
      <w:pPr>
        <w:ind w:left="1020" w:right="180"/>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(5) Consolidated Statements of Cash Flows for the years ended October 31, 2018, 2017 and 2016; and (6) Notes to Financial Statements. </w:t>
      </w:r>
      <w:r>
        <w:rPr>
          <w:rFonts w:ascii="Arial" w:cs="Arial" w:eastAsia="Arial" w:hAnsi="Arial"/>
          <w:sz w:val="8"/>
          <w:szCs w:val="8"/>
          <w:color w:val="auto"/>
        </w:rPr>
        <w:t>32</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with this Annual Report on Form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-207645</wp:posOffset>
            </wp:positionV>
            <wp:extent cx="14408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2" w:lineRule="exact"/>
        <w:rPr>
          <w:sz w:val="20"/>
          <w:szCs w:val="20"/>
          <w:color w:val="auto"/>
        </w:rPr>
      </w:pPr>
    </w:p>
    <w:p>
      <w:pPr>
        <w:ind w:left="320" w:right="240" w:hanging="317"/>
        <w:spacing w:after="0" w:line="246"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on April 24, 2001 as an exhibit to the Registrant’s Registration Statement on Form S-4, File No. 333-59418, and incorporated herein by reference.</w:t>
      </w:r>
    </w:p>
    <w:p>
      <w:pPr>
        <w:spacing w:after="0" w:line="197" w:lineRule="exact"/>
        <w:rPr>
          <w:sz w:val="20"/>
          <w:szCs w:val="20"/>
          <w:color w:val="auto"/>
        </w:rPr>
      </w:pPr>
    </w:p>
    <w:p>
      <w:pPr>
        <w:ind w:left="320" w:right="140" w:hanging="317"/>
        <w:spacing w:after="0" w:line="246"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 on January 23, 2004 as an exhibit to the Registrant’s Report on Form 10-K and incorporated herein by reference.</w:t>
      </w:r>
    </w:p>
    <w:p>
      <w:pPr>
        <w:spacing w:after="0" w:line="197" w:lineRule="exact"/>
        <w:rPr>
          <w:sz w:val="20"/>
          <w:szCs w:val="20"/>
          <w:color w:val="auto"/>
        </w:rPr>
      </w:pPr>
    </w:p>
    <w:p>
      <w:pPr>
        <w:ind w:left="320" w:right="460" w:hanging="317"/>
        <w:spacing w:after="0" w:line="246"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on June 9, 2005 as an exhibit to the Registrant’s Report on Form 10-Q and incorporated herein by reference.</w:t>
      </w:r>
    </w:p>
    <w:p>
      <w:pPr>
        <w:spacing w:after="0" w:line="197" w:lineRule="exact"/>
        <w:rPr>
          <w:sz w:val="20"/>
          <w:szCs w:val="20"/>
          <w:color w:val="auto"/>
        </w:rPr>
      </w:pPr>
    </w:p>
    <w:p>
      <w:pPr>
        <w:ind w:left="320" w:right="540" w:hanging="317"/>
        <w:spacing w:after="0" w:line="246"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on May 29, 2008 as an exhibit to the Registrant’s Report on Form 8-K and incorporated herein by reference.</w:t>
      </w:r>
    </w:p>
    <w:p>
      <w:pPr>
        <w:spacing w:after="0" w:line="197" w:lineRule="exact"/>
        <w:rPr>
          <w:sz w:val="20"/>
          <w:szCs w:val="20"/>
          <w:color w:val="auto"/>
        </w:rPr>
      </w:pPr>
    </w:p>
    <w:p>
      <w:pPr>
        <w:ind w:left="320" w:right="1040" w:hanging="317"/>
        <w:spacing w:after="0" w:line="246"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on December 19, 2002 as an exhibit to the Registrant’s Report on Form 8-K, and incorporated herein by reference.</w:t>
      </w:r>
    </w:p>
    <w:p>
      <w:pPr>
        <w:spacing w:after="0" w:line="197" w:lineRule="exact"/>
        <w:rPr>
          <w:sz w:val="20"/>
          <w:szCs w:val="20"/>
          <w:color w:val="auto"/>
        </w:rPr>
      </w:pPr>
    </w:p>
    <w:p>
      <w:pPr>
        <w:ind w:left="320" w:right="140" w:hanging="317"/>
        <w:spacing w:after="0" w:line="246"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Previously filed on January 28, 2003 as an exhibit to the Registrant’s Report on Form 10-K and incorporated herein by reference.</w:t>
      </w:r>
    </w:p>
    <w:p>
      <w:pPr>
        <w:spacing w:after="0" w:line="197" w:lineRule="exact"/>
        <w:rPr>
          <w:sz w:val="20"/>
          <w:szCs w:val="20"/>
          <w:color w:val="auto"/>
        </w:rPr>
      </w:pPr>
    </w:p>
    <w:p>
      <w:pPr>
        <w:ind w:left="320" w:right="520" w:hanging="317"/>
        <w:spacing w:after="0" w:line="246"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on March 21, 2005 as an exhibit to the Registrant’s Definitive Proxy Statement on Form DEF14A and incorporated herein by reference.</w:t>
      </w:r>
    </w:p>
    <w:p>
      <w:pPr>
        <w:spacing w:after="0" w:line="197" w:lineRule="exact"/>
        <w:rPr>
          <w:sz w:val="20"/>
          <w:szCs w:val="20"/>
          <w:color w:val="auto"/>
        </w:rPr>
      </w:pPr>
    </w:p>
    <w:p>
      <w:pPr>
        <w:ind w:left="320" w:right="240" w:hanging="317"/>
        <w:spacing w:after="0" w:line="246"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on October 19, 2007 as an exhibit to the Registrant’s Report on Form 8-K and incorporated herein by reference.</w:t>
      </w:r>
    </w:p>
    <w:p>
      <w:pPr>
        <w:spacing w:after="0" w:line="197" w:lineRule="exact"/>
        <w:rPr>
          <w:sz w:val="20"/>
          <w:szCs w:val="20"/>
          <w:color w:val="auto"/>
        </w:rPr>
      </w:pPr>
    </w:p>
    <w:p>
      <w:pPr>
        <w:ind w:left="320" w:right="1020" w:hanging="317"/>
        <w:spacing w:after="0" w:line="246"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on January 27, 2009 as an exhibit to the Registrant’s Report on Form 10-K/A and incorporated herein by reference.</w:t>
      </w:r>
    </w:p>
    <w:p>
      <w:pPr>
        <w:spacing w:after="0" w:line="197" w:lineRule="exact"/>
        <w:rPr>
          <w:sz w:val="20"/>
          <w:szCs w:val="20"/>
          <w:color w:val="auto"/>
        </w:rPr>
      </w:pPr>
    </w:p>
    <w:p>
      <w:pPr>
        <w:ind w:left="320" w:right="920" w:hanging="317"/>
        <w:spacing w:after="0" w:line="246"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on September 11, 2006 as an exhibit to the Registrant’s Report on Form 10-Q and incorporated herein by reference.</w:t>
      </w:r>
    </w:p>
    <w:p>
      <w:pPr>
        <w:spacing w:after="0" w:line="196" w:lineRule="exact"/>
        <w:rPr>
          <w:rFonts w:ascii="Arial" w:cs="Arial" w:eastAsia="Arial" w:hAnsi="Arial"/>
          <w:sz w:val="18"/>
          <w:szCs w:val="18"/>
          <w:color w:val="auto"/>
        </w:rPr>
      </w:pPr>
    </w:p>
    <w:p>
      <w:pPr>
        <w:ind w:left="320" w:right="420" w:hanging="317"/>
        <w:spacing w:after="0" w:line="246"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on August 6, 2009 as an exhibit to the Registrant’s Report on Form 8-K and incorporated herein by reference.</w:t>
      </w:r>
    </w:p>
    <w:p>
      <w:pPr>
        <w:spacing w:after="0" w:line="196" w:lineRule="exact"/>
        <w:rPr>
          <w:rFonts w:ascii="Arial" w:cs="Arial" w:eastAsia="Arial" w:hAnsi="Arial"/>
          <w:sz w:val="18"/>
          <w:szCs w:val="18"/>
          <w:color w:val="auto"/>
        </w:rPr>
      </w:pPr>
    </w:p>
    <w:p>
      <w:pPr>
        <w:ind w:left="320" w:right="140" w:hanging="317"/>
        <w:spacing w:after="0" w:line="246"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on January 11, 2010 as an exhibit to the Registrant’s Report on Form 10-K and incorporated herein by reference.</w:t>
      </w:r>
    </w:p>
    <w:p>
      <w:pPr>
        <w:spacing w:after="0" w:line="196" w:lineRule="exact"/>
        <w:rPr>
          <w:rFonts w:ascii="Arial" w:cs="Arial" w:eastAsia="Arial" w:hAnsi="Arial"/>
          <w:sz w:val="18"/>
          <w:szCs w:val="18"/>
          <w:color w:val="auto"/>
        </w:rPr>
      </w:pPr>
    </w:p>
    <w:p>
      <w:pPr>
        <w:ind w:left="320" w:right="260" w:hanging="317"/>
        <w:spacing w:after="0" w:line="246"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on March 11, 2010 as an exhibit to the Registrant’s Report on Form 10-Q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7">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212090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5" w:name="page6"/>
    <w:bookmarkEnd w:id="5"/>
    <w:p>
      <w:pPr>
        <w:ind w:left="320" w:right="14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January 14, 2011 as an exhibit to the Registrant’s Report on Form 10-K and incorporated herein by reference.</w:t>
      </w:r>
    </w:p>
    <w:p>
      <w:pPr>
        <w:spacing w:after="0" w:line="196" w:lineRule="exact"/>
        <w:rPr>
          <w:rFonts w:ascii="Arial" w:cs="Arial" w:eastAsia="Arial" w:hAnsi="Arial"/>
          <w:sz w:val="18"/>
          <w:szCs w:val="18"/>
          <w:color w:val="auto"/>
        </w:rPr>
      </w:pPr>
    </w:p>
    <w:p>
      <w:pPr>
        <w:ind w:left="320" w:right="38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March 30, 2011 as an exhibit to the Registrant’s Report on Form 8-K and incorporated herein by reference.</w:t>
      </w:r>
    </w:p>
    <w:p>
      <w:pPr>
        <w:spacing w:after="0" w:line="196" w:lineRule="exact"/>
        <w:rPr>
          <w:rFonts w:ascii="Arial" w:cs="Arial" w:eastAsia="Arial" w:hAnsi="Arial"/>
          <w:sz w:val="18"/>
          <w:szCs w:val="18"/>
          <w:color w:val="auto"/>
        </w:rPr>
      </w:pPr>
    </w:p>
    <w:p>
      <w:pPr>
        <w:ind w:left="320" w:right="6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January 10, 2012 as an exhibit to the Registrant’s Report on Form 8-K/A and incorporated herein by reference.</w:t>
      </w:r>
    </w:p>
    <w:p>
      <w:pPr>
        <w:spacing w:after="0" w:line="196" w:lineRule="exact"/>
        <w:rPr>
          <w:rFonts w:ascii="Arial" w:cs="Arial" w:eastAsia="Arial" w:hAnsi="Arial"/>
          <w:sz w:val="18"/>
          <w:szCs w:val="18"/>
          <w:color w:val="auto"/>
        </w:rPr>
      </w:pPr>
    </w:p>
    <w:p>
      <w:pPr>
        <w:ind w:left="320" w:right="14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November 6, 2012 as an exhibit to the Registrant’s Report on Form 8-K and incorporated herein by reference.</w:t>
      </w:r>
    </w:p>
    <w:p>
      <w:pPr>
        <w:spacing w:after="0" w:line="196" w:lineRule="exact"/>
        <w:rPr>
          <w:rFonts w:ascii="Arial" w:cs="Arial" w:eastAsia="Arial" w:hAnsi="Arial"/>
          <w:sz w:val="18"/>
          <w:szCs w:val="18"/>
          <w:color w:val="auto"/>
        </w:rPr>
      </w:pPr>
    </w:p>
    <w:p>
      <w:pPr>
        <w:ind w:left="320" w:right="10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September 4, 2013 as an exhibit to the Registrant’s Report on Form 8-K and incorporated herein by reference.</w:t>
      </w:r>
    </w:p>
    <w:p>
      <w:pPr>
        <w:spacing w:after="0" w:line="196" w:lineRule="exact"/>
        <w:rPr>
          <w:rFonts w:ascii="Arial" w:cs="Arial" w:eastAsia="Arial" w:hAnsi="Arial"/>
          <w:sz w:val="18"/>
          <w:szCs w:val="18"/>
          <w:color w:val="auto"/>
        </w:rPr>
      </w:pPr>
    </w:p>
    <w:p>
      <w:pPr>
        <w:ind w:left="320" w:right="102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September 9, 2013 as an exhibit to the Registrant’s Report on Form 10-Q and incorporated herein by reference.</w:t>
      </w:r>
    </w:p>
    <w:p>
      <w:pPr>
        <w:spacing w:after="0" w:line="196" w:lineRule="exact"/>
        <w:rPr>
          <w:rFonts w:ascii="Arial" w:cs="Arial" w:eastAsia="Arial" w:hAnsi="Arial"/>
          <w:sz w:val="18"/>
          <w:szCs w:val="18"/>
          <w:color w:val="auto"/>
        </w:rPr>
      </w:pPr>
    </w:p>
    <w:p>
      <w:pPr>
        <w:ind w:left="320" w:right="4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November 26, 2013 as an exhibit to the Registrant’s Report on Form 8-K and incorporated herein by reference.</w:t>
      </w:r>
    </w:p>
    <w:p>
      <w:pPr>
        <w:spacing w:after="0" w:line="196" w:lineRule="exact"/>
        <w:rPr>
          <w:rFonts w:ascii="Arial" w:cs="Arial" w:eastAsia="Arial" w:hAnsi="Arial"/>
          <w:sz w:val="18"/>
          <w:szCs w:val="18"/>
          <w:color w:val="auto"/>
        </w:rPr>
      </w:pPr>
    </w:p>
    <w:p>
      <w:pPr>
        <w:ind w:left="320" w:right="104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September 30, 2014 as an exhibit to the Registrant’s Report on Form 8-K and incorporated herein by reference.</w:t>
      </w:r>
    </w:p>
    <w:p>
      <w:pPr>
        <w:spacing w:after="0" w:line="196" w:lineRule="exact"/>
        <w:rPr>
          <w:rFonts w:ascii="Arial" w:cs="Arial" w:eastAsia="Arial" w:hAnsi="Arial"/>
          <w:sz w:val="18"/>
          <w:szCs w:val="18"/>
          <w:color w:val="auto"/>
        </w:rPr>
      </w:pPr>
    </w:p>
    <w:p>
      <w:pPr>
        <w:ind w:left="32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July 27, 2015 as an exhibit to the Registrant’s Report on Form 8-K and incorporated herein by reference.</w:t>
      </w:r>
    </w:p>
    <w:p>
      <w:pPr>
        <w:spacing w:after="0" w:line="196" w:lineRule="exact"/>
        <w:rPr>
          <w:rFonts w:ascii="Arial" w:cs="Arial" w:eastAsia="Arial" w:hAnsi="Arial"/>
          <w:sz w:val="18"/>
          <w:szCs w:val="18"/>
          <w:color w:val="auto"/>
        </w:rPr>
      </w:pPr>
    </w:p>
    <w:p>
      <w:pPr>
        <w:ind w:left="320" w:right="24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January 25, 2016 as an exhibit to the Registrant’s Report on Form 8-K and incorporated herein by reference.</w:t>
      </w:r>
    </w:p>
    <w:p>
      <w:pPr>
        <w:spacing w:after="0" w:line="196" w:lineRule="exact"/>
        <w:rPr>
          <w:rFonts w:ascii="Arial" w:cs="Arial" w:eastAsia="Arial" w:hAnsi="Arial"/>
          <w:sz w:val="18"/>
          <w:szCs w:val="18"/>
          <w:color w:val="auto"/>
        </w:rPr>
      </w:pPr>
    </w:p>
    <w:p>
      <w:pPr>
        <w:ind w:left="320" w:right="26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February 1, 2016 as an exhibit to the Registrant’s Report on Form 8-K and incorporated herein by reference.</w:t>
      </w:r>
    </w:p>
    <w:p>
      <w:pPr>
        <w:spacing w:after="0" w:line="196" w:lineRule="exact"/>
        <w:rPr>
          <w:rFonts w:ascii="Arial" w:cs="Arial" w:eastAsia="Arial" w:hAnsi="Arial"/>
          <w:sz w:val="18"/>
          <w:szCs w:val="18"/>
          <w:color w:val="auto"/>
        </w:rPr>
      </w:pPr>
    </w:p>
    <w:p>
      <w:pPr>
        <w:ind w:left="320" w:right="54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May 27, 2016 as an exhibit to the Registrant’s Report on Form 8-K and incorporated herein by reference.</w:t>
      </w:r>
    </w:p>
    <w:p>
      <w:pPr>
        <w:spacing w:after="0" w:line="196" w:lineRule="exact"/>
        <w:rPr>
          <w:rFonts w:ascii="Arial" w:cs="Arial" w:eastAsia="Arial" w:hAnsi="Arial"/>
          <w:sz w:val="18"/>
          <w:szCs w:val="18"/>
          <w:color w:val="auto"/>
        </w:rPr>
      </w:pPr>
    </w:p>
    <w:p>
      <w:pPr>
        <w:ind w:left="320" w:right="48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June 20, 2016 as an exhibit to the Registrant’s Report on Form 8-K and incorporated herein by reference.</w:t>
      </w:r>
    </w:p>
    <w:p>
      <w:pPr>
        <w:spacing w:after="0" w:line="196" w:lineRule="exact"/>
        <w:rPr>
          <w:rFonts w:ascii="Arial" w:cs="Arial" w:eastAsia="Arial" w:hAnsi="Arial"/>
          <w:sz w:val="18"/>
          <w:szCs w:val="18"/>
          <w:color w:val="auto"/>
        </w:rPr>
      </w:pPr>
    </w:p>
    <w:p>
      <w:pPr>
        <w:ind w:left="320" w:right="10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September 1, 2016 as an exhibit to the Registrant’s Report on Form 8-K and incorporated herein by reference.</w:t>
      </w:r>
    </w:p>
    <w:p>
      <w:pPr>
        <w:spacing w:after="0" w:line="196" w:lineRule="exact"/>
        <w:rPr>
          <w:rFonts w:ascii="Arial" w:cs="Arial" w:eastAsia="Arial" w:hAnsi="Arial"/>
          <w:sz w:val="18"/>
          <w:szCs w:val="18"/>
          <w:color w:val="auto"/>
        </w:rPr>
      </w:pPr>
    </w:p>
    <w:p>
      <w:pPr>
        <w:ind w:left="320" w:right="102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September 8, 2016 as an exhibit to the Registrant’s Report on Form 10-Q and incorporated herein by reference.</w:t>
      </w:r>
    </w:p>
    <w:p>
      <w:pPr>
        <w:spacing w:after="0" w:line="196" w:lineRule="exact"/>
        <w:rPr>
          <w:rFonts w:ascii="Arial" w:cs="Arial" w:eastAsia="Arial" w:hAnsi="Arial"/>
          <w:sz w:val="18"/>
          <w:szCs w:val="18"/>
          <w:color w:val="auto"/>
        </w:rPr>
      </w:pPr>
    </w:p>
    <w:p>
      <w:pPr>
        <w:ind w:left="320" w:right="14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November 7, 2016 as an exhibit to the Registrant’s Report on Form 8-K and incorporated herein by reference.</w:t>
      </w:r>
    </w:p>
    <w:p>
      <w:pPr>
        <w:spacing w:after="0" w:line="196" w:lineRule="exact"/>
        <w:rPr>
          <w:rFonts w:ascii="Arial" w:cs="Arial" w:eastAsia="Arial" w:hAnsi="Arial"/>
          <w:sz w:val="18"/>
          <w:szCs w:val="18"/>
          <w:color w:val="auto"/>
        </w:rPr>
      </w:pPr>
    </w:p>
    <w:p>
      <w:pPr>
        <w:ind w:left="320" w:right="100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December 23, 2016 as an exhibit to the Registrant’s Report on Form 10-K and incorporated herein by reference.</w:t>
      </w:r>
    </w:p>
    <w:p>
      <w:pPr>
        <w:spacing w:after="0" w:line="196" w:lineRule="exact"/>
        <w:rPr>
          <w:rFonts w:ascii="Arial" w:cs="Arial" w:eastAsia="Arial" w:hAnsi="Arial"/>
          <w:sz w:val="18"/>
          <w:szCs w:val="18"/>
          <w:color w:val="auto"/>
        </w:rPr>
      </w:pPr>
    </w:p>
    <w:p>
      <w:pPr>
        <w:ind w:left="320" w:right="1020" w:hanging="317"/>
        <w:spacing w:after="0" w:line="246"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September 4, 2018 as an exhibit to the Registrant’s Report on Form 10-Q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9">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212090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6" w:name="page7"/>
    <w:bookmarkEnd w:id="6"/>
    <w:p>
      <w:pPr>
        <w:ind w:left="320" w:right="80" w:hanging="317"/>
        <w:spacing w:after="0" w:line="246"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Exhibits to Annual Report on Form 10-K for the year ended October 31, 2018 of the Registrant.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1">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212090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7" w:name="page8"/>
    <w:bookmarkEnd w:id="7"/>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jc w:val="both"/>
        <w:ind w:right="240" w:firstLine="324"/>
        <w:spacing w:after="0"/>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April 1, 2019.</w:t>
      </w:r>
    </w:p>
    <w:p>
      <w:pPr>
        <w:spacing w:after="0" w:line="2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CALAVO GROWERS, INC</w:t>
      </w:r>
    </w:p>
    <w:p>
      <w:pPr>
        <w:spacing w:after="0" w:line="198" w:lineRule="exact"/>
        <w:rPr>
          <w:sz w:val="20"/>
          <w:szCs w:val="20"/>
          <w:color w:val="auto"/>
        </w:rPr>
      </w:pPr>
    </w:p>
    <w:p>
      <w:pPr>
        <w:ind w:left="456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-1905</wp:posOffset>
            </wp:positionV>
            <wp:extent cx="2675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jc w:val="center"/>
        <w:ind w:left="4860"/>
        <w:spacing w:after="0"/>
        <w:rPr>
          <w:sz w:val="20"/>
          <w:szCs w:val="20"/>
          <w:color w:val="auto"/>
        </w:rPr>
      </w:pPr>
      <w:r>
        <w:rPr>
          <w:rFonts w:ascii="Arial" w:cs="Arial" w:eastAsia="Arial" w:hAnsi="Arial"/>
          <w:sz w:val="18"/>
          <w:szCs w:val="18"/>
          <w:color w:val="auto"/>
        </w:rPr>
        <w:t>Lecil E. Cole</w:t>
      </w:r>
    </w:p>
    <w:p>
      <w:pPr>
        <w:jc w:val="center"/>
        <w:ind w:left="4860"/>
        <w:spacing w:after="0" w:line="234" w:lineRule="auto"/>
        <w:rPr>
          <w:sz w:val="20"/>
          <w:szCs w:val="20"/>
          <w:color w:val="auto"/>
        </w:rPr>
      </w:pPr>
      <w:r>
        <w:rPr>
          <w:rFonts w:ascii="Arial" w:cs="Arial" w:eastAsia="Arial" w:hAnsi="Arial"/>
          <w:sz w:val="18"/>
          <w:szCs w:val="18"/>
          <w:i w:val="1"/>
          <w:iCs w:val="1"/>
          <w:color w:val="auto"/>
        </w:rPr>
        <w:t>Chairman of the Board of Directors, and</w:t>
      </w:r>
    </w:p>
    <w:p>
      <w:pPr>
        <w:spacing w:after="0" w:line="1" w:lineRule="exact"/>
        <w:rPr>
          <w:sz w:val="20"/>
          <w:szCs w:val="20"/>
          <w:color w:val="auto"/>
        </w:rPr>
      </w:pPr>
    </w:p>
    <w:p>
      <w:pPr>
        <w:jc w:val="center"/>
        <w:ind w:left="4860"/>
        <w:spacing w:after="0"/>
        <w:rPr>
          <w:sz w:val="20"/>
          <w:szCs w:val="20"/>
          <w:color w:val="auto"/>
        </w:rPr>
      </w:pPr>
      <w:r>
        <w:rPr>
          <w:rFonts w:ascii="Arial" w:cs="Arial" w:eastAsia="Arial" w:hAnsi="Arial"/>
          <w:sz w:val="18"/>
          <w:szCs w:val="18"/>
          <w:i w:val="1"/>
          <w:iCs w:val="1"/>
          <w:color w:val="auto"/>
        </w:rPr>
        <w:t>Chief Executive Officer</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Pursuant to the requirements of the Securities Exchange Act of 1934, this report has been signed below on</w:t>
      </w:r>
    </w:p>
    <w:p>
      <w:pPr>
        <w:spacing w:after="0"/>
        <w:rPr>
          <w:sz w:val="20"/>
          <w:szCs w:val="20"/>
          <w:color w:val="auto"/>
        </w:rPr>
      </w:pPr>
      <w:r>
        <w:rPr>
          <w:rFonts w:ascii="Arial" w:cs="Arial" w:eastAsia="Arial" w:hAnsi="Arial"/>
          <w:sz w:val="18"/>
          <w:szCs w:val="18"/>
          <w:color w:val="auto"/>
        </w:rPr>
        <w:t>April 1, 2019 by the following persons on behalf of the registrant and in the capacities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6"/>
                <w:szCs w:val="16"/>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365"/>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Lecil E. Cole</w:t>
            </w:r>
          </w:p>
        </w:tc>
        <w:tc>
          <w:tcPr>
            <w:tcW w:w="18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9"/>
              </w:rPr>
              <w:t>Chairman of the Board of Directors, and</w:t>
            </w:r>
          </w:p>
        </w:tc>
      </w:tr>
      <w:tr>
        <w:trPr>
          <w:trHeight w:val="175"/>
        </w:trPr>
        <w:tc>
          <w:tcPr>
            <w:tcW w:w="4460" w:type="dxa"/>
            <w:vAlign w:val="bottom"/>
          </w:tcPr>
          <w:p>
            <w:pPr>
              <w:jc w:val="center"/>
              <w:spacing w:after="0" w:line="175" w:lineRule="exact"/>
              <w:rPr>
                <w:sz w:val="20"/>
                <w:szCs w:val="20"/>
                <w:color w:val="auto"/>
              </w:rPr>
            </w:pPr>
            <w:r>
              <w:rPr>
                <w:rFonts w:ascii="Arial" w:cs="Arial" w:eastAsia="Arial" w:hAnsi="Arial"/>
                <w:sz w:val="18"/>
                <w:szCs w:val="18"/>
                <w:color w:val="auto"/>
              </w:rPr>
              <w:t>Lecil E. Cole</w:t>
            </w:r>
          </w:p>
        </w:tc>
        <w:tc>
          <w:tcPr>
            <w:tcW w:w="180" w:type="dxa"/>
            <w:vAlign w:val="bottom"/>
          </w:tcPr>
          <w:p>
            <w:pPr>
              <w:spacing w:after="0"/>
              <w:rPr>
                <w:sz w:val="15"/>
                <w:szCs w:val="15"/>
                <w:color w:val="auto"/>
              </w:rPr>
            </w:pPr>
          </w:p>
        </w:tc>
        <w:tc>
          <w:tcPr>
            <w:tcW w:w="4420" w:type="dxa"/>
            <w:vAlign w:val="bottom"/>
          </w:tcPr>
          <w:p>
            <w:pPr>
              <w:jc w:val="center"/>
              <w:spacing w:after="0" w:line="175" w:lineRule="exact"/>
              <w:rPr>
                <w:sz w:val="20"/>
                <w:szCs w:val="20"/>
                <w:color w:val="auto"/>
              </w:rPr>
            </w:pPr>
            <w:r>
              <w:rPr>
                <w:rFonts w:ascii="Arial" w:cs="Arial" w:eastAsia="Arial" w:hAnsi="Arial"/>
                <w:sz w:val="18"/>
                <w:szCs w:val="18"/>
                <w:color w:val="auto"/>
                <w:w w:val="99"/>
              </w:rPr>
              <w:t>Chief Executive Officer</w:t>
            </w:r>
          </w:p>
        </w:tc>
      </w:tr>
      <w:tr>
        <w:trPr>
          <w:trHeight w:val="217"/>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r>
        <w:trPr>
          <w:trHeight w:val="358"/>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B. John Lindeman</w:t>
            </w:r>
          </w:p>
        </w:tc>
        <w:tc>
          <w:tcPr>
            <w:tcW w:w="18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Corporate Secretary</w:t>
            </w:r>
          </w:p>
        </w:tc>
      </w:tr>
      <w:tr>
        <w:trPr>
          <w:trHeight w:val="217"/>
        </w:trPr>
        <w:tc>
          <w:tcPr>
            <w:tcW w:w="4460" w:type="dxa"/>
            <w:vAlign w:val="bottom"/>
          </w:tcPr>
          <w:p>
            <w:pPr>
              <w:jc w:val="center"/>
              <w:spacing w:after="0"/>
              <w:rPr>
                <w:sz w:val="20"/>
                <w:szCs w:val="20"/>
                <w:color w:val="auto"/>
              </w:rPr>
            </w:pPr>
            <w:r>
              <w:rPr>
                <w:rFonts w:ascii="Arial" w:cs="Arial" w:eastAsia="Arial" w:hAnsi="Arial"/>
                <w:sz w:val="18"/>
                <w:szCs w:val="18"/>
                <w:color w:val="auto"/>
              </w:rPr>
              <w:t>B. John Lindeman</w:t>
            </w:r>
          </w:p>
        </w:tc>
        <w:tc>
          <w:tcPr>
            <w:tcW w:w="180" w:type="dxa"/>
            <w:vAlign w:val="bottom"/>
          </w:tcPr>
          <w:p>
            <w:pPr>
              <w:spacing w:after="0"/>
              <w:rPr>
                <w:sz w:val="18"/>
                <w:szCs w:val="18"/>
                <w:color w:val="auto"/>
              </w:rPr>
            </w:pPr>
          </w:p>
        </w:tc>
        <w:tc>
          <w:tcPr>
            <w:tcW w:w="4420" w:type="dxa"/>
            <w:vAlign w:val="bottom"/>
          </w:tcPr>
          <w:p>
            <w:pPr>
              <w:jc w:val="center"/>
              <w:spacing w:after="0" w:line="189" w:lineRule="exact"/>
              <w:rPr>
                <w:sz w:val="20"/>
                <w:szCs w:val="20"/>
                <w:color w:val="auto"/>
              </w:rPr>
            </w:pPr>
            <w:r>
              <w:rPr>
                <w:rFonts w:ascii="Arial" w:cs="Arial" w:eastAsia="Arial" w:hAnsi="Arial"/>
                <w:sz w:val="18"/>
                <w:szCs w:val="18"/>
                <w:color w:val="auto"/>
                <w:w w:val="99"/>
              </w:rPr>
              <w:t>(Principal Financial Officer)</w:t>
            </w:r>
          </w:p>
        </w:tc>
      </w:tr>
      <w:tr>
        <w:trPr>
          <w:trHeight w:val="344"/>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James E. Snyder</w:t>
            </w:r>
          </w:p>
        </w:tc>
        <w:tc>
          <w:tcPr>
            <w:tcW w:w="18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rPr>
              <w:t>Corporate Controller</w:t>
            </w:r>
          </w:p>
        </w:tc>
      </w:tr>
      <w:tr>
        <w:trPr>
          <w:trHeight w:val="217"/>
        </w:trPr>
        <w:tc>
          <w:tcPr>
            <w:tcW w:w="4460" w:type="dxa"/>
            <w:vAlign w:val="bottom"/>
          </w:tcPr>
          <w:p>
            <w:pPr>
              <w:jc w:val="center"/>
              <w:spacing w:after="0"/>
              <w:rPr>
                <w:sz w:val="20"/>
                <w:szCs w:val="20"/>
                <w:color w:val="auto"/>
              </w:rPr>
            </w:pPr>
            <w:r>
              <w:rPr>
                <w:rFonts w:ascii="Arial" w:cs="Arial" w:eastAsia="Arial" w:hAnsi="Arial"/>
                <w:sz w:val="18"/>
                <w:szCs w:val="18"/>
                <w:color w:val="auto"/>
              </w:rPr>
              <w:t>James E. Snyder</w:t>
            </w:r>
          </w:p>
        </w:tc>
        <w:tc>
          <w:tcPr>
            <w:tcW w:w="180" w:type="dxa"/>
            <w:vAlign w:val="bottom"/>
          </w:tcPr>
          <w:p>
            <w:pPr>
              <w:spacing w:after="0"/>
              <w:rPr>
                <w:sz w:val="18"/>
                <w:szCs w:val="18"/>
                <w:color w:val="auto"/>
              </w:rPr>
            </w:pPr>
          </w:p>
        </w:tc>
        <w:tc>
          <w:tcPr>
            <w:tcW w:w="4420" w:type="dxa"/>
            <w:vAlign w:val="bottom"/>
          </w:tcPr>
          <w:p>
            <w:pPr>
              <w:jc w:val="center"/>
              <w:spacing w:after="0" w:line="189" w:lineRule="exact"/>
              <w:rPr>
                <w:sz w:val="20"/>
                <w:szCs w:val="20"/>
                <w:color w:val="auto"/>
              </w:rPr>
            </w:pPr>
            <w:r>
              <w:rPr>
                <w:rFonts w:ascii="Arial" w:cs="Arial" w:eastAsia="Arial" w:hAnsi="Arial"/>
                <w:sz w:val="18"/>
                <w:szCs w:val="18"/>
                <w:color w:val="auto"/>
                <w:w w:val="9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4">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212090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19" w:right="141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23.2</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Auditors</w:t>
      </w:r>
    </w:p>
    <w:p>
      <w:pPr>
        <w:spacing w:after="0" w:line="21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consent to the incorporation by reference in Registration Statements on Form S-3 (No. 333-180597, No. 333-191702, and No. 333-199754) and Form S-8 (No. 333-132175, No. 333-179101, and No. 333-75378) of Calavo Growers, Inc. of our report dated March 22, 2019, relating to the financial statements of FreshRealm, LLC included in Amendment No. 1 to the Annual Report on Form 10-K of Calavo Growers, Inc., filed with the Securities and Exchange Commission.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April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63887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I, Lecil E. Cole, certify that:</w:t>
      </w:r>
    </w:p>
    <w:p>
      <w:pPr>
        <w:spacing w:after="0" w:line="225" w:lineRule="exact"/>
        <w:rPr>
          <w:sz w:val="20"/>
          <w:szCs w:val="20"/>
          <w:color w:val="auto"/>
        </w:rPr>
      </w:pPr>
    </w:p>
    <w:p>
      <w:pPr>
        <w:ind w:left="641" w:right="60" w:hanging="641"/>
        <w:spacing w:after="0" w:line="277" w:lineRule="auto"/>
        <w:tabs>
          <w:tab w:leader="none" w:pos="6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for the year ended October 31, 2018 (the “report”) of Calavo Growers, Inc. (the “registrant”);</w:t>
      </w:r>
    </w:p>
    <w:p>
      <w:pPr>
        <w:spacing w:after="0" w:line="170" w:lineRule="exact"/>
        <w:rPr>
          <w:rFonts w:ascii="Arial" w:cs="Arial" w:eastAsia="Arial" w:hAnsi="Arial"/>
          <w:sz w:val="18"/>
          <w:szCs w:val="18"/>
          <w:color w:val="auto"/>
        </w:rPr>
      </w:pPr>
    </w:p>
    <w:p>
      <w:pPr>
        <w:ind w:left="641" w:right="360" w:hanging="641"/>
        <w:spacing w:after="0" w:line="264" w:lineRule="auto"/>
        <w:tabs>
          <w:tab w:leader="none" w:pos="6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1" w:right="400" w:hanging="641"/>
        <w:spacing w:after="0" w:line="264" w:lineRule="auto"/>
        <w:tabs>
          <w:tab w:leader="none" w:pos="6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sz w:val="20"/>
          <w:szCs w:val="20"/>
          <w:color w:val="auto"/>
        </w:rPr>
      </w:pPr>
    </w:p>
    <w:p>
      <w:pPr>
        <w:spacing w:after="0" w:line="211"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Date: April 1, 2019</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Lecil E. Cole</w:t>
            </w:r>
          </w:p>
        </w:tc>
      </w:tr>
      <w:tr>
        <w:trPr>
          <w:trHeight w:val="195"/>
        </w:trPr>
        <w:tc>
          <w:tcPr>
            <w:tcW w:w="502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Lecil E. Cole</w:t>
            </w:r>
          </w:p>
        </w:tc>
      </w:tr>
      <w:tr>
        <w:trPr>
          <w:trHeight w:val="216"/>
        </w:trPr>
        <w:tc>
          <w:tcPr>
            <w:tcW w:w="50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50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and Chief Executive Officer</w:t>
            </w:r>
          </w:p>
        </w:tc>
      </w:tr>
      <w:tr>
        <w:trPr>
          <w:trHeight w:val="453"/>
        </w:trPr>
        <w:tc>
          <w:tcPr>
            <w:tcW w:w="50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121" w:right="91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I, B. John Lindeman, certify that:</w:t>
      </w:r>
    </w:p>
    <w:p>
      <w:pPr>
        <w:spacing w:after="0" w:line="225" w:lineRule="exact"/>
        <w:rPr>
          <w:sz w:val="20"/>
          <w:szCs w:val="20"/>
          <w:color w:val="auto"/>
        </w:rPr>
      </w:pPr>
    </w:p>
    <w:p>
      <w:pPr>
        <w:ind w:left="641" w:right="60" w:hanging="641"/>
        <w:spacing w:after="0" w:line="277" w:lineRule="auto"/>
        <w:tabs>
          <w:tab w:leader="none" w:pos="6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for the year ended October 31, 2018 (the “report”) of Calavo Growers, Inc. (the “regirstrant”);</w:t>
      </w:r>
    </w:p>
    <w:p>
      <w:pPr>
        <w:spacing w:after="0" w:line="170" w:lineRule="exact"/>
        <w:rPr>
          <w:rFonts w:ascii="Arial" w:cs="Arial" w:eastAsia="Arial" w:hAnsi="Arial"/>
          <w:sz w:val="18"/>
          <w:szCs w:val="18"/>
          <w:color w:val="auto"/>
        </w:rPr>
      </w:pPr>
    </w:p>
    <w:p>
      <w:pPr>
        <w:ind w:left="641" w:right="360" w:hanging="641"/>
        <w:spacing w:after="0" w:line="264" w:lineRule="auto"/>
        <w:tabs>
          <w:tab w:leader="none" w:pos="6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1" w:right="400" w:hanging="641"/>
        <w:spacing w:after="0" w:line="264" w:lineRule="auto"/>
        <w:tabs>
          <w:tab w:leader="none" w:pos="6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sz w:val="20"/>
          <w:szCs w:val="20"/>
          <w:color w:val="auto"/>
        </w:rPr>
      </w:pPr>
    </w:p>
    <w:p>
      <w:pPr>
        <w:spacing w:after="0" w:line="211"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Date: April 1, 2019</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 John Lindeman</w:t>
            </w:r>
          </w:p>
        </w:tc>
      </w:tr>
      <w:tr>
        <w:trPr>
          <w:trHeight w:val="195"/>
        </w:trPr>
        <w:tc>
          <w:tcPr>
            <w:tcW w:w="51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B. John Lindeman</w:t>
            </w:r>
          </w:p>
        </w:tc>
      </w:tr>
      <w:tr>
        <w:trPr>
          <w:trHeight w:val="216"/>
        </w:trPr>
        <w:tc>
          <w:tcPr>
            <w:tcW w:w="51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30"/>
        </w:trPr>
        <w:tc>
          <w:tcPr>
            <w:tcW w:w="51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53"/>
        </w:trPr>
        <w:tc>
          <w:tcPr>
            <w:tcW w:w="51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121" w:right="91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STATEMENT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Each of the undersigned, the Chairman of the Board and Chief Executive Officer, Chief Financial Officer, and Corporate Secretary of Calavo Growers, Inc. (the “Company”), hereby certifies, pursuant to 18 U.S.C. Section 1350, as adopted pursuant to Section 906 of the Sarbanes-Oxley Act of 2002, that, to his knowledge, this Amendment No. 1 to the Company’s Annual Report on Form 10-K for the year ended October 31, 2018, as amended with the Securities and Exchange Commission on the date hereof (jointly,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April 1,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Lecil E.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1902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B. John Lindeman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1902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388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FreshRealm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Financial Statements</w:t>
      </w:r>
    </w:p>
    <w:p>
      <w:pPr>
        <w:spacing w:after="0" w:line="247"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As of December 31, 2018, and 2017 and For the Years Ended December 31, 2018, 2017 and 2016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7543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180" w:type="dxa"/>
            <w:vAlign w:val="bottom"/>
          </w:tcPr>
          <w:p>
            <w:pPr>
              <w:ind w:left="2620"/>
              <w:spacing w:after="0"/>
              <w:rPr>
                <w:sz w:val="20"/>
                <w:szCs w:val="20"/>
                <w:color w:val="auto"/>
              </w:rPr>
            </w:pPr>
            <w:r>
              <w:rPr>
                <w:rFonts w:ascii="Arial" w:cs="Arial" w:eastAsia="Arial" w:hAnsi="Arial"/>
                <w:sz w:val="18"/>
                <w:szCs w:val="18"/>
                <w:color w:val="auto"/>
              </w:rPr>
              <w:t>PAGE</w:t>
            </w:r>
          </w:p>
        </w:tc>
      </w:tr>
      <w:tr>
        <w:trPr>
          <w:trHeight w:val="365"/>
        </w:trPr>
        <w:tc>
          <w:tcPr>
            <w:tcW w:w="5880" w:type="dxa"/>
            <w:vAlign w:val="bottom"/>
            <w:gridSpan w:val="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Report of Independent Auditors</w:t>
              </w:r>
            </w:hyperlink>
          </w:p>
        </w:tc>
        <w:tc>
          <w:tcPr>
            <w:tcW w:w="3180" w:type="dxa"/>
            <w:vAlign w:val="bottom"/>
          </w:tcPr>
          <w:p>
            <w:pPr>
              <w:jc w:val="center"/>
              <w:ind w:left="2470"/>
              <w:spacing w:after="0"/>
              <w:rPr>
                <w:sz w:val="20"/>
                <w:szCs w:val="20"/>
                <w:color w:val="auto"/>
              </w:rPr>
            </w:pPr>
            <w:r>
              <w:rPr>
                <w:rFonts w:ascii="Arial" w:cs="Arial" w:eastAsia="Arial" w:hAnsi="Arial"/>
                <w:sz w:val="18"/>
                <w:szCs w:val="18"/>
                <w:color w:val="auto"/>
                <w:w w:val="99"/>
              </w:rPr>
              <w:t>1-2</w:t>
            </w:r>
          </w:p>
        </w:tc>
      </w:tr>
      <w:tr>
        <w:trPr>
          <w:trHeight w:val="411"/>
        </w:trPr>
        <w:tc>
          <w:tcPr>
            <w:tcW w:w="2500" w:type="dxa"/>
            <w:vAlign w:val="bottom"/>
            <w:tcBorders>
              <w:top w:val="single" w:sz="8" w:color="0000EE"/>
            </w:tcBorders>
            <w:gridSpan w:val="6"/>
          </w:tcPr>
          <w:p>
            <w:pPr>
              <w:spacing w:after="0"/>
              <w:rPr>
                <w:sz w:val="20"/>
                <w:szCs w:val="20"/>
                <w:color w:val="auto"/>
              </w:rPr>
            </w:pPr>
            <w:r>
              <w:rPr>
                <w:rFonts w:ascii="Arial" w:cs="Arial" w:eastAsia="Arial" w:hAnsi="Arial"/>
                <w:sz w:val="18"/>
                <w:szCs w:val="18"/>
                <w:b w:val="1"/>
                <w:bCs w:val="1"/>
                <w:color w:val="auto"/>
              </w:rPr>
              <w:t>Financial Statements</w:t>
            </w:r>
          </w:p>
        </w:tc>
        <w:tc>
          <w:tcPr>
            <w:tcW w:w="3380" w:type="dxa"/>
            <w:vAlign w:val="bottom"/>
            <w:gridSpan w:val="2"/>
          </w:tcPr>
          <w:p>
            <w:pPr>
              <w:spacing w:after="0"/>
              <w:rPr>
                <w:sz w:val="24"/>
                <w:szCs w:val="24"/>
                <w:color w:val="auto"/>
              </w:rPr>
            </w:pPr>
          </w:p>
        </w:tc>
        <w:tc>
          <w:tcPr>
            <w:tcW w:w="3180" w:type="dxa"/>
            <w:vAlign w:val="bottom"/>
          </w:tcPr>
          <w:p>
            <w:pPr>
              <w:spacing w:after="0"/>
              <w:rPr>
                <w:sz w:val="24"/>
                <w:szCs w:val="24"/>
                <w:color w:val="auto"/>
              </w:rPr>
            </w:pPr>
          </w:p>
        </w:tc>
      </w:tr>
      <w:tr>
        <w:trPr>
          <w:trHeight w:val="176"/>
        </w:trPr>
        <w:tc>
          <w:tcPr>
            <w:tcW w:w="140" w:type="dxa"/>
            <w:vAlign w:val="bottom"/>
          </w:tcPr>
          <w:p>
            <w:pPr>
              <w:spacing w:after="0"/>
              <w:rPr>
                <w:sz w:val="15"/>
                <w:szCs w:val="15"/>
                <w:color w:val="auto"/>
              </w:rPr>
            </w:pPr>
          </w:p>
        </w:tc>
        <w:tc>
          <w:tcPr>
            <w:tcW w:w="5740" w:type="dxa"/>
            <w:vAlign w:val="bottom"/>
            <w:gridSpan w:val="7"/>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Balance sheets</w:t>
              </w:r>
            </w:hyperlink>
          </w:p>
        </w:tc>
        <w:tc>
          <w:tcPr>
            <w:tcW w:w="3180" w:type="dxa"/>
            <w:vAlign w:val="bottom"/>
          </w:tcPr>
          <w:p>
            <w:pPr>
              <w:jc w:val="center"/>
              <w:ind w:left="2470"/>
              <w:spacing w:after="0" w:line="176" w:lineRule="exact"/>
              <w:rPr>
                <w:sz w:val="20"/>
                <w:szCs w:val="20"/>
                <w:color w:val="auto"/>
              </w:rPr>
            </w:pPr>
            <w:r>
              <w:rPr>
                <w:rFonts w:ascii="Arial" w:cs="Arial" w:eastAsia="Arial" w:hAnsi="Arial"/>
                <w:sz w:val="18"/>
                <w:szCs w:val="18"/>
                <w:color w:val="auto"/>
                <w:w w:val="99"/>
              </w:rPr>
              <w:t>3</w:t>
            </w:r>
          </w:p>
        </w:tc>
      </w:tr>
      <w:tr>
        <w:trPr>
          <w:trHeight w:val="20"/>
        </w:trPr>
        <w:tc>
          <w:tcPr>
            <w:tcW w:w="1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20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Statements of operations</w:t>
              </w:r>
            </w:hyperlink>
          </w:p>
        </w:tc>
        <w:tc>
          <w:tcPr>
            <w:tcW w:w="3720" w:type="dxa"/>
            <w:vAlign w:val="bottom"/>
            <w:gridSpan w:val="4"/>
          </w:tcPr>
          <w:p>
            <w:pPr>
              <w:spacing w:after="0"/>
              <w:rPr>
                <w:sz w:val="15"/>
                <w:szCs w:val="15"/>
                <w:color w:val="auto"/>
              </w:rPr>
            </w:pPr>
          </w:p>
        </w:tc>
        <w:tc>
          <w:tcPr>
            <w:tcW w:w="3180" w:type="dxa"/>
            <w:vAlign w:val="bottom"/>
          </w:tcPr>
          <w:p>
            <w:pPr>
              <w:jc w:val="center"/>
              <w:ind w:left="2470"/>
              <w:spacing w:after="0" w:line="182" w:lineRule="exact"/>
              <w:rPr>
                <w:sz w:val="20"/>
                <w:szCs w:val="20"/>
                <w:color w:val="auto"/>
              </w:rPr>
            </w:pPr>
            <w:r>
              <w:rPr>
                <w:rFonts w:ascii="Arial" w:cs="Arial" w:eastAsia="Arial" w:hAnsi="Arial"/>
                <w:sz w:val="18"/>
                <w:szCs w:val="18"/>
                <w:color w:val="auto"/>
                <w:w w:val="99"/>
              </w:rPr>
              <w:t>4</w:t>
            </w:r>
          </w:p>
        </w:tc>
      </w:tr>
      <w:tr>
        <w:trPr>
          <w:trHeight w:val="183"/>
        </w:trPr>
        <w:tc>
          <w:tcPr>
            <w:tcW w:w="140" w:type="dxa"/>
            <w:vAlign w:val="bottom"/>
          </w:tcPr>
          <w:p>
            <w:pPr>
              <w:spacing w:after="0"/>
              <w:rPr>
                <w:sz w:val="15"/>
                <w:szCs w:val="15"/>
                <w:color w:val="auto"/>
              </w:rPr>
            </w:pPr>
          </w:p>
        </w:tc>
        <w:tc>
          <w:tcPr>
            <w:tcW w:w="312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Statements of members’ equity (deficit)</w:t>
              </w:r>
            </w:hyperlink>
          </w:p>
        </w:tc>
        <w:tc>
          <w:tcPr>
            <w:tcW w:w="2620" w:type="dxa"/>
            <w:vAlign w:val="bottom"/>
          </w:tcPr>
          <w:p>
            <w:pPr>
              <w:spacing w:after="0"/>
              <w:rPr>
                <w:sz w:val="15"/>
                <w:szCs w:val="15"/>
                <w:color w:val="auto"/>
              </w:rPr>
            </w:pPr>
          </w:p>
        </w:tc>
        <w:tc>
          <w:tcPr>
            <w:tcW w:w="3180" w:type="dxa"/>
            <w:vAlign w:val="bottom"/>
          </w:tcPr>
          <w:p>
            <w:pPr>
              <w:jc w:val="center"/>
              <w:ind w:left="2470"/>
              <w:spacing w:after="0" w:line="182" w:lineRule="exact"/>
              <w:rPr>
                <w:sz w:val="20"/>
                <w:szCs w:val="20"/>
                <w:color w:val="auto"/>
              </w:rPr>
            </w:pPr>
            <w:r>
              <w:rPr>
                <w:rFonts w:ascii="Arial" w:cs="Arial" w:eastAsia="Arial" w:hAnsi="Arial"/>
                <w:sz w:val="18"/>
                <w:szCs w:val="18"/>
                <w:color w:val="auto"/>
                <w:w w:val="99"/>
              </w:rPr>
              <w:t>5</w:t>
            </w:r>
          </w:p>
        </w:tc>
      </w:tr>
      <w:tr>
        <w:trPr>
          <w:trHeight w:val="183"/>
        </w:trPr>
        <w:tc>
          <w:tcPr>
            <w:tcW w:w="140" w:type="dxa"/>
            <w:vAlign w:val="bottom"/>
          </w:tcPr>
          <w:p>
            <w:pPr>
              <w:spacing w:after="0"/>
              <w:rPr>
                <w:sz w:val="15"/>
                <w:szCs w:val="15"/>
                <w:color w:val="auto"/>
              </w:rPr>
            </w:pPr>
          </w:p>
        </w:tc>
        <w:tc>
          <w:tcPr>
            <w:tcW w:w="200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Statements of cash flows</w:t>
              </w:r>
            </w:hyperlink>
          </w:p>
        </w:tc>
        <w:tc>
          <w:tcPr>
            <w:tcW w:w="3740" w:type="dxa"/>
            <w:vAlign w:val="bottom"/>
            <w:gridSpan w:val="5"/>
          </w:tcPr>
          <w:p>
            <w:pPr>
              <w:spacing w:after="0"/>
              <w:rPr>
                <w:sz w:val="15"/>
                <w:szCs w:val="15"/>
                <w:color w:val="auto"/>
              </w:rPr>
            </w:pPr>
          </w:p>
        </w:tc>
        <w:tc>
          <w:tcPr>
            <w:tcW w:w="3180" w:type="dxa"/>
            <w:vAlign w:val="bottom"/>
          </w:tcPr>
          <w:p>
            <w:pPr>
              <w:jc w:val="center"/>
              <w:ind w:left="2470"/>
              <w:spacing w:after="0" w:line="182" w:lineRule="exact"/>
              <w:rPr>
                <w:sz w:val="20"/>
                <w:szCs w:val="20"/>
                <w:color w:val="auto"/>
              </w:rPr>
            </w:pPr>
            <w:r>
              <w:rPr>
                <w:rFonts w:ascii="Arial" w:cs="Arial" w:eastAsia="Arial" w:hAnsi="Arial"/>
                <w:sz w:val="18"/>
                <w:szCs w:val="18"/>
                <w:color w:val="auto"/>
                <w:w w:val="99"/>
              </w:rPr>
              <w:t>6</w:t>
            </w:r>
          </w:p>
        </w:tc>
      </w:tr>
      <w:tr>
        <w:trPr>
          <w:trHeight w:val="183"/>
        </w:trPr>
        <w:tc>
          <w:tcPr>
            <w:tcW w:w="140" w:type="dxa"/>
            <w:vAlign w:val="bottom"/>
          </w:tcPr>
          <w:p>
            <w:pPr>
              <w:spacing w:after="0"/>
              <w:rPr>
                <w:sz w:val="15"/>
                <w:szCs w:val="15"/>
                <w:color w:val="auto"/>
              </w:rPr>
            </w:pPr>
          </w:p>
        </w:tc>
        <w:tc>
          <w:tcPr>
            <w:tcW w:w="5740" w:type="dxa"/>
            <w:vAlign w:val="bottom"/>
            <w:gridSpan w:val="7"/>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Notes to financial statements</w:t>
              </w:r>
            </w:hyperlink>
          </w:p>
        </w:tc>
        <w:tc>
          <w:tcPr>
            <w:tcW w:w="3180" w:type="dxa"/>
            <w:vAlign w:val="bottom"/>
          </w:tcPr>
          <w:p>
            <w:pPr>
              <w:jc w:val="center"/>
              <w:ind w:left="2450"/>
              <w:spacing w:after="0" w:line="182" w:lineRule="exact"/>
              <w:rPr>
                <w:sz w:val="20"/>
                <w:szCs w:val="20"/>
                <w:color w:val="auto"/>
              </w:rPr>
            </w:pPr>
            <w:r>
              <w:rPr>
                <w:rFonts w:ascii="Arial" w:cs="Arial" w:eastAsia="Arial" w:hAnsi="Arial"/>
                <w:sz w:val="18"/>
                <w:szCs w:val="18"/>
                <w:color w:val="auto"/>
                <w:w w:val="99"/>
              </w:rPr>
              <w:t>7-19</w:t>
            </w:r>
          </w:p>
        </w:tc>
      </w:tr>
      <w:tr>
        <w:trPr>
          <w:trHeight w:val="865"/>
        </w:trPr>
        <w:tc>
          <w:tcPr>
            <w:tcW w:w="140" w:type="dxa"/>
            <w:vAlign w:val="bottom"/>
            <w:tcBorders>
              <w:bottom w:val="single" w:sz="8" w:color="auto"/>
            </w:tcBorders>
          </w:tcPr>
          <w:p>
            <w:pPr>
              <w:spacing w:after="0"/>
              <w:rPr>
                <w:sz w:val="24"/>
                <w:szCs w:val="24"/>
                <w:color w:val="auto"/>
              </w:rPr>
            </w:pPr>
          </w:p>
        </w:tc>
        <w:tc>
          <w:tcPr>
            <w:tcW w:w="122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40"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Report of Independent Auditors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and Board of Managers</w:t>
      </w:r>
    </w:p>
    <w:p>
      <w:pPr>
        <w:spacing w:after="0"/>
        <w:rPr>
          <w:sz w:val="20"/>
          <w:szCs w:val="20"/>
          <w:color w:val="auto"/>
        </w:rPr>
      </w:pPr>
      <w:r>
        <w:rPr>
          <w:rFonts w:ascii="Arial" w:cs="Arial" w:eastAsia="Arial" w:hAnsi="Arial"/>
          <w:sz w:val="18"/>
          <w:szCs w:val="18"/>
          <w:color w:val="auto"/>
        </w:rPr>
        <w:t>FreshRealm, LLC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Financial Statements</w:t>
      </w:r>
    </w:p>
    <w:p>
      <w:pPr>
        <w:spacing w:after="0" w:line="126"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We have audited the accompanying financial statements of FreshRealm, LLC, which comprise the balance sheet as of December 31, 2018, and the related statements of operations, members’ equity (deficit), and cash flows for the year ended December 31, 2018, and the related notes to the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Financial Statements</w:t>
      </w:r>
    </w:p>
    <w:p>
      <w:pPr>
        <w:spacing w:after="0" w:line="12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8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9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FreshRealm, LLC as of December 31, 2018, and the results of its operations and its cash flows for the year ended December 31, 2018, in accordance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is likely to need additional equity or debt financing to fund operations. This matter raises substantial doubt about the Company’s ability to continue as a going concern. Management’s plans in regard to these matters are also described in Note 2. The accompanying financial statements do not include any adjustments that might result from the outcome of this uncertainty.</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March 22,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7543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140" w:type="dxa"/>
            <w:vAlign w:val="bottom"/>
          </w:tcPr>
          <w:p>
            <w:pPr>
              <w:jc w:val="center"/>
              <w:ind w:right="32"/>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6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2017</w:t>
            </w:r>
          </w:p>
        </w:tc>
      </w:tr>
      <w:tr>
        <w:trPr>
          <w:trHeight w:val="169"/>
        </w:trPr>
        <w:tc>
          <w:tcPr>
            <w:tcW w:w="6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2"/>
              <w:spacing w:after="0"/>
              <w:rPr>
                <w:sz w:val="20"/>
                <w:szCs w:val="20"/>
                <w:color w:val="auto"/>
              </w:rPr>
            </w:pPr>
            <w:r>
              <w:rPr>
                <w:rFonts w:ascii="Arial" w:cs="Arial" w:eastAsia="Arial" w:hAnsi="Arial"/>
                <w:sz w:val="14"/>
                <w:szCs w:val="14"/>
                <w:color w:val="auto"/>
              </w:rPr>
              <w:t>(Unaudited)</w:t>
            </w:r>
          </w:p>
        </w:tc>
      </w:tr>
      <w:tr>
        <w:trPr>
          <w:trHeight w:val="230"/>
        </w:trPr>
        <w:tc>
          <w:tcPr>
            <w:tcW w:w="6320" w:type="dxa"/>
            <w:vAlign w:val="bottom"/>
            <w:shd w:val="clear" w:color="auto" w:fill="CCEEFF"/>
          </w:tcPr>
          <w:p>
            <w:pPr>
              <w:ind w:left="274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748,237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4,629,581</w:t>
            </w:r>
          </w:p>
        </w:tc>
      </w:tr>
      <w:tr>
        <w:trPr>
          <w:trHeight w:val="230"/>
        </w:trPr>
        <w:tc>
          <w:tcPr>
            <w:tcW w:w="6320" w:type="dxa"/>
            <w:vAlign w:val="bottom"/>
          </w:tcPr>
          <w:p>
            <w:pPr>
              <w:ind w:left="30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349,170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349,170</w:t>
            </w:r>
          </w:p>
        </w:tc>
      </w:tr>
      <w:tr>
        <w:trPr>
          <w:trHeight w:val="230"/>
        </w:trPr>
        <w:tc>
          <w:tcPr>
            <w:tcW w:w="6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1,078,716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2,107,427</w:t>
            </w:r>
          </w:p>
        </w:tc>
      </w:tr>
      <w:tr>
        <w:trPr>
          <w:trHeight w:val="230"/>
        </w:trPr>
        <w:tc>
          <w:tcPr>
            <w:tcW w:w="6320" w:type="dxa"/>
            <w:vAlign w:val="bottom"/>
          </w:tcPr>
          <w:p>
            <w:pPr>
              <w:ind w:left="30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3,079,862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1,515,276</w:t>
            </w:r>
          </w:p>
        </w:tc>
      </w:tr>
      <w:tr>
        <w:trPr>
          <w:trHeight w:val="230"/>
        </w:trPr>
        <w:tc>
          <w:tcPr>
            <w:tcW w:w="6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Notes receivable, net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688,342</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752,025</w:t>
            </w:r>
          </w:p>
        </w:tc>
      </w:tr>
      <w:tr>
        <w:trPr>
          <w:trHeight w:val="210"/>
        </w:trPr>
        <w:tc>
          <w:tcPr>
            <w:tcW w:w="6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6,013,956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9,353,479</w:t>
            </w:r>
          </w:p>
        </w:tc>
      </w:tr>
      <w:tr>
        <w:trPr>
          <w:trHeight w:val="142"/>
        </w:trPr>
        <w:tc>
          <w:tcPr>
            <w:tcW w:w="6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7,255,501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4,962,291</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Software development costs, net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1,444,073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2,255,384</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171,056</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168,727</w:t>
            </w:r>
          </w:p>
        </w:tc>
      </w:tr>
      <w:tr>
        <w:trPr>
          <w:trHeight w:val="217"/>
        </w:trPr>
        <w:tc>
          <w:tcPr>
            <w:tcW w:w="63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14,884,586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16,739,881</w:t>
            </w:r>
          </w:p>
        </w:tc>
      </w:tr>
      <w:tr>
        <w:trPr>
          <w:trHeight w:val="176"/>
        </w:trPr>
        <w:tc>
          <w:tcPr>
            <w:tcW w:w="6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30"/>
        </w:trPr>
        <w:tc>
          <w:tcPr>
            <w:tcW w:w="6320" w:type="dxa"/>
            <w:vAlign w:val="bottom"/>
          </w:tcPr>
          <w:p>
            <w:pPr>
              <w:ind w:left="1320"/>
              <w:spacing w:after="0"/>
              <w:rPr>
                <w:sz w:val="20"/>
                <w:szCs w:val="20"/>
                <w:color w:val="auto"/>
              </w:rPr>
            </w:pPr>
            <w:r>
              <w:rPr>
                <w:rFonts w:ascii="Arial" w:cs="Arial" w:eastAsia="Arial" w:hAnsi="Arial"/>
                <w:sz w:val="18"/>
                <w:szCs w:val="18"/>
                <w:b w:val="1"/>
                <w:bCs w:val="1"/>
                <w:color w:val="auto"/>
              </w:rPr>
              <w:t>Liabilities and Members' Equity (Deficit)</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6"/>
        </w:trPr>
        <w:tc>
          <w:tcPr>
            <w:tcW w:w="6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4,622,085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3,994,953</w:t>
            </w:r>
          </w:p>
        </w:tc>
      </w:tr>
      <w:tr>
        <w:trPr>
          <w:trHeight w:val="230"/>
        </w:trPr>
        <w:tc>
          <w:tcPr>
            <w:tcW w:w="6320" w:type="dxa"/>
            <w:vAlign w:val="bottom"/>
          </w:tcPr>
          <w:p>
            <w:pPr>
              <w:ind w:left="30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1,665,564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677,799</w:t>
            </w:r>
          </w:p>
        </w:tc>
      </w:tr>
      <w:tr>
        <w:trPr>
          <w:trHeight w:val="230"/>
        </w:trPr>
        <w:tc>
          <w:tcPr>
            <w:tcW w:w="6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Current portion of notes payable</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14,497,572</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479,057</w:t>
            </w:r>
          </w:p>
        </w:tc>
      </w:tr>
      <w:tr>
        <w:trPr>
          <w:trHeight w:val="210"/>
        </w:trPr>
        <w:tc>
          <w:tcPr>
            <w:tcW w:w="632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20,785,221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5,151,809</w:t>
            </w:r>
          </w:p>
        </w:tc>
      </w:tr>
      <w:tr>
        <w:trPr>
          <w:trHeight w:val="230"/>
        </w:trPr>
        <w:tc>
          <w:tcPr>
            <w:tcW w:w="6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Long-term portion of notes payable, net of current portion</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419,052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916,619</w:t>
            </w:r>
          </w:p>
        </w:tc>
      </w:tr>
      <w:tr>
        <w:trPr>
          <w:trHeight w:val="230"/>
        </w:trPr>
        <w:tc>
          <w:tcPr>
            <w:tcW w:w="63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Deferred rent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497,294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21,701,567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6,068,428</w:t>
            </w:r>
          </w:p>
        </w:tc>
      </w:tr>
      <w:tr>
        <w:trPr>
          <w:trHeight w:val="453"/>
        </w:trPr>
        <w:tc>
          <w:tcPr>
            <w:tcW w:w="63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Members' (deficit) equity</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6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Class A units, no par value, 3,580,379 units authorized and</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3"/>
        </w:trPr>
        <w:tc>
          <w:tcPr>
            <w:tcW w:w="63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3,321,291 and 2,920,966 units issued and outstanding at December 31,</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63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2018 and 2017, respectively</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69,520,457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53,520,424</w:t>
            </w:r>
          </w:p>
        </w:tc>
      </w:tr>
      <w:tr>
        <w:trPr>
          <w:trHeight w:val="230"/>
        </w:trPr>
        <w:tc>
          <w:tcPr>
            <w:tcW w:w="6320" w:type="dxa"/>
            <w:vAlign w:val="bottom"/>
          </w:tcPr>
          <w:p>
            <w:pPr>
              <w:ind w:left="3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166,124</w:t>
            </w:r>
          </w:p>
        </w:tc>
      </w:tr>
      <w:tr>
        <w:trPr>
          <w:trHeight w:val="230"/>
        </w:trPr>
        <w:tc>
          <w:tcPr>
            <w:tcW w:w="6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(76,354,830)</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(43,015,095)</w:t>
            </w:r>
          </w:p>
        </w:tc>
      </w:tr>
      <w:tr>
        <w:trPr>
          <w:trHeight w:val="210"/>
        </w:trPr>
        <w:tc>
          <w:tcPr>
            <w:tcW w:w="6320" w:type="dxa"/>
            <w:vAlign w:val="bottom"/>
          </w:tcPr>
          <w:p>
            <w:pPr>
              <w:ind w:left="600"/>
              <w:spacing w:after="0"/>
              <w:rPr>
                <w:sz w:val="20"/>
                <w:szCs w:val="20"/>
                <w:color w:val="auto"/>
              </w:rPr>
            </w:pPr>
            <w:r>
              <w:rPr>
                <w:rFonts w:ascii="Arial" w:cs="Arial" w:eastAsia="Arial" w:hAnsi="Arial"/>
                <w:sz w:val="18"/>
                <w:szCs w:val="18"/>
                <w:color w:val="auto"/>
              </w:rPr>
              <w:t>Total members' (deficit) equity</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(6,816,981)</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10,671,453</w:t>
            </w:r>
          </w:p>
        </w:tc>
      </w:tr>
      <w:tr>
        <w:trPr>
          <w:trHeight w:val="217"/>
        </w:trPr>
        <w:tc>
          <w:tcPr>
            <w:tcW w:w="6320" w:type="dxa"/>
            <w:vAlign w:val="bottom"/>
            <w:tcBorders>
              <w:top w:val="single" w:sz="8" w:color="CCEEFF"/>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 and members' (deficit)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14,884,586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16,739,881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accompanying notes.</w:t>
            </w:r>
          </w:p>
        </w:tc>
        <w:tc>
          <w:tcPr>
            <w:tcW w:w="3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534"/>
        </w:trPr>
        <w:tc>
          <w:tcPr>
            <w:tcW w:w="55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40"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7543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ind w:left="2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6"/>
                <w:szCs w:val="16"/>
                <w:color w:val="auto"/>
              </w:rPr>
            </w:pPr>
          </w:p>
        </w:tc>
        <w:tc>
          <w:tcPr>
            <w:tcW w:w="1260" w:type="dxa"/>
            <w:vAlign w:val="bottom"/>
          </w:tcPr>
          <w:p>
            <w:pPr>
              <w:jc w:val="center"/>
              <w:ind w:right="153"/>
              <w:spacing w:after="0"/>
              <w:rPr>
                <w:sz w:val="20"/>
                <w:szCs w:val="20"/>
                <w:color w:val="auto"/>
              </w:rPr>
            </w:pPr>
            <w:r>
              <w:rPr>
                <w:rFonts w:ascii="Arial" w:cs="Arial" w:eastAsia="Arial" w:hAnsi="Arial"/>
                <w:sz w:val="14"/>
                <w:szCs w:val="14"/>
                <w:b w:val="1"/>
                <w:bCs w:val="1"/>
                <w:color w:val="auto"/>
              </w:rPr>
              <w:t>Year Ended</w:t>
            </w:r>
          </w:p>
        </w:tc>
      </w:tr>
      <w:tr>
        <w:trPr>
          <w:trHeight w:val="188"/>
        </w:trPr>
        <w:tc>
          <w:tcPr>
            <w:tcW w:w="4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2016</w:t>
            </w:r>
          </w:p>
        </w:tc>
      </w:tr>
      <w:tr>
        <w:trPr>
          <w:trHeight w:val="198"/>
        </w:trPr>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color w:val="auto"/>
              </w:rPr>
              <w:t>(Unaudited)</w:t>
            </w:r>
          </w:p>
        </w:tc>
        <w:tc>
          <w:tcPr>
            <w:tcW w:w="240" w:type="dxa"/>
            <w:vAlign w:val="bottom"/>
          </w:tcPr>
          <w:p>
            <w:pPr>
              <w:spacing w:after="0"/>
              <w:rPr>
                <w:sz w:val="17"/>
                <w:szCs w:val="17"/>
                <w:color w:val="auto"/>
              </w:rPr>
            </w:pPr>
          </w:p>
        </w:tc>
        <w:tc>
          <w:tcPr>
            <w:tcW w:w="1260" w:type="dxa"/>
            <w:vAlign w:val="bottom"/>
          </w:tcPr>
          <w:p>
            <w:pPr>
              <w:jc w:val="center"/>
              <w:ind w:right="133"/>
              <w:spacing w:after="0"/>
              <w:rPr>
                <w:sz w:val="20"/>
                <w:szCs w:val="20"/>
                <w:color w:val="auto"/>
              </w:rPr>
            </w:pPr>
            <w:r>
              <w:rPr>
                <w:rFonts w:ascii="Arial" w:cs="Arial" w:eastAsia="Arial" w:hAnsi="Arial"/>
                <w:sz w:val="14"/>
                <w:szCs w:val="14"/>
                <w:color w:val="auto"/>
              </w:rPr>
              <w:t>(Unaudited)</w:t>
            </w:r>
          </w:p>
        </w:tc>
      </w:tr>
      <w:tr>
        <w:trPr>
          <w:trHeight w:val="161"/>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37,666,307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18,218,638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4,190,361</w:t>
            </w:r>
          </w:p>
        </w:tc>
      </w:tr>
      <w:tr>
        <w:trPr>
          <w:trHeight w:val="23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49,034,085</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25,983,355</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7,331,216</w:t>
            </w:r>
          </w:p>
        </w:tc>
      </w:tr>
      <w:tr>
        <w:trPr>
          <w:trHeight w:val="210"/>
        </w:trPr>
        <w:tc>
          <w:tcPr>
            <w:tcW w:w="4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Gross loss</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(11,367,778)</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(7,764,717)</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(3,140,855)</w:t>
            </w:r>
          </w:p>
        </w:tc>
      </w:tr>
      <w:tr>
        <w:trPr>
          <w:trHeight w:val="230"/>
        </w:trPr>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140" w:type="dxa"/>
            <w:vAlign w:val="bottom"/>
          </w:tcPr>
          <w:p>
            <w:pPr>
              <w:ind w:left="300"/>
              <w:spacing w:after="0"/>
              <w:rPr>
                <w:sz w:val="20"/>
                <w:szCs w:val="20"/>
                <w:color w:val="auto"/>
              </w:rPr>
            </w:pPr>
            <w:r>
              <w:rPr>
                <w:rFonts w:ascii="Arial" w:cs="Arial" w:eastAsia="Arial" w:hAnsi="Arial"/>
                <w:sz w:val="18"/>
                <w:szCs w:val="18"/>
                <w:color w:val="auto"/>
              </w:rPr>
              <w:t>Salaries and related expenses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11,372,794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7,928,417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3,278,890</w:t>
            </w:r>
          </w:p>
        </w:tc>
      </w:tr>
      <w:tr>
        <w:trPr>
          <w:trHeight w:val="230"/>
        </w:trPr>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and administrative expenses</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10,009,665</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5,989,973</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3,194,806</w:t>
            </w:r>
          </w:p>
        </w:tc>
      </w:tr>
      <w:tr>
        <w:trPr>
          <w:trHeight w:val="210"/>
        </w:trPr>
        <w:tc>
          <w:tcPr>
            <w:tcW w:w="4140" w:type="dxa"/>
            <w:vAlign w:val="bottom"/>
          </w:tcPr>
          <w:p>
            <w:pPr>
              <w:ind w:left="90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(32,750,237)</w:t>
            </w:r>
          </w:p>
        </w:tc>
        <w:tc>
          <w:tcPr>
            <w:tcW w:w="2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(21,683,107)</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(9,614,551)</w:t>
            </w:r>
          </w:p>
        </w:tc>
      </w:tr>
      <w:tr>
        <w:trPr>
          <w:trHeight w:val="230"/>
        </w:trPr>
        <w:tc>
          <w:tcPr>
            <w:tcW w:w="4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486,160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30"/>
        </w:trPr>
        <w:tc>
          <w:tcPr>
            <w:tcW w:w="4140" w:type="dxa"/>
            <w:vAlign w:val="bottom"/>
          </w:tcPr>
          <w:p>
            <w:pPr>
              <w:ind w:left="3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(10,707)</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(1,117)</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(6,187)</w:t>
            </w:r>
          </w:p>
        </w:tc>
      </w:tr>
      <w:tr>
        <w:trPr>
          <w:trHeight w:val="230"/>
        </w:trPr>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expense</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114,045</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16,692</w:t>
            </w:r>
          </w:p>
        </w:tc>
      </w:tr>
      <w:tr>
        <w:trPr>
          <w:trHeight w:val="217"/>
        </w:trPr>
        <w:tc>
          <w:tcPr>
            <w:tcW w:w="41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(33,339,735)</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(21,716,452)</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(9,625,777)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6980" w:val="left"/>
        </w:tabs>
        <w:rPr>
          <w:sz w:val="20"/>
          <w:szCs w:val="20"/>
          <w:color w:val="auto"/>
        </w:rPr>
      </w:pPr>
      <w:r>
        <w:rPr>
          <w:rFonts w:ascii="Arial" w:cs="Arial" w:eastAsia="Arial" w:hAnsi="Arial"/>
          <w:sz w:val="17"/>
          <w:szCs w:val="17"/>
          <w:color w:val="auto"/>
        </w:rPr>
        <w:t>4</w:t>
      </w:r>
      <w:r>
        <w:rPr>
          <w:sz w:val="20"/>
          <w:szCs w:val="20"/>
          <w:color w:val="auto"/>
        </w:rPr>
        <w:tab/>
      </w:r>
      <w:r>
        <w:rPr>
          <w:rFonts w:ascii="Arial" w:cs="Arial" w:eastAsia="Arial" w:hAnsi="Arial"/>
          <w:sz w:val="17"/>
          <w:szCs w:val="17"/>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57543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5">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219710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Statements of Members’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60972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7">
                      <a:extLst>
                        <a:ext uri="{28A0092B-C50C-407E-A947-70E740481C1C}"/>
                      </a:extLst>
                    </a:blip>
                    <a:srcRect/>
                    <a:stretch>
                      <a:fillRect/>
                    </a:stretch>
                  </pic:blipFill>
                  <pic:spPr bwMode="auto">
                    <a:xfrm>
                      <a:off x="0" y="0"/>
                      <a:ext cx="6097270" cy="1714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35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Paid-</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3520" w:type="dxa"/>
            <w:vAlign w:val="bottom"/>
          </w:tcPr>
          <w:p>
            <w:pPr>
              <w:spacing w:after="0"/>
              <w:rPr>
                <w:sz w:val="15"/>
                <w:szCs w:val="15"/>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Capital</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1040" w:type="dxa"/>
            <w:vAlign w:val="bottom"/>
          </w:tcPr>
          <w:p>
            <w:pPr>
              <w:jc w:val="right"/>
              <w:ind w:right="331"/>
              <w:spacing w:after="0"/>
              <w:rPr>
                <w:sz w:val="20"/>
                <w:szCs w:val="20"/>
                <w:color w:val="auto"/>
              </w:rPr>
            </w:pPr>
            <w:r>
              <w:rPr>
                <w:rFonts w:ascii="Arial" w:cs="Arial" w:eastAsia="Arial" w:hAnsi="Arial"/>
                <w:sz w:val="14"/>
                <w:szCs w:val="14"/>
                <w:b w:val="1"/>
                <w:bCs w:val="1"/>
                <w:color w:val="auto"/>
              </w:rPr>
              <w:t>Total</w:t>
            </w:r>
          </w:p>
        </w:tc>
      </w:tr>
      <w:tr>
        <w:trPr>
          <w:trHeight w:val="195"/>
        </w:trPr>
        <w:tc>
          <w:tcPr>
            <w:tcW w:w="352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Balance at December 31, 2015</w:t>
            </w: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r>
      <w:tr>
        <w:trPr>
          <w:trHeight w:val="203"/>
        </w:trPr>
        <w:tc>
          <w:tcPr>
            <w:tcW w:w="35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(unaudited)</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1,848,309</w:t>
            </w:r>
          </w:p>
        </w:tc>
        <w:tc>
          <w:tcPr>
            <w:tcW w:w="13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$ 14,854,304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(11,672,866)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3,181,438</w:t>
            </w:r>
          </w:p>
        </w:tc>
      </w:tr>
      <w:tr>
        <w:trPr>
          <w:trHeight w:val="230"/>
        </w:trPr>
        <w:tc>
          <w:tcPr>
            <w:tcW w:w="3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Class A units (unaudited)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307,802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10,660,984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10,660,984</w:t>
            </w:r>
          </w:p>
        </w:tc>
      </w:tr>
      <w:tr>
        <w:trPr>
          <w:trHeight w:val="215"/>
        </w:trPr>
        <w:tc>
          <w:tcPr>
            <w:tcW w:w="3520" w:type="dxa"/>
            <w:vAlign w:val="bottom"/>
          </w:tcPr>
          <w:p>
            <w:pPr>
              <w:ind w:left="20"/>
              <w:spacing w:after="0"/>
              <w:rPr>
                <w:sz w:val="20"/>
                <w:szCs w:val="20"/>
                <w:color w:val="auto"/>
              </w:rPr>
            </w:pPr>
            <w:r>
              <w:rPr>
                <w:rFonts w:ascii="Arial" w:cs="Arial" w:eastAsia="Arial" w:hAnsi="Arial"/>
                <w:sz w:val="18"/>
                <w:szCs w:val="18"/>
                <w:color w:val="auto"/>
              </w:rPr>
              <w:t>Unit-based compensation expense</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3520" w:type="dxa"/>
            <w:vAlign w:val="bottom"/>
          </w:tcPr>
          <w:p>
            <w:pPr>
              <w:ind w:left="20"/>
              <w:spacing w:after="0" w:line="203" w:lineRule="exact"/>
              <w:rPr>
                <w:sz w:val="20"/>
                <w:szCs w:val="20"/>
                <w:color w:val="auto"/>
              </w:rPr>
            </w:pPr>
            <w:r>
              <w:rPr>
                <w:rFonts w:ascii="Arial" w:cs="Arial" w:eastAsia="Arial" w:hAnsi="Arial"/>
                <w:sz w:val="18"/>
                <w:szCs w:val="18"/>
                <w:color w:val="auto"/>
              </w:rPr>
              <w:t>(unaudited)</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264,208</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264,208</w:t>
            </w: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(unaudited)</w:t>
            </w:r>
          </w:p>
        </w:tc>
        <w:tc>
          <w:tcPr>
            <w:tcW w:w="8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(9,625,777)</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(9,625,777)</w:t>
            </w:r>
          </w:p>
        </w:tc>
      </w:tr>
      <w:tr>
        <w:trPr>
          <w:trHeight w:val="210"/>
        </w:trPr>
        <w:tc>
          <w:tcPr>
            <w:tcW w:w="3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3"/>
        </w:trPr>
        <w:tc>
          <w:tcPr>
            <w:tcW w:w="35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(unaudited)</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2,156,111</w:t>
            </w:r>
          </w:p>
        </w:tc>
        <w:tc>
          <w:tcPr>
            <w:tcW w:w="13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25,515,288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264,208</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(21,298,643)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4,480,853</w:t>
            </w:r>
          </w:p>
        </w:tc>
      </w:tr>
      <w:tr>
        <w:trPr>
          <w:trHeight w:val="230"/>
        </w:trPr>
        <w:tc>
          <w:tcPr>
            <w:tcW w:w="3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Class A units (unaudited)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764,855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28,005,136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28,005,136</w:t>
            </w:r>
          </w:p>
        </w:tc>
      </w:tr>
      <w:tr>
        <w:trPr>
          <w:trHeight w:val="215"/>
        </w:trPr>
        <w:tc>
          <w:tcPr>
            <w:tcW w:w="3520" w:type="dxa"/>
            <w:vAlign w:val="bottom"/>
          </w:tcPr>
          <w:p>
            <w:pPr>
              <w:ind w:left="20"/>
              <w:spacing w:after="0"/>
              <w:rPr>
                <w:sz w:val="20"/>
                <w:szCs w:val="20"/>
                <w:color w:val="auto"/>
              </w:rPr>
            </w:pPr>
            <w:r>
              <w:rPr>
                <w:rFonts w:ascii="Arial" w:cs="Arial" w:eastAsia="Arial" w:hAnsi="Arial"/>
                <w:sz w:val="18"/>
                <w:szCs w:val="18"/>
                <w:color w:val="auto"/>
              </w:rPr>
              <w:t>Unit-based compensation expense</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3520" w:type="dxa"/>
            <w:vAlign w:val="bottom"/>
          </w:tcPr>
          <w:p>
            <w:pPr>
              <w:ind w:left="20"/>
              <w:spacing w:after="0" w:line="203" w:lineRule="exact"/>
              <w:rPr>
                <w:sz w:val="20"/>
                <w:szCs w:val="20"/>
                <w:color w:val="auto"/>
              </w:rPr>
            </w:pPr>
            <w:r>
              <w:rPr>
                <w:rFonts w:ascii="Arial" w:cs="Arial" w:eastAsia="Arial" w:hAnsi="Arial"/>
                <w:sz w:val="18"/>
                <w:szCs w:val="18"/>
                <w:color w:val="auto"/>
              </w:rPr>
              <w:t>(unaudited)</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(98,084)</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(98,084)</w:t>
            </w: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(unaudited)</w:t>
            </w:r>
          </w:p>
        </w:tc>
        <w:tc>
          <w:tcPr>
            <w:tcW w:w="8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(21,716,452)</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(21,716,452)</w:t>
            </w:r>
          </w:p>
        </w:tc>
      </w:tr>
      <w:tr>
        <w:trPr>
          <w:trHeight w:val="210"/>
        </w:trPr>
        <w:tc>
          <w:tcPr>
            <w:tcW w:w="3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3"/>
        </w:trPr>
        <w:tc>
          <w:tcPr>
            <w:tcW w:w="35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(unaudited)</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2,920,966</w:t>
            </w:r>
          </w:p>
        </w:tc>
        <w:tc>
          <w:tcPr>
            <w:tcW w:w="13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53,520,424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166,124</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(43,015,095)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10,671,453</w:t>
            </w:r>
          </w:p>
        </w:tc>
      </w:tr>
      <w:tr>
        <w:trPr>
          <w:trHeight w:val="230"/>
        </w:trPr>
        <w:tc>
          <w:tcPr>
            <w:tcW w:w="3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Class A units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401,325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16,000,033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16,000,033</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Unit-based compensation expense</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(148,732)</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(148,732)</w:t>
            </w: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(33,339,735)</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(33,339,735)</w:t>
            </w:r>
          </w:p>
        </w:tc>
      </w:tr>
      <w:tr>
        <w:trPr>
          <w:trHeight w:val="210"/>
        </w:trPr>
        <w:tc>
          <w:tcPr>
            <w:tcW w:w="3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7"/>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3,322,291</w:t>
            </w:r>
          </w:p>
        </w:tc>
        <w:tc>
          <w:tcPr>
            <w:tcW w:w="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$ 69,520,457</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17,392</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(76,354,830)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(6,816,981)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accompanying notes.</w:t>
            </w:r>
          </w:p>
        </w:tc>
        <w:tc>
          <w:tcPr>
            <w:tcW w:w="3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331"/>
        </w:trPr>
        <w:tc>
          <w:tcPr>
            <w:tcW w:w="57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9600"/>
          </w:cols>
          <w:pgMar w:left="1160" w:top="140" w:right="11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638873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Year Ended</w:t>
            </w:r>
          </w:p>
        </w:tc>
      </w:tr>
      <w:tr>
        <w:trPr>
          <w:trHeight w:val="203"/>
        </w:trPr>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7"/>
                <w:szCs w:val="17"/>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6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2016</w:t>
            </w:r>
          </w:p>
        </w:tc>
      </w:tr>
      <w:tr>
        <w:trPr>
          <w:trHeight w:val="198"/>
        </w:trPr>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7"/>
                <w:szCs w:val="17"/>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color w:val="auto"/>
              </w:rPr>
              <w:t>(Unaudited)</w:t>
            </w:r>
          </w:p>
        </w:tc>
      </w:tr>
      <w:tr>
        <w:trPr>
          <w:trHeight w:val="336"/>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6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(33,339,735)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(21,716,452)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(9,625,777)</w:t>
            </w:r>
          </w:p>
        </w:tc>
      </w:tr>
      <w:tr>
        <w:trPr>
          <w:trHeight w:val="203"/>
        </w:trPr>
        <w:tc>
          <w:tcPr>
            <w:tcW w:w="6240" w:type="dxa"/>
            <w:vAlign w:val="bottom"/>
          </w:tcPr>
          <w:p>
            <w:pPr>
              <w:ind w:left="2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2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Depreciation expense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1,048,782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708,583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156,079</w:t>
            </w:r>
          </w:p>
        </w:tc>
      </w:tr>
      <w:tr>
        <w:trPr>
          <w:trHeight w:val="203"/>
        </w:trPr>
        <w:tc>
          <w:tcPr>
            <w:tcW w:w="6240" w:type="dxa"/>
            <w:vAlign w:val="bottom"/>
          </w:tcPr>
          <w:p>
            <w:pPr>
              <w:ind w:left="540"/>
              <w:spacing w:after="0"/>
              <w:rPr>
                <w:sz w:val="20"/>
                <w:szCs w:val="20"/>
                <w:color w:val="auto"/>
              </w:rPr>
            </w:pPr>
            <w:r>
              <w:rPr>
                <w:rFonts w:ascii="Arial" w:cs="Arial" w:eastAsia="Arial" w:hAnsi="Arial"/>
                <w:sz w:val="14"/>
                <w:szCs w:val="14"/>
                <w:color w:val="auto"/>
              </w:rPr>
              <w:t>Amortization expense</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992,777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882,065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651,637</w:t>
            </w:r>
          </w:p>
        </w:tc>
      </w:tr>
      <w:tr>
        <w:trPr>
          <w:trHeight w:val="203"/>
        </w:trPr>
        <w:tc>
          <w:tcPr>
            <w:tcW w:w="62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Bad debt expense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393,460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240" w:type="dxa"/>
            <w:vAlign w:val="bottom"/>
          </w:tcPr>
          <w:p>
            <w:pPr>
              <w:ind w:left="540"/>
              <w:spacing w:after="0"/>
              <w:rPr>
                <w:sz w:val="20"/>
                <w:szCs w:val="20"/>
                <w:color w:val="auto"/>
              </w:rPr>
            </w:pPr>
            <w:r>
              <w:rPr>
                <w:rFonts w:ascii="Arial" w:cs="Arial" w:eastAsia="Arial" w:hAnsi="Arial"/>
                <w:sz w:val="14"/>
                <w:szCs w:val="14"/>
                <w:color w:val="auto"/>
              </w:rPr>
              <w:t>Write-downs of inventory</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325,000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2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Unit-based compensation expense</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(148,732)</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(98,084)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264,208</w:t>
            </w:r>
          </w:p>
        </w:tc>
      </w:tr>
      <w:tr>
        <w:trPr>
          <w:trHeight w:val="203"/>
        </w:trPr>
        <w:tc>
          <w:tcPr>
            <w:tcW w:w="6240" w:type="dxa"/>
            <w:vAlign w:val="bottom"/>
          </w:tcPr>
          <w:p>
            <w:pPr>
              <w:ind w:left="540"/>
              <w:spacing w:after="0"/>
              <w:rPr>
                <w:sz w:val="20"/>
                <w:szCs w:val="20"/>
                <w:color w:val="auto"/>
              </w:rPr>
            </w:pPr>
            <w:r>
              <w:rPr>
                <w:rFonts w:ascii="Arial" w:cs="Arial" w:eastAsia="Arial" w:hAnsi="Arial"/>
                <w:sz w:val="14"/>
                <w:szCs w:val="14"/>
                <w:color w:val="auto"/>
              </w:rPr>
              <w:t>Loss on disposal of property and equipment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81,192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4,737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5"/>
        </w:trPr>
        <w:tc>
          <w:tcPr>
            <w:tcW w:w="6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03"/>
        </w:trPr>
        <w:tc>
          <w:tcPr>
            <w:tcW w:w="6240" w:type="dxa"/>
            <w:vAlign w:val="bottom"/>
          </w:tcPr>
          <w:p>
            <w:pPr>
              <w:ind w:left="540"/>
              <w:spacing w:after="0"/>
              <w:rPr>
                <w:sz w:val="20"/>
                <w:szCs w:val="20"/>
                <w:color w:val="auto"/>
              </w:rPr>
            </w:pPr>
            <w:r>
              <w:rPr>
                <w:rFonts w:ascii="Arial" w:cs="Arial" w:eastAsia="Arial" w:hAnsi="Arial"/>
                <w:sz w:val="14"/>
                <w:szCs w:val="14"/>
                <w:color w:val="auto"/>
              </w:rPr>
              <w:t>Changes in operating assets and liabilities: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240" w:type="dxa"/>
            <w:vAlign w:val="bottom"/>
            <w:shd w:val="clear" w:color="auto" w:fill="CCEEFF"/>
          </w:tcPr>
          <w:p>
            <w:pPr>
              <w:ind w:left="800"/>
              <w:spacing w:after="0"/>
              <w:rPr>
                <w:sz w:val="20"/>
                <w:szCs w:val="20"/>
                <w:color w:val="auto"/>
              </w:rPr>
            </w:pPr>
            <w:r>
              <w:rPr>
                <w:rFonts w:ascii="Arial" w:cs="Arial" w:eastAsia="Arial" w:hAnsi="Arial"/>
                <w:sz w:val="14"/>
                <w:szCs w:val="14"/>
                <w:color w:val="auto"/>
              </w:rPr>
              <w:t>Accounts receivable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487,657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(1,340,157)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(738,375)</w:t>
            </w:r>
          </w:p>
        </w:tc>
      </w:tr>
      <w:tr>
        <w:trPr>
          <w:trHeight w:val="203"/>
        </w:trPr>
        <w:tc>
          <w:tcPr>
            <w:tcW w:w="6240" w:type="dxa"/>
            <w:vAlign w:val="bottom"/>
          </w:tcPr>
          <w:p>
            <w:pPr>
              <w:ind w:left="800"/>
              <w:spacing w:after="0"/>
              <w:rPr>
                <w:sz w:val="20"/>
                <w:szCs w:val="20"/>
                <w:color w:val="auto"/>
              </w:rPr>
            </w:pPr>
            <w:r>
              <w:rPr>
                <w:rFonts w:ascii="Arial" w:cs="Arial" w:eastAsia="Arial" w:hAnsi="Arial"/>
                <w:sz w:val="14"/>
                <w:szCs w:val="14"/>
                <w:color w:val="auto"/>
              </w:rPr>
              <w:t>Inventory</w:t>
            </w:r>
          </w:p>
        </w:tc>
        <w:tc>
          <w:tcPr>
            <w:tcW w:w="12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(1,889,586)</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(1,332,667)</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(171,632)</w:t>
            </w:r>
          </w:p>
        </w:tc>
      </w:tr>
      <w:tr>
        <w:trPr>
          <w:trHeight w:val="203"/>
        </w:trPr>
        <w:tc>
          <w:tcPr>
            <w:tcW w:w="6240" w:type="dxa"/>
            <w:vAlign w:val="bottom"/>
            <w:shd w:val="clear" w:color="auto" w:fill="CCEEFF"/>
          </w:tcPr>
          <w:p>
            <w:pPr>
              <w:ind w:left="80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63,683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(642,111)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(8,111)</w:t>
            </w:r>
          </w:p>
        </w:tc>
      </w:tr>
      <w:tr>
        <w:trPr>
          <w:trHeight w:val="203"/>
        </w:trPr>
        <w:tc>
          <w:tcPr>
            <w:tcW w:w="6240" w:type="dxa"/>
            <w:vAlign w:val="bottom"/>
          </w:tcPr>
          <w:p>
            <w:pPr>
              <w:ind w:left="800"/>
              <w:spacing w:after="0"/>
              <w:rPr>
                <w:sz w:val="20"/>
                <w:szCs w:val="20"/>
                <w:color w:val="auto"/>
              </w:rPr>
            </w:pPr>
            <w:r>
              <w:rPr>
                <w:rFonts w:ascii="Arial" w:cs="Arial" w:eastAsia="Arial" w:hAnsi="Arial"/>
                <w:sz w:val="14"/>
                <w:szCs w:val="14"/>
                <w:color w:val="auto"/>
              </w:rPr>
              <w:t>Deposits</w:t>
            </w:r>
          </w:p>
        </w:tc>
        <w:tc>
          <w:tcPr>
            <w:tcW w:w="12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(2,329)</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(128,399)</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(27,586)</w:t>
            </w:r>
          </w:p>
        </w:tc>
      </w:tr>
      <w:tr>
        <w:trPr>
          <w:trHeight w:val="203"/>
        </w:trPr>
        <w:tc>
          <w:tcPr>
            <w:tcW w:w="6240" w:type="dxa"/>
            <w:vAlign w:val="bottom"/>
            <w:shd w:val="clear" w:color="auto" w:fill="CCEEFF"/>
          </w:tcPr>
          <w:p>
            <w:pPr>
              <w:ind w:left="80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627,132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1,103,486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2,628,317</w:t>
            </w:r>
          </w:p>
        </w:tc>
      </w:tr>
      <w:tr>
        <w:trPr>
          <w:trHeight w:val="203"/>
        </w:trPr>
        <w:tc>
          <w:tcPr>
            <w:tcW w:w="6240" w:type="dxa"/>
            <w:vAlign w:val="bottom"/>
          </w:tcPr>
          <w:p>
            <w:pPr>
              <w:ind w:left="800"/>
              <w:spacing w:after="0"/>
              <w:rPr>
                <w:sz w:val="20"/>
                <w:szCs w:val="20"/>
                <w:color w:val="auto"/>
              </w:rPr>
            </w:pPr>
            <w:r>
              <w:rPr>
                <w:rFonts w:ascii="Arial" w:cs="Arial" w:eastAsia="Arial" w:hAnsi="Arial"/>
                <w:sz w:val="14"/>
                <w:szCs w:val="14"/>
                <w:color w:val="auto"/>
              </w:rPr>
              <w:t>Accrued expenses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987,765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(28,893)</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518,245</w:t>
            </w:r>
          </w:p>
        </w:tc>
      </w:tr>
      <w:tr>
        <w:trPr>
          <w:trHeight w:val="203"/>
        </w:trPr>
        <w:tc>
          <w:tcPr>
            <w:tcW w:w="6240" w:type="dxa"/>
            <w:vAlign w:val="bottom"/>
            <w:shd w:val="clear" w:color="auto" w:fill="CCEEFF"/>
          </w:tcPr>
          <w:p>
            <w:pPr>
              <w:ind w:left="800"/>
              <w:spacing w:after="0"/>
              <w:rPr>
                <w:sz w:val="20"/>
                <w:szCs w:val="20"/>
                <w:color w:val="auto"/>
              </w:rPr>
            </w:pPr>
            <w:r>
              <w:rPr>
                <w:rFonts w:ascii="Arial" w:cs="Arial" w:eastAsia="Arial" w:hAnsi="Arial"/>
                <w:sz w:val="14"/>
                <w:szCs w:val="14"/>
                <w:color w:val="auto"/>
              </w:rPr>
              <w:t>Deferred rent</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497,294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29"/>
        </w:trPr>
        <w:tc>
          <w:tcPr>
            <w:tcW w:w="6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(29,875,640)</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(22,587,892)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(6,352,995)</w:t>
            </w:r>
          </w:p>
        </w:tc>
      </w:tr>
      <w:tr>
        <w:trPr>
          <w:trHeight w:val="129"/>
        </w:trPr>
        <w:tc>
          <w:tcPr>
            <w:tcW w:w="6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6240" w:type="dxa"/>
            <w:vAlign w:val="bottom"/>
          </w:tcPr>
          <w:p>
            <w:pPr>
              <w:ind w:left="260"/>
              <w:spacing w:after="0"/>
              <w:rPr>
                <w:sz w:val="20"/>
                <w:szCs w:val="20"/>
                <w:color w:val="auto"/>
              </w:rPr>
            </w:pPr>
            <w:r>
              <w:rPr>
                <w:rFonts w:ascii="Arial" w:cs="Arial" w:eastAsia="Arial" w:hAnsi="Arial"/>
                <w:sz w:val="14"/>
                <w:szCs w:val="14"/>
                <w:color w:val="auto"/>
              </w:rPr>
              <w:t>Purchase of property and equipment</w:t>
            </w:r>
          </w:p>
        </w:tc>
        <w:tc>
          <w:tcPr>
            <w:tcW w:w="12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(3,432,709)</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(2,958,581)</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(1,697,014)</w:t>
            </w:r>
          </w:p>
        </w:tc>
      </w:tr>
      <w:tr>
        <w:trPr>
          <w:trHeight w:val="203"/>
        </w:trPr>
        <w:tc>
          <w:tcPr>
            <w:tcW w:w="6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Increase in capitalized software development costs</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(181,466)</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(816,351)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(1,227,995)</w:t>
            </w:r>
          </w:p>
        </w:tc>
      </w:tr>
      <w:tr>
        <w:trPr>
          <w:trHeight w:val="203"/>
        </w:trPr>
        <w:tc>
          <w:tcPr>
            <w:tcW w:w="62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Proceeds from collection of notes receivables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87,490</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(3,526,685)</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(3,774,932)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(2,925,009)</w:t>
            </w:r>
          </w:p>
        </w:tc>
      </w:tr>
      <w:tr>
        <w:trPr>
          <w:trHeight w:val="129"/>
        </w:trPr>
        <w:tc>
          <w:tcPr>
            <w:tcW w:w="6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6240" w:type="dxa"/>
            <w:vAlign w:val="bottom"/>
          </w:tcPr>
          <w:p>
            <w:pPr>
              <w:ind w:left="260"/>
              <w:spacing w:after="0"/>
              <w:rPr>
                <w:sz w:val="20"/>
                <w:szCs w:val="20"/>
                <w:color w:val="auto"/>
              </w:rPr>
            </w:pPr>
            <w:r>
              <w:rPr>
                <w:rFonts w:ascii="Arial" w:cs="Arial" w:eastAsia="Arial" w:hAnsi="Arial"/>
                <w:sz w:val="14"/>
                <w:szCs w:val="14"/>
                <w:color w:val="auto"/>
              </w:rPr>
              <w:t>Proceeds from sale of Class A units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16,000,033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28,005,136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10,660,984</w:t>
            </w:r>
          </w:p>
        </w:tc>
      </w:tr>
      <w:tr>
        <w:trPr>
          <w:trHeight w:val="203"/>
        </w:trPr>
        <w:tc>
          <w:tcPr>
            <w:tcW w:w="6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notes payable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16,500,000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3,479,005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r>
      <w:tr>
        <w:trPr>
          <w:trHeight w:val="203"/>
        </w:trPr>
        <w:tc>
          <w:tcPr>
            <w:tcW w:w="6240" w:type="dxa"/>
            <w:vAlign w:val="bottom"/>
          </w:tcPr>
          <w:p>
            <w:pPr>
              <w:ind w:left="260"/>
              <w:spacing w:after="0"/>
              <w:rPr>
                <w:sz w:val="20"/>
                <w:szCs w:val="20"/>
                <w:color w:val="auto"/>
              </w:rPr>
            </w:pPr>
            <w:r>
              <w:rPr>
                <w:rFonts w:ascii="Arial" w:cs="Arial" w:eastAsia="Arial" w:hAnsi="Arial"/>
                <w:sz w:val="14"/>
                <w:szCs w:val="14"/>
                <w:color w:val="auto"/>
              </w:rPr>
              <w:t>Payments on note payable</w:t>
            </w:r>
          </w:p>
        </w:tc>
        <w:tc>
          <w:tcPr>
            <w:tcW w:w="12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(2,979,052)</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(2,104,909)</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(250,000)</w:t>
            </w:r>
          </w:p>
        </w:tc>
      </w:tr>
      <w:tr>
        <w:trPr>
          <w:trHeight w:val="129"/>
        </w:trPr>
        <w:tc>
          <w:tcPr>
            <w:tcW w:w="6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r>
      <w:tr>
        <w:trPr>
          <w:trHeight w:val="20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29,520,981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29,379,232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10,660,984</w:t>
            </w:r>
          </w:p>
        </w:tc>
      </w:tr>
      <w:tr>
        <w:trPr>
          <w:trHeight w:val="129"/>
        </w:trPr>
        <w:tc>
          <w:tcPr>
            <w:tcW w:w="6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4"/>
                <w:szCs w:val="14"/>
                <w:color w:val="auto"/>
              </w:rPr>
              <w:t>Net change in cash</w:t>
            </w:r>
          </w:p>
        </w:tc>
        <w:tc>
          <w:tcPr>
            <w:tcW w:w="12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(3,881,344)</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3,016,408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1,382,980</w:t>
            </w: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restricted cash, beginning of the period</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4,978,751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1,962,343</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579,363</w:t>
            </w:r>
          </w:p>
        </w:tc>
      </w:tr>
      <w:tr>
        <w:trPr>
          <w:trHeight w:val="19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and restricted cash, end of the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1,097,407</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4,978,751</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1,962,343</w:t>
            </w:r>
          </w:p>
        </w:tc>
      </w:tr>
      <w:tr>
        <w:trPr>
          <w:trHeight w:val="149"/>
        </w:trPr>
        <w:tc>
          <w:tcPr>
            <w:tcW w:w="6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paid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128,464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240" w:type="dxa"/>
            <w:vAlign w:val="bottom"/>
          </w:tcPr>
          <w:p>
            <w:pPr>
              <w:ind w:left="260"/>
              <w:spacing w:after="0"/>
              <w:rPr>
                <w:sz w:val="20"/>
                <w:szCs w:val="20"/>
                <w:color w:val="auto"/>
              </w:rPr>
            </w:pPr>
            <w:r>
              <w:rPr>
                <w:rFonts w:ascii="Arial" w:cs="Arial" w:eastAsia="Arial" w:hAnsi="Arial"/>
                <w:sz w:val="14"/>
                <w:szCs w:val="14"/>
                <w:color w:val="auto"/>
              </w:rPr>
              <w:t>Income taxes paid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6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information:</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Refinance of accounts receivable with note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251,149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7980" w:val="left"/>
        </w:tabs>
        <w:rPr>
          <w:sz w:val="20"/>
          <w:szCs w:val="20"/>
          <w:color w:val="auto"/>
        </w:rPr>
      </w:pPr>
      <w:r>
        <w:rPr>
          <w:rFonts w:ascii="Arial" w:cs="Arial" w:eastAsia="Arial" w:hAnsi="Arial"/>
          <w:sz w:val="17"/>
          <w:szCs w:val="17"/>
          <w:color w:val="auto"/>
        </w:rPr>
        <w:t>6</w:t>
      </w:r>
      <w:r>
        <w:rPr>
          <w:sz w:val="20"/>
          <w:szCs w:val="20"/>
          <w:color w:val="auto"/>
        </w:rPr>
        <w:tab/>
      </w:r>
      <w:r>
        <w:rPr>
          <w:rFonts w:ascii="Arial" w:cs="Arial" w:eastAsia="Arial" w:hAnsi="Arial"/>
          <w:sz w:val="17"/>
          <w:szCs w:val="17"/>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38873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9">
                      <a:extLst>
                        <a:ext uri="{28A0092B-C50C-407E-A947-70E740481C1C}"/>
                      </a:extLst>
                    </a:blip>
                    <a:srcRect/>
                    <a:stretch>
                      <a:fillRect/>
                    </a:stretch>
                  </pic:blipFill>
                  <pic:spPr bwMode="auto">
                    <a:xfrm>
                      <a:off x="0" y="0"/>
                      <a:ext cx="6388735"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219710</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40" w:right="9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7543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44" w:lineRule="exact"/>
        <w:rPr>
          <w:sz w:val="20"/>
          <w:szCs w:val="20"/>
          <w:color w:val="auto"/>
        </w:rPr>
      </w:pPr>
    </w:p>
    <w:p>
      <w:pPr>
        <w:ind w:right="20"/>
        <w:spacing w:after="0"/>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 FreshRealm, LLC (the “Company” or “FreshRealm”) is headquartered in Ventura,</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The Company is primarily involved in the sales, production and distribution of fresh food meal kits and related products to national retail grocery businesses and home meal distribution providers. Using its cloud-based platform, the Company connects its customers to a national network of food suppliers, food makers and food packers. In the home delivery segment, the Company’s containers are 100% recyclable and the porters in which the food is shipped are reusable. In 2017, the Company started utilizing its platform to supply fresh food meal kits to retailers. This customer base has grown and represents the majority of the Company’s business. The Company was formed on January 17, 2013 and is owned by its members.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Liquidity</w:t>
      </w:r>
    </w:p>
    <w:p>
      <w:pPr>
        <w:spacing w:after="0" w:line="16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incurred significant losses from its inception, primarily as the result of operations and technology development. The Company has a net loss of approximately $33.3 million for the year ended December 31, 2018, and an accumulated deficit of approximately $76.4 million since inception. These factors, among others, raise substantial doubt about the Company’s ability to continue as a going concern for one year after March 22, 2019, which is the date the financial statements are available to be issued. The Company’s ability to continue as a going concern is dependent upon achieving a level of sales adequate to support the Company’s cost structure and raising significant capital. Prior to attaining this level of sales, the Company plans to fund its operations through a combination of additional debt and/or equity financing. See Note 15 – Subsequent Events for additional debt fund raising obtained subsequent to December 31, 2018. There is no assurance that the Company will be successful in its efforts to continue to raise additional equity or debt financing or to realize adequate revenue and cash flows from commercial sales. The accompanying financial statements do not include any adjustments to reflect the possible effects on the recoverability and classification of assets or the amounts and classification of liabilities that may result from the outcome of this uncertainty. Management plans to pursue equity and/or debt financing as required to fund operations until it is able to generate adequate cash flows from product sales.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13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financial statements have been prepared in accordance with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in the United States of America (U.S. GAAP). References to the ASC included hereinafter refer to the Accounting Standard Codification established by the Financial Accounting Standard Board (FASB) as the source of authoritative U.S. GAAP.</w:t>
      </w:r>
    </w:p>
    <w:p>
      <w:pPr>
        <w:spacing w:after="0" w:line="10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financial statements in conformity with U.S. GAAP requires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estimates and assumptions that affect the reported amounts of assets and liabilities and disclosure of contingent assets and liabilities at the date of the financial statements and the reported amounts of expenses during the reporting periods. The Company bases its estimates on historical experience and on various other assumptions that are believed reasonable under the circumstances. Actual results could differ from those estimates. The Company evaluates these estimates on an ongoing basis, including those related to useful lives of intangible assets, property and equipment, and legal contingencies, among others.</w:t>
      </w:r>
    </w:p>
    <w:p>
      <w:pPr>
        <w:spacing w:after="0" w:line="11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with a maturity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when purchased to be cash equivalents. At December 31, 2018 and 2017, the Company’s cash consisted of amounts held as bank deposits.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9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57543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2">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7543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66"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Company has provided a letter of credit to the landlord for one of its leases in the amount of approximately $349,000 as of December 31, 2018 and 2017. The letter of credit has a term of 12 months and renews automatically each year in the event the lease is still in effect. The amounts associated with the letter of credit have been classified as restricted cash on the accounting balance sheets. The restricted cash is included as a component of total cash as presented on the accompanying statements of cash flows.</w:t>
      </w:r>
    </w:p>
    <w:p>
      <w:pPr>
        <w:spacing w:after="0" w:line="10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The Company’s accounts receivable from product sales are recorded at contracted</w:t>
      </w:r>
      <w:r>
        <w:rPr>
          <w:rFonts w:ascii="Arial" w:cs="Arial" w:eastAsia="Arial" w:hAnsi="Arial"/>
          <w:sz w:val="18"/>
          <w:szCs w:val="18"/>
          <w:b w:val="1"/>
          <w:bCs w:val="1"/>
          <w:color w:val="auto"/>
        </w:rPr>
        <w:t xml:space="preserve"> </w:t>
      </w:r>
      <w:r>
        <w:rPr>
          <w:rFonts w:ascii="Arial" w:cs="Arial" w:eastAsia="Arial" w:hAnsi="Arial"/>
          <w:sz w:val="18"/>
          <w:szCs w:val="18"/>
          <w:color w:val="auto"/>
        </w:rPr>
        <w:t>prices. The company provides an allowance for doubtful collections, which is based upon a review of outstanding receivables, historical collection information, and existing economic conditions. Normal accounts receivables are generally due 15 days after issuance of invoice. Receivables past due more than 120 days are considered delinquent. Delinquent receivables are written off based on individual credit evaluation and specific circumstances of the customer. The allowance for doubtful accounts amounted to approximately $299,000 and $0 (unaudited) at December 31, 2018 and 2017, respectively.</w:t>
      </w:r>
    </w:p>
    <w:p>
      <w:pPr>
        <w:spacing w:after="0" w:line="1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Accounts receivable included a past due amount of $251,000 from one of the Company’s customers at December 31, 2017. This amount was subsequently converted to a short term note receivable in August 2018 with interest of 10% per annum payable in eleven monthly payments of principal and interest of $24,000. The outstanding balance is reflected as notes receivable as of December 31, 2018 (see Note 7).</w:t>
      </w:r>
    </w:p>
    <w:p>
      <w:pPr>
        <w:spacing w:after="0" w:line="112" w:lineRule="exact"/>
        <w:rPr>
          <w:sz w:val="20"/>
          <w:szCs w:val="20"/>
          <w:color w:val="auto"/>
        </w:rPr>
      </w:pPr>
    </w:p>
    <w:p>
      <w:pPr>
        <w:ind w:right="20"/>
        <w:spacing w:after="0" w:line="215" w:lineRule="exact"/>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 Property and equipment are stated at historical cost less accumulated depreciation.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expense for furniture and fixtures is computed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the assets, generally three years. Depreciation expense for porter parts is computed using the units of production method, which depreciates assets based on frequency of usage, generally 50 occurrences.</w:t>
      </w:r>
    </w:p>
    <w:p>
      <w:pPr>
        <w:spacing w:after="0" w:line="100"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 Inventories are stated at the lower of cost or net realizable value. Cost is determined principally by</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first-in, first-out method. Costs include materials, labor and manufacturing overhead.</w:t>
      </w:r>
    </w:p>
    <w:p>
      <w:pPr>
        <w:spacing w:after="0" w:line="10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Any write-down of inventory to the lower of cost or net realizable value creates a new cost basis that subsequently would not be marked up based on changes in underlying facts and circumstances. On an ongoing basis, the Company evaluates inventory for obsolescence and slow-moving items. This evaluation includes analysis of sales levels, sales projections, and purchases by item. If our review indicates a reduction in utility below carrying value, we reduce inventory to a new cost basis. If future demand or market conditions are different than our current estimates, an inventory adjustment to write down inventory may be required, and would be reflected in cost of goods sold in the period the revision is made.</w:t>
      </w:r>
    </w:p>
    <w:p>
      <w:pPr>
        <w:spacing w:after="0" w:line="11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b w:val="1"/>
          <w:bCs w:val="1"/>
          <w:color w:val="auto"/>
        </w:rPr>
        <w:t xml:space="preserve">Capitalized software development costs </w:t>
      </w:r>
      <w:r>
        <w:rPr>
          <w:rFonts w:ascii="Arial" w:cs="Arial" w:eastAsia="Arial" w:hAnsi="Arial"/>
          <w:sz w:val="18"/>
          <w:szCs w:val="18"/>
          <w:color w:val="auto"/>
        </w:rPr>
        <w:t>– In accordance with applicable accounting standards, direct costs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internal use software development incurred during the application development stage are capitalized until the software is substantially complete and ready for its intended use. The costs capitalized are limited predominately to payroll and the payroll-related costs of employees who are directly engaged in the application development stage in which activities include software configuration, interfaces, coding, installation of hardware, testing, and parallel processing. Costs included in the preliminary project and post-implementation operation stages are expensed as incurred. Internal-use software is amortized on a straight-line basis over its estimated useful life which is approximately three years. During the year ended December 31, 2018 and 2017, the Company capitalized approximately $181,000 and $816,000 (unaudited), respectively, of gross costs related to salaries and wages.</w:t>
      </w:r>
    </w:p>
    <w:p>
      <w:pPr>
        <w:spacing w:after="0" w:line="10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color w:val="auto"/>
        </w:rPr>
        <w:t xml:space="preserve">Salaries and related expenses </w:t>
      </w:r>
      <w:r>
        <w:rPr>
          <w:rFonts w:ascii="Arial" w:cs="Arial" w:eastAsia="Arial" w:hAnsi="Arial"/>
          <w:sz w:val="18"/>
          <w:szCs w:val="18"/>
          <w:color w:val="auto"/>
        </w:rPr>
        <w:t>– Salaries and related expenses consist primarily of personnel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including wages, benefits, unit-based compensation and bonuses.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7543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44" w:lineRule="exact"/>
        <w:rPr>
          <w:sz w:val="20"/>
          <w:szCs w:val="20"/>
          <w:color w:val="auto"/>
        </w:rPr>
      </w:pPr>
    </w:p>
    <w:p>
      <w:pPr>
        <w:jc w:val="both"/>
        <w:ind w:right="340"/>
        <w:spacing w:after="0" w:line="247" w:lineRule="auto"/>
        <w:rPr>
          <w:sz w:val="20"/>
          <w:szCs w:val="20"/>
          <w:color w:val="auto"/>
        </w:rPr>
      </w:pPr>
      <w:r>
        <w:rPr>
          <w:rFonts w:ascii="Arial" w:cs="Arial" w:eastAsia="Arial" w:hAnsi="Arial"/>
          <w:sz w:val="18"/>
          <w:szCs w:val="18"/>
          <w:b w:val="1"/>
          <w:bCs w:val="1"/>
          <w:color w:val="auto"/>
        </w:rPr>
        <w:t xml:space="preserve">Unit-based compensation </w:t>
      </w:r>
      <w:r>
        <w:rPr>
          <w:rFonts w:ascii="Arial" w:cs="Arial" w:eastAsia="Arial" w:hAnsi="Arial"/>
          <w:sz w:val="18"/>
          <w:szCs w:val="18"/>
          <w:color w:val="auto"/>
        </w:rPr>
        <w:t>– The Company grants unit-based awards to employees and directors,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profit interest units and options, which are accounted for in accordance with ASC 718. The fair value of each grant is estimated on the grant date and is recognized as an expense over the vesting period net of estimated forfeitures.</w:t>
      </w:r>
    </w:p>
    <w:p>
      <w:pPr>
        <w:spacing w:after="0" w:line="93" w:lineRule="exact"/>
        <w:rPr>
          <w:sz w:val="20"/>
          <w:szCs w:val="20"/>
          <w:color w:val="auto"/>
        </w:rPr>
      </w:pPr>
    </w:p>
    <w:p>
      <w:pPr>
        <w:ind w:right="620"/>
        <w:spacing w:after="0" w:line="247"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The Company is a limited liability company which was treated as a partnership for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purposes and did not pay U.S. income taxes on its taxable income up through December 15,</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2018. Through this point, earnings and losses of the Company were included in the individual returns of the members and taxed at the member level. Therefore, no provision or liability for federal income taxes was included in the financial statements for activity up through December 15, 2018.</w:t>
      </w:r>
    </w:p>
    <w:p>
      <w:pPr>
        <w:spacing w:after="0" w:line="1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February 27, 2019, the Company filed an Entity Classification Election with the Internal Revenue Service to be treated as a corporation for U.S. federal and state income tax purposes effective December 16, 2018. As a result, for activity subsequent to this point the Company accounts for income taxes under the asset and liability method of ASC 740, where deferred tax assets and liabilities are recognized for the expected future tax consequences of events that have been included in the financial statements or tax returns. Under this method, deferred tax assets and liabilities are determined based on the differences between the financial reporting and tax bases of assets and liabilities using enacted tax rates in effect for the year in which the differences are expected to reverse. The deferred tax assets of the Company relate primarily to operating loss carryforwards for federal income tax purposes. A full valuation allowance for deferred tax assets has been provided because the Company believes it is not more likely than not that the deferred tax asset will be realized. Realization of deferred tax assets is dependent on the Company generating sufficient taxable income in future periods.</w:t>
      </w:r>
    </w:p>
    <w:p>
      <w:pPr>
        <w:spacing w:after="0" w:line="13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uses a recognition threshold and measurement process for accounting for uncertain tax positions and also provides guidance on various related matters such as de-recognition, interest, penalties, and disclosures required. Generally, the Company is subject to examination by U.S. federal (or state and local) income tax authorities for three to four years from the filing of a tax return. The Company does not have any entity-level uncertain tax positions as of December 31, 2018.</w:t>
      </w:r>
    </w:p>
    <w:p>
      <w:pPr>
        <w:spacing w:after="0" w:line="122"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Company converted to a calendar year-end effective December 31, 2017. FreshRealm filed its 2016 tax return for the fiscal year ended October 31, 2017, and a short period 2017 return for the period November 1 through December 31, 2017. The Company will file a return covering the period from January 1, 2018 through December 15, 2018 as an LLC, as well as a stub return as a corporation from December 16, 2018 through December 31, 2018.</w:t>
      </w:r>
    </w:p>
    <w:p>
      <w:pPr>
        <w:spacing w:after="0" w:line="113"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The Company accounts for the fair value of financial instruments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the provisions of FASB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This standard defines fair value, establishes a framework for measuring fair value and expands disclosure requirements about fair value measurements. ASC 820 defines fair value as the price that would be received to sell an asset or paid to transfer a liability (an “exit price”) in the principal or most advantageous market for the asset or liability in an orderly transaction between market participants on the measurement date. ASC 820 applies to all accounting pronouncements that require fair value measurements.</w:t>
      </w:r>
    </w:p>
    <w:p>
      <w:pPr>
        <w:spacing w:after="0" w:line="134" w:lineRule="exact"/>
        <w:rPr>
          <w:sz w:val="20"/>
          <w:szCs w:val="20"/>
          <w:color w:val="auto"/>
        </w:rPr>
      </w:pPr>
    </w:p>
    <w:p>
      <w:pPr>
        <w:ind w:right="60"/>
        <w:spacing w:after="0" w:line="207" w:lineRule="exact"/>
        <w:rPr>
          <w:sz w:val="20"/>
          <w:szCs w:val="20"/>
          <w:color w:val="auto"/>
        </w:rPr>
      </w:pPr>
      <w:r>
        <w:rPr>
          <w:rFonts w:ascii="Arial" w:cs="Arial" w:eastAsia="Arial" w:hAnsi="Arial"/>
          <w:sz w:val="18"/>
          <w:szCs w:val="18"/>
          <w:color w:val="auto"/>
        </w:rPr>
        <w:t>The Company’s financial instruments consist primarily of cash, accounts payable, accrued expenses, and notes payable. The carrying values of cash equivalents, accounts payable, and accrued expenses are representative of their fair values due to their short</w:t>
      </w:r>
      <w:r>
        <w:rPr>
          <w:rFonts w:ascii="MS PGothic" w:cs="MS PGothic" w:eastAsia="MS PGothic" w:hAnsi="MS PGothic"/>
          <w:sz w:val="18"/>
          <w:szCs w:val="18"/>
          <w:color w:val="auto"/>
        </w:rPr>
        <w:t>‐</w:t>
      </w:r>
      <w:r>
        <w:rPr>
          <w:rFonts w:ascii="Arial" w:cs="Arial" w:eastAsia="Arial" w:hAnsi="Arial"/>
          <w:sz w:val="18"/>
          <w:szCs w:val="18"/>
          <w:color w:val="auto"/>
        </w:rPr>
        <w:t>term maturities.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9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57543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7543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4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The Company recognizes revenue upon concluding that all the criteria for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have been met including: (i) persuasive evidence of an arrangement exists, (ii) the price is fixed or determinable, (iii) collection is reasonably assured, and (iv) delivery of products has occurred or services have been rendered. The Company purchases food from various manufacturers, and assembles it into meal kits for retailers or packs it into porters. Once the packing is complete, the meal kits are delivered to retailer distribution centers and the porters are loaded into the third-party carrier’s truck and shipped to the customers. The Company recognizes revenue when the product is delivered to its customers, which is typically the grocer retailer.</w:t>
      </w:r>
    </w:p>
    <w:p>
      <w:pPr>
        <w:spacing w:after="0" w:line="9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 Subsequent events are events or transactions that occur after the balance sheet dates but</w:t>
      </w:r>
      <w:r>
        <w:rPr>
          <w:rFonts w:ascii="Arial" w:cs="Arial" w:eastAsia="Arial" w:hAnsi="Arial"/>
          <w:sz w:val="18"/>
          <w:szCs w:val="18"/>
          <w:b w:val="1"/>
          <w:bCs w:val="1"/>
          <w:color w:val="auto"/>
        </w:rPr>
        <w:t xml:space="preserve"> </w:t>
      </w:r>
      <w:r>
        <w:rPr>
          <w:rFonts w:ascii="Arial" w:cs="Arial" w:eastAsia="Arial" w:hAnsi="Arial"/>
          <w:sz w:val="18"/>
          <w:szCs w:val="18"/>
          <w:color w:val="auto"/>
        </w:rPr>
        <w:t>before financial statements are issued. The Company recognizes and discloses the effects of all subsequent events that provide additional evidence about conditions that existed at the date of the balance sheet, including the estimates inherent in the process of preparing the financial statements. The Company’s financial statements do not recognize subsequent events that provide evidence about conditions that did not exist at the date of the balance sheets but arose after the balance sheet date and before the financial statements are issued.</w:t>
      </w:r>
    </w:p>
    <w:p>
      <w:pPr>
        <w:spacing w:after="0" w:line="134"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The Company has evaluated subsequent events through March 22, 2019, which is the date the financial statements were available to be issued.</w:t>
      </w:r>
    </w:p>
    <w:p>
      <w:pPr>
        <w:spacing w:after="0" w:line="107"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Recently issued and adopted accounting pronouncements </w:t>
      </w:r>
      <w:r>
        <w:rPr>
          <w:rFonts w:ascii="Arial" w:cs="Arial" w:eastAsia="Arial" w:hAnsi="Arial"/>
          <w:sz w:val="18"/>
          <w:szCs w:val="18"/>
          <w:color w:val="auto"/>
        </w:rPr>
        <w:t>– In May 2014, the Financial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Standards Board (FASB) issued Accounting Standards Update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This ASU supersedes the revenue recognition requirements in Accounting Standards Codification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605 – Revenue Recognition and most industry-specific guidance throughout the Codification. The standard requires that an entity recognizes revenue to depict the transfer of promised goods or services to customers in an amount that reflects the consideration to which the company expects to be entitled in exchange for those goods or services. Related to this ASU, Update No. 2016-10 (Topic 606) was issued. The update clarifies aspects identifying performance obligations and the licensing implementation guidance. For private companies, this ASU and update is effective for fiscal years beginning after December 15, 2018, and for interim periods beginning after December 15, 2019. These ASUs apply to all companies that enter into contracts with customers to transfer goods or services. The Company is currently evaluating the method of adoption to use and the effect the standard is expected to have on the Company’s financial position, results of operations, and cash flows.</w:t>
      </w:r>
    </w:p>
    <w:p>
      <w:pPr>
        <w:spacing w:after="0" w:line="10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In February 2016, the FASB issued ASU No. 2016-02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This update’s purpose is to increase transparency and comparability among organizations by recognizing lease assets and lease liabilities on the balance sheet and disclosing key information about leasing arrangements. This update affects any entity that enters into a lease, with some specified scope exemptions. The amendments in this update are effective for fiscal years beginning after December 15, 2019, and interim periods within fiscal years beginning after December 15, 2020. The Company is currently evaluating the method of adoption to use. The Company expects most of its leases to be recorded on the balance sheet as a result of adopting the update, which is expected to have a significant impact on the balance sheet.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7543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4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 March 2016, the FASB issued ASU No. 2016</w:t>
      </w:r>
      <w:r>
        <w:rPr>
          <w:rFonts w:ascii="MS PGothic" w:cs="MS PGothic" w:eastAsia="MS PGothic" w:hAnsi="MS PGothic"/>
          <w:sz w:val="18"/>
          <w:szCs w:val="18"/>
          <w:color w:val="auto"/>
        </w:rPr>
        <w:t>‐</w:t>
      </w:r>
      <w:r>
        <w:rPr>
          <w:rFonts w:ascii="Arial" w:cs="Arial" w:eastAsia="Arial" w:hAnsi="Arial"/>
          <w:sz w:val="18"/>
          <w:szCs w:val="18"/>
          <w:color w:val="auto"/>
        </w:rPr>
        <w:t xml:space="preserve">09, </w:t>
      </w:r>
      <w:r>
        <w:rPr>
          <w:rFonts w:ascii="Arial" w:cs="Arial" w:eastAsia="Arial" w:hAnsi="Arial"/>
          <w:sz w:val="18"/>
          <w:szCs w:val="18"/>
          <w:i w:val="1"/>
          <w:iCs w:val="1"/>
          <w:color w:val="auto"/>
        </w:rPr>
        <w:t>Stock Compensation: Improvements to Employee Share</w:t>
      </w:r>
      <w:r>
        <w:rPr>
          <w:rFonts w:ascii="MS PGothic" w:cs="MS PGothic" w:eastAsia="MS PGothic" w:hAnsi="MS PGothic"/>
          <w:sz w:val="18"/>
          <w:szCs w:val="18"/>
          <w:i w:val="1"/>
          <w:iCs w:val="1"/>
          <w:color w:val="auto"/>
        </w:rPr>
        <w:t>‐</w:t>
      </w:r>
    </w:p>
    <w:p>
      <w:pPr>
        <w:spacing w:after="0" w:line="27" w:lineRule="exact"/>
        <w:rPr>
          <w:sz w:val="20"/>
          <w:szCs w:val="20"/>
          <w:color w:val="auto"/>
        </w:rPr>
      </w:pPr>
    </w:p>
    <w:p>
      <w:pPr>
        <w:ind w:right="40"/>
        <w:spacing w:after="0" w:line="206" w:lineRule="exact"/>
        <w:rPr>
          <w:sz w:val="20"/>
          <w:szCs w:val="20"/>
          <w:color w:val="auto"/>
        </w:rPr>
      </w:pPr>
      <w:r>
        <w:rPr>
          <w:rFonts w:ascii="Arial" w:cs="Arial" w:eastAsia="Arial" w:hAnsi="Arial"/>
          <w:sz w:val="18"/>
          <w:szCs w:val="18"/>
          <w:i w:val="1"/>
          <w:iCs w:val="1"/>
          <w:color w:val="auto"/>
        </w:rPr>
        <w:t>Based Payment Accounting</w:t>
      </w:r>
      <w:r>
        <w:rPr>
          <w:rFonts w:ascii="Arial" w:cs="Arial" w:eastAsia="Arial" w:hAnsi="Arial"/>
          <w:sz w:val="18"/>
          <w:szCs w:val="18"/>
          <w:color w:val="auto"/>
        </w:rPr>
        <w:t>. This ASU was designed to simplify accounting for share</w:t>
      </w:r>
      <w:r>
        <w:rPr>
          <w:rFonts w:ascii="MS PGothic" w:cs="MS PGothic" w:eastAsia="MS PGothic" w:hAnsi="MS PGothic"/>
          <w:sz w:val="18"/>
          <w:szCs w:val="18"/>
          <w:color w:val="auto"/>
        </w:rPr>
        <w:t>‐</w:t>
      </w:r>
      <w:r>
        <w:rPr>
          <w:rFonts w:ascii="Arial" w:cs="Arial" w:eastAsia="Arial" w:hAnsi="Arial"/>
          <w:sz w:val="18"/>
          <w:szCs w:val="18"/>
          <w:color w:val="auto"/>
        </w:rPr>
        <w:t>based payments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areas: income tax consequences, classification of awards as either equity or liabilities, and classification on the statement of cash flows. The ASU also contains provisions that simplify two areas specific to private companies: practical expedient for expected term and intrinsic value. For private companies, the amendments take effect for annual periods beginning after December 15, 2017, and interim periods within annual periods beginning after December 15, 2018. Early adoption is permitted for any organization in any interim or annual period. The Company has adopted this guidance during the year ended December 31, 2018. Adoption of this guidance did not have a material impact on the Company’s financial statements.</w:t>
      </w:r>
    </w:p>
    <w:p>
      <w:pPr>
        <w:spacing w:after="0" w:line="1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 (a</w:t>
      </w:r>
      <w:r>
        <w:rPr>
          <w:rFonts w:ascii="Arial" w:cs="Arial" w:eastAsia="Arial" w:hAnsi="Arial"/>
          <w:sz w:val="18"/>
          <w:szCs w:val="18"/>
          <w:color w:val="auto"/>
        </w:rPr>
        <w:t xml:space="preserve"> </w:t>
      </w:r>
      <w:r>
        <w:rPr>
          <w:rFonts w:ascii="Arial" w:cs="Arial" w:eastAsia="Arial" w:hAnsi="Arial"/>
          <w:sz w:val="18"/>
          <w:szCs w:val="18"/>
          <w:i w:val="1"/>
          <w:iCs w:val="1"/>
          <w:color w:val="auto"/>
        </w:rPr>
        <w:t>consensus of the FASB Emerging Issues Task Force)</w:t>
      </w:r>
      <w:r>
        <w:rPr>
          <w:rFonts w:ascii="Arial" w:cs="Arial" w:eastAsia="Arial" w:hAnsi="Arial"/>
          <w:sz w:val="18"/>
          <w:szCs w:val="18"/>
          <w:color w:val="auto"/>
        </w:rPr>
        <w:t>. The standard is intended to eliminate diversity in practice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treatment of restricted cash in the statement of cash flows and requires that the statement of cash flows explain the change during the period in the total of cash, cash equivalents, and amounts generally described as restricted cash or restricted cash equivalents. For the Company, the amendments in ASU 2016-18 are effective for annual periods beginning after December 15, 2018, with early adoption permitted. The Company has adopted this guidance for the year ended December 31, 2018 and has classified restricted cash as part of total cash on the statements of cash flows.</w:t>
      </w:r>
    </w:p>
    <w:p>
      <w:pPr>
        <w:spacing w:after="0" w:line="120"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 – Stock Compensation (Topic 718): Scope of</w:t>
      </w:r>
      <w:r>
        <w:rPr>
          <w:rFonts w:ascii="Arial" w:cs="Arial" w:eastAsia="Arial" w:hAnsi="Arial"/>
          <w:sz w:val="17"/>
          <w:szCs w:val="17"/>
          <w:color w:val="auto"/>
        </w:rPr>
        <w:t xml:space="preserve"> </w:t>
      </w:r>
      <w:r>
        <w:rPr>
          <w:rFonts w:ascii="Arial" w:cs="Arial" w:eastAsia="Arial" w:hAnsi="Arial"/>
          <w:sz w:val="17"/>
          <w:szCs w:val="17"/>
          <w:i w:val="1"/>
          <w:iCs w:val="1"/>
          <w:color w:val="auto"/>
        </w:rPr>
        <w:t>Modification Accounting</w:t>
      </w:r>
      <w:r>
        <w:rPr>
          <w:rFonts w:ascii="Arial" w:cs="Arial" w:eastAsia="Arial" w:hAnsi="Arial"/>
          <w:sz w:val="17"/>
          <w:szCs w:val="17"/>
          <w:color w:val="auto"/>
        </w:rPr>
        <w:t>. The standard is intended to provide guidance about which changes to the terms or</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of a share-based payment award require an entity to apply modification accounting in Topic 718. For the Company, the amendments in ASU 2017-09 are effective for annual periods beginning after December 15, 2017, with early adoption permitted. The Company has adopted this guidance during the year ended December 31, 2018. Adoption of this guidance did not have a material impact on the Company’s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December 31, 2018 and 2017(unaudited), consists of the following:</w:t>
      </w:r>
    </w:p>
    <w:p>
      <w:pPr>
        <w:spacing w:after="0" w:line="199" w:lineRule="exact"/>
        <w:rPr>
          <w:sz w:val="20"/>
          <w:szCs w:val="20"/>
          <w:color w:val="auto"/>
        </w:rPr>
      </w:pPr>
    </w:p>
    <w:tbl>
      <w:tblPr>
        <w:tblLayout w:type="fixed"/>
        <w:tblInd w:w="136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280" w:type="dxa"/>
            <w:vAlign w:val="bottom"/>
          </w:tcPr>
          <w:p>
            <w:pPr>
              <w:jc w:val="center"/>
              <w:ind w:right="94"/>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3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2017</w:t>
            </w:r>
          </w:p>
        </w:tc>
      </w:tr>
      <w:tr>
        <w:trPr>
          <w:trHeight w:val="183"/>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color w:val="auto"/>
              </w:rPr>
              <w:t>(Unaudited)</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107,877</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3,255,547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1,776,644</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Porters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2,582,654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2,582,654</w:t>
            </w: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1,529,392</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317,736</w:t>
            </w:r>
          </w:p>
        </w:tc>
      </w:tr>
      <w:tr>
        <w:trPr>
          <w:trHeight w:val="21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7,469,821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4,784,911</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(1,975,256)</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(937,506)</w:t>
            </w:r>
          </w:p>
        </w:tc>
      </w:tr>
      <w:tr>
        <w:trPr>
          <w:trHeight w:val="210"/>
        </w:trPr>
        <w:tc>
          <w:tcPr>
            <w:tcW w:w="3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5,494,565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3,847,405</w:t>
            </w: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1,760,936</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1,114,886</w:t>
            </w:r>
          </w:p>
        </w:tc>
      </w:tr>
      <w:tr>
        <w:trPr>
          <w:trHeight w:val="210"/>
        </w:trPr>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7,255,501</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4,962,291</w:t>
            </w:r>
          </w:p>
        </w:tc>
      </w:tr>
    </w:tbl>
    <w:p>
      <w:pPr>
        <w:spacing w:after="0" w:line="161"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Depreciation expense was approximately $ 1,049,000, $709,000 (unaudited), and $156,000 (unaudited) for the year ended December 31, 2018,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57543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7543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 at December 31, 2018 and 2017 (unaudited):</w:t>
      </w:r>
    </w:p>
    <w:p>
      <w:pPr>
        <w:spacing w:after="0" w:line="186" w:lineRule="exact"/>
        <w:rPr>
          <w:sz w:val="20"/>
          <w:szCs w:val="20"/>
          <w:color w:val="auto"/>
        </w:rPr>
      </w:pPr>
    </w:p>
    <w:tbl>
      <w:tblPr>
        <w:tblLayout w:type="fixed"/>
        <w:tblInd w:w="136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340" w:type="dxa"/>
            <w:vAlign w:val="bottom"/>
          </w:tcPr>
          <w:p>
            <w:pPr>
              <w:jc w:val="center"/>
              <w:ind w:right="119"/>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2017</w:t>
            </w:r>
          </w:p>
        </w:tc>
      </w:tr>
      <w:tr>
        <w:trPr>
          <w:trHeight w:val="183"/>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ind w:right="119"/>
              <w:spacing w:after="0"/>
              <w:rPr>
                <w:sz w:val="20"/>
                <w:szCs w:val="20"/>
                <w:color w:val="auto"/>
              </w:rPr>
            </w:pPr>
            <w:r>
              <w:rPr>
                <w:rFonts w:ascii="Arial" w:cs="Arial" w:eastAsia="Arial" w:hAnsi="Arial"/>
                <w:sz w:val="14"/>
                <w:szCs w:val="14"/>
                <w:color w:val="auto"/>
              </w:rPr>
              <w:t>(Unaudited)</w:t>
            </w: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Supply inventory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395,262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260,130</w:t>
            </w:r>
          </w:p>
        </w:tc>
      </w:tr>
      <w:tr>
        <w:trPr>
          <w:trHeight w:val="23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Food inventory</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2,684,600</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1,255,146</w:t>
            </w:r>
          </w:p>
        </w:tc>
      </w:tr>
      <w:tr>
        <w:trPr>
          <w:trHeight w:val="21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3,079,862</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1,515,276</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166" w:lineRule="exact"/>
        <w:rPr>
          <w:sz w:val="20"/>
          <w:szCs w:val="20"/>
          <w:color w:val="auto"/>
        </w:rPr>
      </w:pPr>
    </w:p>
    <w:p>
      <w:pPr>
        <w:ind w:right="99"/>
        <w:spacing w:after="0" w:line="239" w:lineRule="auto"/>
        <w:rPr>
          <w:sz w:val="20"/>
          <w:szCs w:val="20"/>
          <w:color w:val="auto"/>
        </w:rPr>
      </w:pPr>
      <w:r>
        <w:rPr>
          <w:rFonts w:ascii="Arial" w:cs="Arial" w:eastAsia="Arial" w:hAnsi="Arial"/>
          <w:sz w:val="18"/>
          <w:szCs w:val="18"/>
          <w:color w:val="auto"/>
        </w:rPr>
        <w:t>Intangible assets are comprised of software development costs related to costs incurred internally in creating the software for the Company’s product. The intangible assets are amortized on a straight-line basis over the estimated useful lives of 3 years. Intangible assets at December 31, 2018 and 2017 (unaudited) consist of the following:</w:t>
      </w:r>
    </w:p>
    <w:p>
      <w:pPr>
        <w:spacing w:after="0" w:line="190" w:lineRule="exact"/>
        <w:rPr>
          <w:sz w:val="20"/>
          <w:szCs w:val="20"/>
          <w:color w:val="auto"/>
        </w:rPr>
      </w:pPr>
    </w:p>
    <w:tbl>
      <w:tblPr>
        <w:tblLayout w:type="fixed"/>
        <w:tblInd w:w="136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6"/>
                <w:szCs w:val="16"/>
                <w:color w:val="auto"/>
              </w:rPr>
            </w:pPr>
          </w:p>
        </w:tc>
        <w:tc>
          <w:tcPr>
            <w:tcW w:w="1400" w:type="dxa"/>
            <w:vAlign w:val="bottom"/>
          </w:tcPr>
          <w:p>
            <w:pPr>
              <w:jc w:val="center"/>
              <w:ind w:right="59"/>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2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center"/>
              <w:ind w:right="39"/>
              <w:spacing w:after="0"/>
              <w:rPr>
                <w:sz w:val="20"/>
                <w:szCs w:val="20"/>
                <w:color w:val="auto"/>
              </w:rPr>
            </w:pPr>
            <w:r>
              <w:rPr>
                <w:rFonts w:ascii="Arial" w:cs="Arial" w:eastAsia="Arial" w:hAnsi="Arial"/>
                <w:sz w:val="14"/>
                <w:szCs w:val="14"/>
                <w:b w:val="1"/>
                <w:bCs w:val="1"/>
                <w:color w:val="auto"/>
              </w:rPr>
              <w:t>2017</w:t>
            </w:r>
          </w:p>
        </w:tc>
      </w:tr>
      <w:tr>
        <w:trPr>
          <w:trHeight w:val="188"/>
        </w:trPr>
        <w:tc>
          <w:tcPr>
            <w:tcW w:w="2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center"/>
              <w:ind w:right="59"/>
              <w:spacing w:after="0"/>
              <w:rPr>
                <w:sz w:val="20"/>
                <w:szCs w:val="20"/>
                <w:color w:val="auto"/>
              </w:rPr>
            </w:pPr>
            <w:r>
              <w:rPr>
                <w:rFonts w:ascii="Arial" w:cs="Arial" w:eastAsia="Arial" w:hAnsi="Arial"/>
                <w:sz w:val="14"/>
                <w:szCs w:val="14"/>
                <w:color w:val="auto"/>
              </w:rPr>
              <w:t>(Unaudited)</w:t>
            </w: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4,660,344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4,478,878</w:t>
            </w: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58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(3,216,271)</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(2,223,494)</w:t>
            </w:r>
          </w:p>
        </w:tc>
      </w:tr>
      <w:tr>
        <w:trPr>
          <w:trHeight w:val="217"/>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5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1,444,073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2,255,384</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Future scheduled amortization expense related to these assets as of December 31, 2018, is as follows:</w:t>
      </w:r>
    </w:p>
    <w:p>
      <w:pPr>
        <w:spacing w:after="0" w:line="199" w:lineRule="exact"/>
        <w:rPr>
          <w:sz w:val="20"/>
          <w:szCs w:val="20"/>
          <w:color w:val="auto"/>
        </w:rPr>
      </w:pPr>
    </w:p>
    <w:p>
      <w:pPr>
        <w:jc w:val="center"/>
        <w:ind w:right="2179"/>
        <w:spacing w:after="0"/>
        <w:rPr>
          <w:sz w:val="20"/>
          <w:szCs w:val="20"/>
          <w:color w:val="auto"/>
        </w:rPr>
      </w:pPr>
      <w:r>
        <w:rPr>
          <w:rFonts w:ascii="Arial" w:cs="Arial" w:eastAsia="Arial" w:hAnsi="Arial"/>
          <w:sz w:val="14"/>
          <w:szCs w:val="14"/>
          <w:b w:val="1"/>
          <w:bCs w:val="1"/>
          <w:color w:val="auto"/>
        </w:rPr>
        <w:t>Year Ended</w:t>
      </w:r>
    </w:p>
    <w:p>
      <w:pPr>
        <w:spacing w:after="0" w:line="42" w:lineRule="exact"/>
        <w:rPr>
          <w:sz w:val="20"/>
          <w:szCs w:val="20"/>
          <w:color w:val="auto"/>
        </w:rPr>
      </w:pPr>
    </w:p>
    <w:p>
      <w:pPr>
        <w:jc w:val="center"/>
        <w:ind w:right="217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1159510</wp:posOffset>
            </wp:positionH>
            <wp:positionV relativeFrom="paragraph">
              <wp:posOffset>8890</wp:posOffset>
            </wp:positionV>
            <wp:extent cx="20497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7">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24" w:lineRule="exact"/>
        <w:rPr>
          <w:sz w:val="20"/>
          <w:szCs w:val="20"/>
          <w:color w:val="auto"/>
        </w:rPr>
      </w:pPr>
    </w:p>
    <w:tbl>
      <w:tblPr>
        <w:tblLayout w:type="fixed"/>
        <w:tblInd w:w="1820" w:type="dxa"/>
        <w:tblCellMar>
          <w:top w:w="0" w:type="dxa"/>
          <w:left w:w="0" w:type="dxa"/>
          <w:bottom w:w="0" w:type="dxa"/>
          <w:right w:w="0" w:type="dxa"/>
        </w:tblCellMar>
      </w:tblPr>
      <w:tr>
        <w:trPr>
          <w:trHeight w:val="230"/>
        </w:trPr>
        <w:tc>
          <w:tcPr>
            <w:tcW w:w="26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2019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901,812</w:t>
            </w:r>
          </w:p>
        </w:tc>
      </w:tr>
      <w:tr>
        <w:trPr>
          <w:trHeight w:val="230"/>
        </w:trPr>
        <w:tc>
          <w:tcPr>
            <w:tcW w:w="2680" w:type="dxa"/>
            <w:vAlign w:val="bottom"/>
          </w:tcPr>
          <w:p>
            <w:pPr>
              <w:ind w:left="1420"/>
              <w:spacing w:after="0"/>
              <w:rPr>
                <w:sz w:val="20"/>
                <w:szCs w:val="20"/>
                <w:color w:val="auto"/>
              </w:rPr>
            </w:pPr>
            <w:r>
              <w:rPr>
                <w:rFonts w:ascii="Arial" w:cs="Arial" w:eastAsia="Arial" w:hAnsi="Arial"/>
                <w:sz w:val="18"/>
                <w:szCs w:val="18"/>
                <w:color w:val="auto"/>
              </w:rPr>
              <w:t>2020</w:t>
            </w:r>
          </w:p>
        </w:tc>
        <w:tc>
          <w:tcPr>
            <w:tcW w:w="10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498,935</w:t>
            </w:r>
          </w:p>
        </w:tc>
      </w:tr>
      <w:tr>
        <w:trPr>
          <w:trHeight w:val="230"/>
        </w:trPr>
        <w:tc>
          <w:tcPr>
            <w:tcW w:w="26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2021</w:t>
            </w:r>
          </w:p>
        </w:tc>
        <w:tc>
          <w:tcPr>
            <w:tcW w:w="10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43,326</w:t>
            </w:r>
          </w:p>
        </w:tc>
      </w:tr>
      <w:tr>
        <w:trPr>
          <w:trHeight w:val="217"/>
        </w:trPr>
        <w:tc>
          <w:tcPr>
            <w:tcW w:w="2680" w:type="dxa"/>
            <w:vAlign w:val="bottom"/>
          </w:tcPr>
          <w:p>
            <w:pPr>
              <w:ind w:left="142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1,444,073</w:t>
            </w:r>
          </w:p>
        </w:tc>
      </w:tr>
    </w:tbl>
    <w:p>
      <w:pPr>
        <w:spacing w:after="0" w:line="161" w:lineRule="exact"/>
        <w:rPr>
          <w:sz w:val="20"/>
          <w:szCs w:val="20"/>
          <w:color w:val="auto"/>
        </w:rPr>
      </w:pPr>
    </w:p>
    <w:p>
      <w:pPr>
        <w:ind w:right="479"/>
        <w:spacing w:after="0" w:line="246" w:lineRule="auto"/>
        <w:rPr>
          <w:sz w:val="20"/>
          <w:szCs w:val="20"/>
          <w:color w:val="auto"/>
        </w:rPr>
      </w:pPr>
      <w:r>
        <w:rPr>
          <w:rFonts w:ascii="Arial" w:cs="Arial" w:eastAsia="Arial" w:hAnsi="Arial"/>
          <w:sz w:val="18"/>
          <w:szCs w:val="18"/>
          <w:color w:val="auto"/>
        </w:rPr>
        <w:t>Amortization expense for the year ended December 31, 2018, 2017 and 2016 was approximately $993,000, $882,000 (unaudited) and $652,000 (unaudited),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7543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Notes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notes receivables outstanding as of December 31, 2018 and 2017 (unaudited):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6"/>
                <w:szCs w:val="16"/>
                <w:color w:val="auto"/>
              </w:rPr>
            </w:pPr>
          </w:p>
        </w:tc>
        <w:tc>
          <w:tcPr>
            <w:tcW w:w="1220" w:type="dxa"/>
            <w:vAlign w:val="bottom"/>
          </w:tcPr>
          <w:p>
            <w:pPr>
              <w:jc w:val="center"/>
              <w:ind w:right="81"/>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6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2017</w:t>
            </w:r>
          </w:p>
        </w:tc>
      </w:tr>
      <w:tr>
        <w:trPr>
          <w:trHeight w:val="183"/>
        </w:trPr>
        <w:tc>
          <w:tcPr>
            <w:tcW w:w="6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81"/>
              <w:spacing w:after="0"/>
              <w:rPr>
                <w:sz w:val="20"/>
                <w:szCs w:val="20"/>
                <w:color w:val="auto"/>
              </w:rPr>
            </w:pPr>
            <w:r>
              <w:rPr>
                <w:rFonts w:ascii="Arial" w:cs="Arial" w:eastAsia="Arial" w:hAnsi="Arial"/>
                <w:sz w:val="14"/>
                <w:szCs w:val="14"/>
                <w:color w:val="auto"/>
              </w:rPr>
              <w:t>(Unaudited)</w:t>
            </w:r>
          </w:p>
        </w:tc>
      </w:tr>
      <w:tr>
        <w:trPr>
          <w:trHeight w:val="364"/>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promissory note with a customer entered into on August 7,</w:t>
            </w: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2018 for $251,149 bearing interest at 10% per annum and due in 11</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monthly payments of $24,011 through July 2019. The balance at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2018 reflects an outstanding princial balance of</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$163,659, offset by an estimated allowance for doubtful accounts of</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60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$94,030.</w:t>
            </w:r>
          </w:p>
        </w:tc>
        <w:tc>
          <w:tcPr>
            <w:tcW w:w="1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69,629</w:t>
            </w: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r>
      <w:tr>
        <w:trPr>
          <w:trHeight w:val="217"/>
        </w:trPr>
        <w:tc>
          <w:tcPr>
            <w:tcW w:w="6020" w:type="dxa"/>
            <w:vAlign w:val="bottom"/>
          </w:tcPr>
          <w:p>
            <w:pPr>
              <w:ind w:left="20"/>
              <w:spacing w:after="0"/>
              <w:rPr>
                <w:sz w:val="20"/>
                <w:szCs w:val="20"/>
                <w:color w:val="auto"/>
              </w:rPr>
            </w:pPr>
            <w:r>
              <w:rPr>
                <w:rFonts w:ascii="Arial" w:cs="Arial" w:eastAsia="Arial" w:hAnsi="Arial"/>
                <w:sz w:val="18"/>
                <w:szCs w:val="18"/>
                <w:color w:val="auto"/>
              </w:rPr>
              <w:t>Total notes receivable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69,629</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Company also entered into a series of convertible promissory notes with a customer during 2018 for an aggregate total of $2,000,000 bearing interest at 12% per annum. All unpaid principal and interest are due on the earlier of December 31, 2019, or upon a qualified financing or change in control of the customer, as defined in the agreements. Upon a qualified financing or change in control of the customer, the Company shall have the option to convert the outstanding note balances into shares of the customer at a conversion rate equal to 80% of the price per equity sold by the customer in the financing or change of control. If the notes are still outstanding at December 31, 2019, the Company shall have the option to convert the outstanding note balances into the most senior outstanding preferred equity instruments of the customer at a conversion price equal to the price paid by purchasers in the most recent equity sale. The Company has fully reserved for the notes receivable balances, as collection of the notes are considered doubtful and the net realizable value of any securities the Company could convert the notes into are considered to be $0.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Members’ Equity</w:t>
      </w:r>
    </w:p>
    <w:p>
      <w:pPr>
        <w:spacing w:after="0" w:line="16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Company’s Amended and Restated Limited Liability Company Agreement (the “Operating Agreement”) dated July 31, 2013 allowed for the issuance of 1,271,075 Class A units. The Operating Agreement has been amended based on a written consent of the board as needed to allow for additional units issued. As of December 31, 2018, the Company was authorized to issue up to 3,580,379 Class A units</w:t>
      </w:r>
    </w:p>
    <w:p>
      <w:pPr>
        <w:spacing w:after="0" w:line="12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During the year ended December 31, 2016 (unaudited), the Company sold 307,802 Class A units for proceeds of approximately $10,661,000. During the year ended December 31, 2017 (unaudited), the Company sold 764,855 Class A units for proceeds of approximately $28,005,000. During the year ended December 31, 2018, the Company sold 401,325 Class A units for proceeds of approximately $16,000,000.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Unit-Based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Profit Interest Units (PIUs)</w:t>
      </w:r>
    </w:p>
    <w:p>
      <w:pPr>
        <w:spacing w:after="0" w:line="14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Under the terms of the Company’s Operating Agreement, the Company is authorized to issue up to 195,555 PIUs to employees or other service providers with the purpose of attracting and retaining the best available personnel. PIUs are membership interests in the Company that vest over a period ranging from immediately to five years from the date of grant. Each PIU grant agreement contains a floor value, equal to the estimated fair value of the Company on the date of grant. Upon a sale or dissolution of the Company, PIUs do not receive any value for their units unless the proceeds from sale or dissolution is greater than the floor threshold established in the grant agreement. Accordingly, PIUs have no value on the date of grant.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575437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75437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Unit-Based Compensation (continued)</w:t>
      </w:r>
    </w:p>
    <w:p>
      <w:pPr>
        <w:spacing w:after="0" w:line="23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Company accounts for PIUs at the fair value of the membership units on the date of the grant less the floor value per unit. As the floor value equals the estimated fair value on the date of grant, there is no expense recognized in the statements of operations for the year ended December 31, 2018, 2017 (unaudited) and 2016 (unaudited).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PIU activity for the periods below.</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b w:val="1"/>
                <w:bCs w:val="1"/>
                <w:color w:val="auto"/>
              </w:rPr>
              <w:t>Weighted-</w:t>
            </w:r>
          </w:p>
        </w:tc>
      </w:tr>
      <w:tr>
        <w:trPr>
          <w:trHeight w:val="203"/>
        </w:trPr>
        <w:tc>
          <w:tcPr>
            <w:tcW w:w="4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b w:val="1"/>
                <w:bCs w:val="1"/>
                <w:color w:val="auto"/>
              </w:rPr>
              <w:t>Average</w:t>
            </w:r>
          </w:p>
        </w:tc>
      </w:tr>
      <w:tr>
        <w:trPr>
          <w:trHeight w:val="203"/>
        </w:trPr>
        <w:tc>
          <w:tcPr>
            <w:tcW w:w="4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76"/>
              <w:spacing w:after="0"/>
              <w:rPr>
                <w:sz w:val="20"/>
                <w:szCs w:val="20"/>
                <w:color w:val="auto"/>
              </w:rPr>
            </w:pPr>
            <w:r>
              <w:rPr>
                <w:rFonts w:ascii="Arial" w:cs="Arial" w:eastAsia="Arial" w:hAnsi="Arial"/>
                <w:sz w:val="14"/>
                <w:szCs w:val="14"/>
                <w:b w:val="1"/>
                <w:bCs w:val="1"/>
                <w:color w:val="auto"/>
              </w:rPr>
              <w:t>Floor Value</w:t>
            </w:r>
          </w:p>
        </w:tc>
      </w:tr>
      <w:tr>
        <w:trPr>
          <w:trHeight w:val="188"/>
        </w:trPr>
        <w:tc>
          <w:tcPr>
            <w:tcW w:w="4300" w:type="dxa"/>
            <w:vAlign w:val="bottom"/>
          </w:tcPr>
          <w:p>
            <w:pPr>
              <w:spacing w:after="0"/>
              <w:rPr>
                <w:sz w:val="16"/>
                <w:szCs w:val="16"/>
                <w:color w:val="auto"/>
              </w:rPr>
            </w:pPr>
          </w:p>
        </w:tc>
        <w:tc>
          <w:tcPr>
            <w:tcW w:w="12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PIUs</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(in '000s)</w:t>
            </w:r>
          </w:p>
        </w:tc>
      </w:tr>
      <w:tr>
        <w:trPr>
          <w:trHeight w:val="183"/>
        </w:trPr>
        <w:tc>
          <w:tcPr>
            <w:tcW w:w="4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 (unaudited)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22,416</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Granted (unaudited)</w:t>
            </w:r>
          </w:p>
        </w:tc>
        <w:tc>
          <w:tcPr>
            <w:tcW w:w="1280" w:type="dxa"/>
            <w:vAlign w:val="bottom"/>
          </w:tcPr>
          <w:p>
            <w:pPr>
              <w:jc w:val="right"/>
              <w:spacing w:after="0"/>
              <w:rPr>
                <w:sz w:val="20"/>
                <w:szCs w:val="20"/>
                <w:color w:val="auto"/>
              </w:rPr>
            </w:pPr>
            <w:r>
              <w:rPr>
                <w:rFonts w:ascii="Arial" w:cs="Arial" w:eastAsia="Arial" w:hAnsi="Arial"/>
                <w:sz w:val="18"/>
                <w:szCs w:val="18"/>
                <w:color w:val="auto"/>
              </w:rPr>
              <w:t>17,942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76,529</w:t>
            </w:r>
          </w:p>
        </w:tc>
      </w:tr>
      <w:tr>
        <w:trPr>
          <w:trHeight w:val="23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Forfeited (unaudited)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74,613</w:t>
            </w: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Outstanding at December 31, 2016 (unaudited)</w:t>
            </w:r>
          </w:p>
        </w:tc>
        <w:tc>
          <w:tcPr>
            <w:tcW w:w="1280" w:type="dxa"/>
            <w:vAlign w:val="bottom"/>
          </w:tcPr>
          <w:p>
            <w:pPr>
              <w:jc w:val="right"/>
              <w:spacing w:after="0"/>
              <w:rPr>
                <w:sz w:val="20"/>
                <w:szCs w:val="20"/>
                <w:color w:val="auto"/>
              </w:rPr>
            </w:pPr>
            <w:r>
              <w:rPr>
                <w:rFonts w:ascii="Arial" w:cs="Arial" w:eastAsia="Arial" w:hAnsi="Arial"/>
                <w:sz w:val="18"/>
                <w:szCs w:val="18"/>
                <w:color w:val="auto"/>
              </w:rPr>
              <w:t>30,292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57,534</w:t>
            </w:r>
          </w:p>
        </w:tc>
      </w:tr>
      <w:tr>
        <w:trPr>
          <w:trHeight w:val="23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Granted (unaudited)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103,287</w:t>
            </w:r>
          </w:p>
        </w:tc>
      </w:tr>
      <w:tr>
        <w:trPr>
          <w:trHeight w:val="230"/>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(unaudited)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60,083</w:t>
            </w: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 (unaudited)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29,122</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65,790</w:t>
            </w:r>
          </w:p>
        </w:tc>
      </w:tr>
      <w:tr>
        <w:trPr>
          <w:trHeight w:val="230"/>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64,039</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113,395</w:t>
            </w:r>
          </w:p>
        </w:tc>
      </w:tr>
      <w:tr>
        <w:trPr>
          <w:trHeight w:val="217"/>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98,514</w:t>
            </w:r>
          </w:p>
        </w:tc>
      </w:tr>
    </w:tbl>
    <w:p>
      <w:pPr>
        <w:spacing w:after="0" w:line="161"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As of December 31, 2018, 43,102 of the outstanding PIUs were vested. The remaining unvested units are scheduled to vest over periods extending through May 2023.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Equity Incentive Plan</w:t>
      </w:r>
    </w:p>
    <w:p>
      <w:pPr>
        <w:spacing w:after="0" w:line="16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has adopted the 2018 Equity Incentive Plan (the “Plan”) which provides for the Company to grant options and other unit-based incentive awards to key employees and other service providers. Under the terms of the Plan, 75,084 units in the Company have been reserved for satisfaction of awards issued under the Plan. The exercise price (or base value from which appreciation is to be measured) of any awards made under the Plan will be the fair value of the units on the date of the grant. Any awards made under the plan have a maximum term not to exceed 10 years. In December 2018, the Company granted options to employees, which represent the first awards issued under the Plan.</w:t>
      </w:r>
    </w:p>
    <w:p>
      <w:pPr>
        <w:spacing w:after="0" w:line="122" w:lineRule="exact"/>
        <w:rPr>
          <w:sz w:val="20"/>
          <w:szCs w:val="20"/>
          <w:color w:val="auto"/>
        </w:rPr>
      </w:pPr>
    </w:p>
    <w:p>
      <w:pPr>
        <w:jc w:val="both"/>
        <w:ind w:right="160"/>
        <w:spacing w:after="0" w:line="239" w:lineRule="auto"/>
        <w:rPr>
          <w:sz w:val="20"/>
          <w:szCs w:val="20"/>
          <w:color w:val="auto"/>
        </w:rPr>
      </w:pPr>
      <w:r>
        <w:rPr>
          <w:rFonts w:ascii="Arial" w:cs="Arial" w:eastAsia="Arial" w:hAnsi="Arial"/>
          <w:sz w:val="18"/>
          <w:szCs w:val="18"/>
          <w:color w:val="auto"/>
        </w:rPr>
        <w:t>The fair value of each option is estimated on the grant date using the Black-Scholes option pricing model using the assumptions noted in the following table. As there is no active market for the Company’s membership units, the volatility was estimated as of each grant date using an index of comparable publicly traded companies. The expected life represents the average between the vesting period and contractual life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7543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Unit-Based Compensation (continued)</w:t>
      </w:r>
    </w:p>
    <w:p>
      <w:pPr>
        <w:spacing w:after="0" w:line="16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of the options. The risk-free interest rate is based on published U.S. Treasury Department interest rates for the expected terms of the underlying options.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Year Ended</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203"/>
        </w:trPr>
        <w:tc>
          <w:tcPr>
            <w:tcW w:w="36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36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r>
      <w:tr>
        <w:trPr>
          <w:trHeight w:val="183"/>
        </w:trPr>
        <w:tc>
          <w:tcPr>
            <w:tcW w:w="3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4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7 years</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Stock price volatility</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59.8% - 60.0%</w:t>
            </w:r>
          </w:p>
        </w:tc>
        <w:tc>
          <w:tcPr>
            <w:tcW w:w="20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2.83% - 2.92%</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36"/>
        </w:trPr>
        <w:tc>
          <w:tcPr>
            <w:tcW w:w="3620" w:type="dxa"/>
            <w:vAlign w:val="bottom"/>
          </w:tcPr>
          <w:p>
            <w:pPr>
              <w:spacing w:after="0"/>
              <w:rPr>
                <w:sz w:val="20"/>
                <w:szCs w:val="20"/>
                <w:color w:val="auto"/>
              </w:rPr>
            </w:pPr>
            <w:r>
              <w:rPr>
                <w:rFonts w:ascii="Arial" w:cs="Arial" w:eastAsia="Arial" w:hAnsi="Arial"/>
                <w:sz w:val="18"/>
                <w:szCs w:val="18"/>
                <w:color w:val="auto"/>
              </w:rPr>
              <w:t>Expected dividends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rPr>
              <w:t>None</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5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Estimated forfeiture rate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option activity for the periods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203"/>
        </w:trPr>
        <w:tc>
          <w:tcPr>
            <w:tcW w:w="4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203"/>
        </w:trPr>
        <w:tc>
          <w:tcPr>
            <w:tcW w:w="4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Weighted-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203"/>
        </w:trPr>
        <w:tc>
          <w:tcPr>
            <w:tcW w:w="4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Average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203"/>
        </w:trPr>
        <w:tc>
          <w:tcPr>
            <w:tcW w:w="4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Exercise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r>
      <w:tr>
        <w:trPr>
          <w:trHeight w:val="188"/>
        </w:trPr>
        <w:tc>
          <w:tcPr>
            <w:tcW w:w="4560" w:type="dxa"/>
            <w:vAlign w:val="bottom"/>
          </w:tcPr>
          <w:p>
            <w:pPr>
              <w:spacing w:after="0"/>
              <w:rPr>
                <w:sz w:val="16"/>
                <w:szCs w:val="16"/>
                <w:color w:val="auto"/>
              </w:rPr>
            </w:pPr>
          </w:p>
        </w:tc>
        <w:tc>
          <w:tcPr>
            <w:tcW w:w="1280" w:type="dxa"/>
            <w:vAlign w:val="bottom"/>
          </w:tcPr>
          <w:p>
            <w:pPr>
              <w:jc w:val="right"/>
              <w:ind w:right="293"/>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Price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r>
      <w:tr>
        <w:trPr>
          <w:trHeight w:val="210"/>
        </w:trPr>
        <w:tc>
          <w:tcPr>
            <w:tcW w:w="45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 (unaudited)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20,988</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44.79</w:t>
            </w: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1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20,988</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30"/>
        </w:trPr>
        <w:tc>
          <w:tcPr>
            <w:tcW w:w="4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expected to vest at December 31, 2018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13,290</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30"/>
        </w:trPr>
        <w:tc>
          <w:tcPr>
            <w:tcW w:w="4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2018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grant-date fair value of options granted during the year ended December 31, 2018 was</w:t>
      </w:r>
    </w:p>
    <w:p>
      <w:pPr>
        <w:jc w:val="both"/>
        <w:ind w:right="80"/>
        <w:spacing w:after="0" w:line="246" w:lineRule="auto"/>
        <w:rPr>
          <w:sz w:val="20"/>
          <w:szCs w:val="20"/>
          <w:color w:val="auto"/>
        </w:rPr>
      </w:pPr>
      <w:r>
        <w:rPr>
          <w:rFonts w:ascii="Arial" w:cs="Arial" w:eastAsia="Arial" w:hAnsi="Arial"/>
          <w:sz w:val="18"/>
          <w:szCs w:val="18"/>
          <w:color w:val="auto"/>
        </w:rPr>
        <w:t>$27.66. Total share-based compensation expense relating to options during the year ended December 31, 2018, 2017 and 2016 amounted to approximately $17,000, $0 (unaudited), and $0 (unaudited), respectively.</w:t>
      </w:r>
    </w:p>
    <w:p>
      <w:pPr>
        <w:spacing w:after="0" w:line="116"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As of December 31, 2018, the total unrecognized expense relating to the options expected to be recognized in future periods was approximately $350,000. The unrecognized expense is expected to be recognized over the vesting periods of the underlying options which extend through January 2023.</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575437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75437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Notes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all notes payable as of December 31, 2018 and 2017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r>
      <w:tr>
        <w:trPr>
          <w:trHeight w:val="210"/>
        </w:trPr>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221"/>
              <w:spacing w:after="0"/>
              <w:rPr>
                <w:sz w:val="20"/>
                <w:szCs w:val="20"/>
                <w:color w:val="auto"/>
              </w:rPr>
            </w:pPr>
            <w:r>
              <w:rPr>
                <w:rFonts w:ascii="Arial" w:cs="Arial" w:eastAsia="Arial" w:hAnsi="Arial"/>
                <w:sz w:val="14"/>
                <w:szCs w:val="14"/>
                <w:color w:val="auto"/>
              </w:rPr>
              <w:t>(Unaudited)</w:t>
            </w:r>
          </w:p>
        </w:tc>
      </w:tr>
      <w:tr>
        <w:trPr>
          <w:trHeight w:val="204"/>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Unsecured note payable to unit holder, due in monthly installments of</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8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$14,172 including interest at 8.6% per annum payable through September</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275,385</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415,169</w:t>
            </w:r>
          </w:p>
        </w:tc>
      </w:tr>
      <w:tr>
        <w:trPr>
          <w:trHeight w:val="204"/>
        </w:trPr>
        <w:tc>
          <w:tcPr>
            <w:tcW w:w="5760" w:type="dxa"/>
            <w:vAlign w:val="bottom"/>
          </w:tcPr>
          <w:p>
            <w:pPr>
              <w:ind w:left="20"/>
              <w:spacing w:after="0"/>
              <w:rPr>
                <w:sz w:val="20"/>
                <w:szCs w:val="20"/>
                <w:color w:val="auto"/>
              </w:rPr>
            </w:pPr>
            <w:r>
              <w:rPr>
                <w:rFonts w:ascii="Arial" w:cs="Arial" w:eastAsia="Arial" w:hAnsi="Arial"/>
                <w:sz w:val="16"/>
                <w:szCs w:val="16"/>
                <w:color w:val="auto"/>
              </w:rPr>
              <w:t>Unsecured note payable to unit holder, due in monthly installments of</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9"/>
        </w:trPr>
        <w:tc>
          <w:tcPr>
            <w:tcW w:w="5760" w:type="dxa"/>
            <w:vAlign w:val="bottom"/>
          </w:tcPr>
          <w:p>
            <w:pPr>
              <w:ind w:left="20"/>
              <w:spacing w:after="0"/>
              <w:rPr>
                <w:sz w:val="20"/>
                <w:szCs w:val="20"/>
                <w:color w:val="auto"/>
              </w:rPr>
            </w:pPr>
            <w:r>
              <w:rPr>
                <w:rFonts w:ascii="Arial" w:cs="Arial" w:eastAsia="Arial" w:hAnsi="Arial"/>
                <w:sz w:val="16"/>
                <w:szCs w:val="16"/>
                <w:color w:val="auto"/>
              </w:rPr>
              <w:t>$15,262 including interest at 8.6% per annum payable through September</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7"/>
        </w:trPr>
        <w:tc>
          <w:tcPr>
            <w:tcW w:w="5760" w:type="dxa"/>
            <w:vAlign w:val="bottom"/>
          </w:tcPr>
          <w:p>
            <w:pPr>
              <w:ind w:left="20"/>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296,572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447,110</w:t>
            </w:r>
          </w:p>
        </w:tc>
      </w:tr>
      <w:tr>
        <w:trPr>
          <w:trHeight w:val="204"/>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Unsecured note payable to unit holder, due in monthly installments of</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8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$16,990 including interest at 8.6% per annum payable through October</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344,667</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511,055</w:t>
            </w:r>
          </w:p>
        </w:tc>
      </w:tr>
      <w:tr>
        <w:trPr>
          <w:trHeight w:val="204"/>
        </w:trPr>
        <w:tc>
          <w:tcPr>
            <w:tcW w:w="5760" w:type="dxa"/>
            <w:vAlign w:val="bottom"/>
          </w:tcPr>
          <w:p>
            <w:pPr>
              <w:ind w:left="20"/>
              <w:spacing w:after="0"/>
              <w:rPr>
                <w:sz w:val="20"/>
                <w:szCs w:val="20"/>
                <w:color w:val="auto"/>
              </w:rPr>
            </w:pPr>
            <w:r>
              <w:rPr>
                <w:rFonts w:ascii="Arial" w:cs="Arial" w:eastAsia="Arial" w:hAnsi="Arial"/>
                <w:sz w:val="16"/>
                <w:szCs w:val="16"/>
                <w:color w:val="auto"/>
              </w:rPr>
              <w:t>Series of short-term notes payable to Calavo Growers, Inc. (Calavo), a unit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9"/>
        </w:trPr>
        <w:tc>
          <w:tcPr>
            <w:tcW w:w="5760" w:type="dxa"/>
            <w:vAlign w:val="bottom"/>
          </w:tcPr>
          <w:p>
            <w:pPr>
              <w:ind w:left="20"/>
              <w:spacing w:after="0"/>
              <w:rPr>
                <w:sz w:val="20"/>
                <w:szCs w:val="20"/>
                <w:color w:val="auto"/>
              </w:rPr>
            </w:pPr>
            <w:r>
              <w:rPr>
                <w:rFonts w:ascii="Arial" w:cs="Arial" w:eastAsia="Arial" w:hAnsi="Arial"/>
                <w:sz w:val="16"/>
                <w:szCs w:val="16"/>
                <w:color w:val="auto"/>
              </w:rPr>
              <w:t>holder further desctibed in Note 12, with interest accruing at 10% per</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760" w:type="dxa"/>
            <w:vAlign w:val="bottom"/>
          </w:tcPr>
          <w:p>
            <w:pPr>
              <w:ind w:left="20"/>
              <w:spacing w:after="0"/>
              <w:rPr>
                <w:sz w:val="20"/>
                <w:szCs w:val="20"/>
                <w:color w:val="auto"/>
              </w:rPr>
            </w:pPr>
            <w:r>
              <w:rPr>
                <w:rFonts w:ascii="Arial" w:cs="Arial" w:eastAsia="Arial" w:hAnsi="Arial"/>
                <w:sz w:val="16"/>
                <w:szCs w:val="16"/>
                <w:color w:val="auto"/>
              </w:rPr>
              <w:t>annum, due and payable on October 31, 2019. Calavo has the option to</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760" w:type="dxa"/>
            <w:vAlign w:val="bottom"/>
          </w:tcPr>
          <w:p>
            <w:pPr>
              <w:ind w:left="20"/>
              <w:spacing w:after="0"/>
              <w:rPr>
                <w:sz w:val="20"/>
                <w:szCs w:val="20"/>
                <w:color w:val="auto"/>
              </w:rPr>
            </w:pPr>
            <w:r>
              <w:rPr>
                <w:rFonts w:ascii="Arial" w:cs="Arial" w:eastAsia="Arial" w:hAnsi="Arial"/>
                <w:sz w:val="16"/>
                <w:szCs w:val="16"/>
                <w:color w:val="auto"/>
              </w:rPr>
              <w:t>extend the repayment date to November 1, 2020. All outstanding</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760" w:type="dxa"/>
            <w:vAlign w:val="bottom"/>
          </w:tcPr>
          <w:p>
            <w:pPr>
              <w:ind w:left="20"/>
              <w:spacing w:after="0"/>
              <w:rPr>
                <w:sz w:val="20"/>
                <w:szCs w:val="20"/>
                <w:color w:val="auto"/>
              </w:rPr>
            </w:pPr>
            <w:r>
              <w:rPr>
                <w:rFonts w:ascii="Arial" w:cs="Arial" w:eastAsia="Arial" w:hAnsi="Arial"/>
                <w:sz w:val="16"/>
                <w:szCs w:val="16"/>
                <w:color w:val="auto"/>
              </w:rPr>
              <w:t>borrowings from Calavo are secured by substantially all assets of the</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7"/>
        </w:trPr>
        <w:tc>
          <w:tcPr>
            <w:tcW w:w="5760" w:type="dxa"/>
            <w:vAlign w:val="bottom"/>
          </w:tcPr>
          <w:p>
            <w:pPr>
              <w:ind w:left="20"/>
              <w:spacing w:after="0"/>
              <w:rPr>
                <w:sz w:val="20"/>
                <w:szCs w:val="20"/>
                <w:color w:val="auto"/>
              </w:rPr>
            </w:pPr>
            <w:r>
              <w:rPr>
                <w:rFonts w:ascii="Arial" w:cs="Arial" w:eastAsia="Arial" w:hAnsi="Arial"/>
                <w:sz w:val="16"/>
                <w:szCs w:val="16"/>
                <w:color w:val="auto"/>
              </w:rPr>
              <w:t>Company.</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13,000,000</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of short-term notes payable to a board member and unit holder with</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8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accruing at 10% per annum, due and payable $500,000 in</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2019 and $500,000 in October 2019.</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5760" w:type="dxa"/>
            <w:vAlign w:val="bottom"/>
          </w:tcPr>
          <w:p>
            <w:pPr>
              <w:ind w:left="20"/>
              <w:spacing w:after="0"/>
              <w:rPr>
                <w:sz w:val="20"/>
                <w:szCs w:val="20"/>
                <w:color w:val="auto"/>
              </w:rPr>
            </w:pPr>
            <w:r>
              <w:rPr>
                <w:rFonts w:ascii="Arial" w:cs="Arial" w:eastAsia="Arial" w:hAnsi="Arial"/>
                <w:sz w:val="16"/>
                <w:szCs w:val="16"/>
                <w:color w:val="auto"/>
              </w:rPr>
              <w:t>Note payable to Calavo, secured by ownership units in FreshRealm with</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7"/>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accruing at 4% per annum, due and payable in May 2018.</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22,342</w:t>
            </w:r>
          </w:p>
        </w:tc>
      </w:tr>
      <w:tr>
        <w:trPr>
          <w:trHeight w:val="196"/>
        </w:trPr>
        <w:tc>
          <w:tcPr>
            <w:tcW w:w="5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14,916,624</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1,395,676</w:t>
            </w:r>
          </w:p>
        </w:tc>
      </w:tr>
      <w:tr>
        <w:trPr>
          <w:trHeight w:val="203"/>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14,497,572</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479,057</w:t>
            </w:r>
          </w:p>
        </w:tc>
      </w:tr>
      <w:tr>
        <w:trPr>
          <w:trHeight w:val="203"/>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portion</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419,052</w:t>
            </w: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916,619</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2018, Calavo loaned the Company an additional $2.5 million of short-term</w:t>
      </w:r>
    </w:p>
    <w:p>
      <w:pPr>
        <w:spacing w:after="0" w:line="234" w:lineRule="auto"/>
        <w:rPr>
          <w:sz w:val="20"/>
          <w:szCs w:val="20"/>
          <w:color w:val="auto"/>
        </w:rPr>
      </w:pPr>
      <w:r>
        <w:rPr>
          <w:rFonts w:ascii="Arial" w:cs="Arial" w:eastAsia="Arial" w:hAnsi="Arial"/>
          <w:sz w:val="18"/>
          <w:szCs w:val="18"/>
          <w:color w:val="auto"/>
        </w:rPr>
        <w:t>notes payable, which was repaid in the same year. During the year ended December 31, 2017 (unaudited) and</w:t>
      </w:r>
    </w:p>
    <w:p>
      <w:pPr>
        <w:spacing w:after="0" w:line="235" w:lineRule="auto"/>
        <w:rPr>
          <w:sz w:val="20"/>
          <w:szCs w:val="20"/>
          <w:color w:val="auto"/>
        </w:rPr>
      </w:pPr>
      <w:r>
        <w:rPr>
          <w:rFonts w:ascii="Arial" w:cs="Arial" w:eastAsia="Arial" w:hAnsi="Arial"/>
          <w:sz w:val="18"/>
          <w:szCs w:val="18"/>
          <w:color w:val="auto"/>
        </w:rPr>
        <w:t>2016 (unaudited), the Company received short-term notes payable from unit holders totaling $2,000,000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$250,000, respectively, bearing interest at 4% per annum, which were repaid in the same years in which the notes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were received.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Future scheduled maturities of notes payable as of December 31, 2018 are as follows.</w:t>
      </w:r>
    </w:p>
    <w:p>
      <w:pPr>
        <w:spacing w:after="0" w:line="199" w:lineRule="exact"/>
        <w:rPr>
          <w:sz w:val="20"/>
          <w:szCs w:val="20"/>
          <w:color w:val="auto"/>
        </w:rPr>
      </w:pPr>
    </w:p>
    <w:p>
      <w:pPr>
        <w:jc w:val="center"/>
        <w:ind w:right="1320"/>
        <w:spacing w:after="0"/>
        <w:rPr>
          <w:sz w:val="20"/>
          <w:szCs w:val="20"/>
          <w:color w:val="auto"/>
        </w:rPr>
      </w:pPr>
      <w:r>
        <w:rPr>
          <w:rFonts w:ascii="Arial" w:cs="Arial" w:eastAsia="Arial" w:hAnsi="Arial"/>
          <w:sz w:val="14"/>
          <w:szCs w:val="14"/>
          <w:b w:val="1"/>
          <w:bCs w:val="1"/>
          <w:color w:val="auto"/>
        </w:rPr>
        <w:t>Year Ended</w:t>
      </w:r>
    </w:p>
    <w:p>
      <w:pPr>
        <w:spacing w:after="0" w:line="42" w:lineRule="exact"/>
        <w:rPr>
          <w:sz w:val="20"/>
          <w:szCs w:val="20"/>
          <w:color w:val="auto"/>
        </w:rPr>
      </w:pPr>
    </w:p>
    <w:p>
      <w:pPr>
        <w:jc w:val="center"/>
        <w:ind w:right="1320"/>
        <w:spacing w:after="0"/>
        <w:rPr>
          <w:sz w:val="20"/>
          <w:szCs w:val="20"/>
          <w:color w:val="auto"/>
        </w:rPr>
      </w:pPr>
      <w:r>
        <w:rPr>
          <w:rFonts w:ascii="Arial" w:cs="Arial" w:eastAsia="Arial" w:hAnsi="Arial"/>
          <w:sz w:val="14"/>
          <w:szCs w:val="14"/>
          <w:b w:val="1"/>
          <w:bCs w:val="1"/>
          <w:u w:val="single" w:color="auto"/>
          <w:color w:val="auto"/>
        </w:rPr>
        <w:t>December 31,</w:t>
      </w:r>
    </w:p>
    <w:p>
      <w:pPr>
        <w:spacing w:after="0" w:line="217" w:lineRule="exact"/>
        <w:rPr>
          <w:sz w:val="20"/>
          <w:szCs w:val="20"/>
          <w:color w:val="auto"/>
        </w:rPr>
      </w:pPr>
    </w:p>
    <w:tbl>
      <w:tblPr>
        <w:tblLayout w:type="fixed"/>
        <w:tblInd w:w="1820" w:type="dxa"/>
        <w:tblCellMar>
          <w:top w:w="0" w:type="dxa"/>
          <w:left w:w="0" w:type="dxa"/>
          <w:bottom w:w="0" w:type="dxa"/>
          <w:right w:w="0" w:type="dxa"/>
        </w:tblCellMar>
      </w:tblPr>
      <w:tr>
        <w:trPr>
          <w:trHeight w:val="230"/>
        </w:trPr>
        <w:tc>
          <w:tcPr>
            <w:tcW w:w="32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2019</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$ 14,497,572</w:t>
            </w:r>
          </w:p>
        </w:tc>
      </w:tr>
      <w:tr>
        <w:trPr>
          <w:trHeight w:val="230"/>
        </w:trPr>
        <w:tc>
          <w:tcPr>
            <w:tcW w:w="3280" w:type="dxa"/>
            <w:vAlign w:val="bottom"/>
            <w:tcBorders>
              <w:bottom w:val="single" w:sz="8" w:color="CCEEFF"/>
            </w:tcBorders>
          </w:tcPr>
          <w:p>
            <w:pPr>
              <w:ind w:left="1840"/>
              <w:spacing w:after="0"/>
              <w:rPr>
                <w:sz w:val="20"/>
                <w:szCs w:val="20"/>
                <w:color w:val="auto"/>
              </w:rPr>
            </w:pPr>
            <w:r>
              <w:rPr>
                <w:rFonts w:ascii="Arial" w:cs="Arial" w:eastAsia="Arial" w:hAnsi="Arial"/>
                <w:sz w:val="18"/>
                <w:szCs w:val="18"/>
                <w:color w:val="auto"/>
              </w:rPr>
              <w:t>2020</w:t>
            </w:r>
          </w:p>
        </w:tc>
        <w:tc>
          <w:tcPr>
            <w:tcW w:w="11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419,052</w:t>
            </w:r>
          </w:p>
        </w:tc>
      </w:tr>
      <w:tr>
        <w:trPr>
          <w:trHeight w:val="217"/>
        </w:trPr>
        <w:tc>
          <w:tcPr>
            <w:tcW w:w="328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14,916,624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0">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75437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149"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The Company leases commercial property for their office buildings and plant facilities under non-cancelable operating leases. Rent expense was approximately $3,385,000, $2,059,000 (unaudited) and $391,000 (unaudited) for the year ended December 31, 2018, 2017 and 2016,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multiple space leases for offices and plant facilities during fiscal 2018 and 2019.</w:t>
      </w:r>
    </w:p>
    <w:p>
      <w:pPr>
        <w:spacing w:after="0"/>
        <w:rPr>
          <w:sz w:val="20"/>
          <w:szCs w:val="20"/>
          <w:color w:val="auto"/>
        </w:rPr>
      </w:pPr>
      <w:r>
        <w:rPr>
          <w:rFonts w:ascii="Arial" w:cs="Arial" w:eastAsia="Arial" w:hAnsi="Arial"/>
          <w:sz w:val="18"/>
          <w:szCs w:val="18"/>
          <w:color w:val="auto"/>
        </w:rPr>
        <w:t>Future minimum lease payments are as follows:</w:t>
      </w:r>
    </w:p>
    <w:p>
      <w:pPr>
        <w:spacing w:after="0" w:line="199" w:lineRule="exact"/>
        <w:rPr>
          <w:sz w:val="20"/>
          <w:szCs w:val="20"/>
          <w:color w:val="auto"/>
        </w:rPr>
      </w:pPr>
    </w:p>
    <w:p>
      <w:pPr>
        <w:jc w:val="center"/>
        <w:ind w:right="3000"/>
        <w:spacing w:after="0"/>
        <w:rPr>
          <w:sz w:val="20"/>
          <w:szCs w:val="20"/>
          <w:color w:val="auto"/>
        </w:rPr>
      </w:pPr>
      <w:r>
        <w:rPr>
          <w:rFonts w:ascii="Arial" w:cs="Arial" w:eastAsia="Arial" w:hAnsi="Arial"/>
          <w:sz w:val="14"/>
          <w:szCs w:val="14"/>
          <w:b w:val="1"/>
          <w:bCs w:val="1"/>
          <w:color w:val="auto"/>
        </w:rPr>
        <w:t>Year Ended</w:t>
      </w:r>
    </w:p>
    <w:p>
      <w:pPr>
        <w:spacing w:after="0" w:line="42" w:lineRule="exact"/>
        <w:rPr>
          <w:sz w:val="20"/>
          <w:szCs w:val="20"/>
          <w:color w:val="auto"/>
        </w:rPr>
      </w:pPr>
    </w:p>
    <w:p>
      <w:pPr>
        <w:jc w:val="center"/>
        <w:ind w:right="3000"/>
        <w:spacing w:after="0"/>
        <w:rPr>
          <w:sz w:val="20"/>
          <w:szCs w:val="20"/>
          <w:color w:val="auto"/>
        </w:rPr>
      </w:pPr>
      <w:r>
        <w:rPr>
          <w:rFonts w:ascii="Arial" w:cs="Arial" w:eastAsia="Arial" w:hAnsi="Arial"/>
          <w:sz w:val="14"/>
          <w:szCs w:val="14"/>
          <w:b w:val="1"/>
          <w:bCs w:val="1"/>
          <w:u w:val="single" w:color="auto"/>
          <w:color w:val="auto"/>
        </w:rPr>
        <w:t>December 31,</w:t>
      </w:r>
    </w:p>
    <w:p>
      <w:pPr>
        <w:spacing w:after="0" w:line="136" w:lineRule="exact"/>
        <w:rPr>
          <w:sz w:val="20"/>
          <w:szCs w:val="20"/>
          <w:color w:val="auto"/>
        </w:rPr>
      </w:pPr>
    </w:p>
    <w:tbl>
      <w:tblPr>
        <w:tblLayout w:type="fixed"/>
        <w:tblInd w:w="1820" w:type="dxa"/>
        <w:tblCellMar>
          <w:top w:w="0" w:type="dxa"/>
          <w:left w:w="0" w:type="dxa"/>
          <w:bottom w:w="0" w:type="dxa"/>
          <w:right w:w="0" w:type="dxa"/>
        </w:tblCellMar>
      </w:tblPr>
      <w:tr>
        <w:trPr>
          <w:trHeight w:val="230"/>
        </w:trPr>
        <w:tc>
          <w:tcPr>
            <w:tcW w:w="22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9"/>
              </w:rPr>
              <w:t>2019</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1,720,498</w:t>
            </w:r>
          </w:p>
        </w:tc>
      </w:tr>
      <w:tr>
        <w:trPr>
          <w:trHeight w:val="230"/>
        </w:trPr>
        <w:tc>
          <w:tcPr>
            <w:tcW w:w="2240" w:type="dxa"/>
            <w:vAlign w:val="bottom"/>
          </w:tcPr>
          <w:p>
            <w:pPr>
              <w:jc w:val="center"/>
              <w:ind w:left="70"/>
              <w:spacing w:after="0"/>
              <w:rPr>
                <w:sz w:val="20"/>
                <w:szCs w:val="20"/>
                <w:color w:val="auto"/>
              </w:rPr>
            </w:pPr>
            <w:r>
              <w:rPr>
                <w:rFonts w:ascii="Arial" w:cs="Arial" w:eastAsia="Arial" w:hAnsi="Arial"/>
                <w:sz w:val="18"/>
                <w:szCs w:val="18"/>
                <w:color w:val="auto"/>
                <w:w w:val="99"/>
              </w:rPr>
              <w:t>2020</w:t>
            </w:r>
          </w:p>
        </w:tc>
        <w:tc>
          <w:tcPr>
            <w:tcW w:w="8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1,654,449</w:t>
            </w:r>
          </w:p>
        </w:tc>
      </w:tr>
      <w:tr>
        <w:trPr>
          <w:trHeight w:val="230"/>
        </w:trPr>
        <w:tc>
          <w:tcPr>
            <w:tcW w:w="22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9"/>
              </w:rPr>
              <w:t>2021</w:t>
            </w:r>
          </w:p>
        </w:tc>
        <w:tc>
          <w:tcPr>
            <w:tcW w:w="88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1,418,192</w:t>
            </w:r>
          </w:p>
        </w:tc>
      </w:tr>
      <w:tr>
        <w:trPr>
          <w:trHeight w:val="230"/>
        </w:trPr>
        <w:tc>
          <w:tcPr>
            <w:tcW w:w="2240" w:type="dxa"/>
            <w:vAlign w:val="bottom"/>
          </w:tcPr>
          <w:p>
            <w:pPr>
              <w:jc w:val="center"/>
              <w:ind w:left="70"/>
              <w:spacing w:after="0"/>
              <w:rPr>
                <w:sz w:val="20"/>
                <w:szCs w:val="20"/>
                <w:color w:val="auto"/>
              </w:rPr>
            </w:pPr>
            <w:r>
              <w:rPr>
                <w:rFonts w:ascii="Arial" w:cs="Arial" w:eastAsia="Arial" w:hAnsi="Arial"/>
                <w:sz w:val="18"/>
                <w:szCs w:val="18"/>
                <w:color w:val="auto"/>
                <w:w w:val="99"/>
              </w:rPr>
              <w:t>2022</w:t>
            </w:r>
          </w:p>
        </w:tc>
        <w:tc>
          <w:tcPr>
            <w:tcW w:w="8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1,121,703</w:t>
            </w:r>
          </w:p>
        </w:tc>
      </w:tr>
      <w:tr>
        <w:trPr>
          <w:trHeight w:val="230"/>
        </w:trPr>
        <w:tc>
          <w:tcPr>
            <w:tcW w:w="22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9"/>
              </w:rPr>
              <w:t>2023</w:t>
            </w:r>
          </w:p>
        </w:tc>
        <w:tc>
          <w:tcPr>
            <w:tcW w:w="88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448,797</w:t>
            </w:r>
          </w:p>
        </w:tc>
      </w:tr>
      <w:tr>
        <w:trPr>
          <w:trHeight w:val="230"/>
        </w:trPr>
        <w:tc>
          <w:tcPr>
            <w:tcW w:w="2240" w:type="dxa"/>
            <w:vAlign w:val="bottom"/>
            <w:tcBorders>
              <w:bottom w:val="single" w:sz="8" w:color="CCEEFF"/>
            </w:tcBorders>
          </w:tcPr>
          <w:p>
            <w:pPr>
              <w:jc w:val="center"/>
              <w:ind w:left="90"/>
              <w:spacing w:after="0"/>
              <w:rPr>
                <w:sz w:val="20"/>
                <w:szCs w:val="20"/>
                <w:color w:val="auto"/>
              </w:rPr>
            </w:pPr>
            <w:r>
              <w:rPr>
                <w:rFonts w:ascii="Arial" w:cs="Arial" w:eastAsia="Arial" w:hAnsi="Arial"/>
                <w:sz w:val="18"/>
                <w:szCs w:val="18"/>
                <w:color w:val="auto"/>
                <w:w w:val="98"/>
              </w:rPr>
              <w:t>Thereafter</w:t>
            </w:r>
          </w:p>
        </w:tc>
        <w:tc>
          <w:tcPr>
            <w:tcW w:w="88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1,761,082</w:t>
            </w:r>
          </w:p>
        </w:tc>
      </w:tr>
      <w:tr>
        <w:trPr>
          <w:trHeight w:val="217"/>
        </w:trPr>
        <w:tc>
          <w:tcPr>
            <w:tcW w:w="224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4"/>
              </w:rPr>
              <w:t>Total</w:t>
            </w:r>
          </w:p>
        </w:tc>
        <w:tc>
          <w:tcPr>
            <w:tcW w:w="88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8,124,721</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401(k) Savings Plan</w:t>
      </w:r>
    </w:p>
    <w:p>
      <w:pPr>
        <w:spacing w:after="0" w:line="16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Company sponsors a 401(k) retirement savings plan in which the Company makes matching contributions to all eligible employees. The Company’s contributions to the 401(k) plan were approximately $140,000, $23,000 (unaudited) and $0 (unaudited) for the year ended December 31, 2018, 2017 and 2016,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During the ordinary course of the Company’s business, it is subject to various claims and litigation. Management is not aware of any outstanding litigation which would have a significant impact on the Company’s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Related Parties</w:t>
      </w:r>
    </w:p>
    <w:p>
      <w:pPr>
        <w:spacing w:after="0" w:line="16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At December 31, 2018, Calavo owned 37% of the Company. Prior to fiscal year 2016, Calavo was the majority member. Three members of the Company’s board of directors hold seats on Calavo’s board of directors, including Calavo’s Chief Executive Officer. As described in Note 10, Calavo loaned the Company an aggregate total of $15.5 million during the year ended December 31, 2018, of which $2.5 million was repaid during the year. The remaining balance as of December 31, 2018 of $13 million is due on October 31, 2019, with Calavo having the option to extend the due date to November 1, 2020.</w:t>
      </w:r>
    </w:p>
    <w:p>
      <w:pPr>
        <w:spacing w:after="0" w:line="12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Company leased space from Calavo in two pack facilities, in Riverside, CA and Dallas, TX. The leases for these facilities expired in December 2018. Total rent expense relating to leasing with Calavo for the year ended December 31, 2018, 2017 (unaudited) and 2016 (unaudited), amounted to approximately $217,000, $17,000 and $0, respectively. The Company also subleases cold storage space to Calavo under a month-to-month lease which commenced on June 1, 2018 per $15,000 per month.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57543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7543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166" w:lineRule="exact"/>
        <w:rPr>
          <w:sz w:val="20"/>
          <w:szCs w:val="20"/>
          <w:color w:val="auto"/>
        </w:rPr>
      </w:pPr>
    </w:p>
    <w:p>
      <w:pPr>
        <w:ind w:right="99"/>
        <w:spacing w:after="0" w:line="238" w:lineRule="auto"/>
        <w:rPr>
          <w:sz w:val="20"/>
          <w:szCs w:val="20"/>
          <w:color w:val="auto"/>
        </w:rPr>
      </w:pPr>
      <w:r>
        <w:rPr>
          <w:rFonts w:ascii="Arial" w:cs="Arial" w:eastAsia="Arial" w:hAnsi="Arial"/>
          <w:sz w:val="18"/>
          <w:szCs w:val="18"/>
          <w:color w:val="auto"/>
        </w:rPr>
        <w:t>Prior to the Entity Classification Election filed with the Internal Revenue Service on February 27, 2019, and effective December 16, 2018, the Company did not have any deferred tax assets or liabilities, as the Company was an LLC for income tax purposes, and thus the income tax impact of the Company’s operations was passed through to its members. Therefore, the income tax activity presented below relates to the Company’s operations on and subsequent to the effective date of the Entity Classification Election on December 16, 2018.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 (continued)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199" w:lineRule="exact"/>
        <w:rPr>
          <w:sz w:val="20"/>
          <w:szCs w:val="20"/>
          <w:color w:val="auto"/>
        </w:rPr>
      </w:pPr>
    </w:p>
    <w:tbl>
      <w:tblPr>
        <w:tblLayout w:type="fixed"/>
        <w:tblInd w:w="182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333"/>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3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244,224</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641,187</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obsolete inventory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116,955</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124,799</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29,165</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32,994</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(55,925)</w:t>
            </w:r>
          </w:p>
        </w:tc>
      </w:tr>
      <w:tr>
        <w:trPr>
          <w:trHeight w:val="23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(1,133,399)</w:t>
            </w:r>
          </w:p>
        </w:tc>
      </w:tr>
      <w:tr>
        <w:trPr>
          <w:trHeight w:val="217"/>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ind w:right="399"/>
        <w:spacing w:after="0" w:line="246" w:lineRule="auto"/>
        <w:rPr>
          <w:sz w:val="20"/>
          <w:szCs w:val="20"/>
          <w:color w:val="auto"/>
        </w:rPr>
      </w:pPr>
      <w:r>
        <w:rPr>
          <w:rFonts w:ascii="Arial" w:cs="Arial" w:eastAsia="Arial" w:hAnsi="Arial"/>
          <w:sz w:val="18"/>
          <w:szCs w:val="18"/>
          <w:color w:val="auto"/>
        </w:rPr>
        <w:t>The items accounting for the difference between income taxes computed at the federal statutory rate and the provision for income taxes were as follows:</w:t>
      </w:r>
    </w:p>
    <w:p>
      <w:pPr>
        <w:spacing w:after="0" w:line="171" w:lineRule="exact"/>
        <w:rPr>
          <w:sz w:val="20"/>
          <w:szCs w:val="20"/>
          <w:color w:val="auto"/>
        </w:rPr>
      </w:pPr>
    </w:p>
    <w:tbl>
      <w:tblPr>
        <w:tblLayout w:type="fixed"/>
        <w:tblInd w:w="182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74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37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2018</w:t>
            </w:r>
          </w:p>
        </w:tc>
      </w:tr>
      <w:tr>
        <w:trPr>
          <w:trHeight w:val="21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State tax, net of federal benefit</w:t>
            </w:r>
          </w:p>
        </w:tc>
        <w:tc>
          <w:tcPr>
            <w:tcW w:w="17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items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17"/>
        </w:trPr>
        <w:tc>
          <w:tcPr>
            <w:tcW w:w="37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right="139"/>
        <w:spacing w:after="0" w:line="246" w:lineRule="auto"/>
        <w:rPr>
          <w:sz w:val="20"/>
          <w:szCs w:val="20"/>
          <w:color w:val="auto"/>
        </w:rPr>
      </w:pPr>
      <w:r>
        <w:rPr>
          <w:rFonts w:ascii="Arial" w:cs="Arial" w:eastAsia="Arial" w:hAnsi="Arial"/>
          <w:sz w:val="18"/>
          <w:szCs w:val="18"/>
          <w:color w:val="auto"/>
        </w:rPr>
        <w:t>The Company has net operating losses of approximately $835,000 as of December 31, 2018 that expire in 2038 for federal and state purposes.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Vendor and Customer Concentrations</w:t>
      </w:r>
    </w:p>
    <w:p>
      <w:pPr>
        <w:spacing w:after="0" w:line="153" w:lineRule="exact"/>
        <w:rPr>
          <w:sz w:val="20"/>
          <w:szCs w:val="20"/>
          <w:color w:val="auto"/>
        </w:rPr>
      </w:pPr>
    </w:p>
    <w:p>
      <w:pPr>
        <w:ind w:right="339"/>
        <w:spacing w:after="0" w:line="239" w:lineRule="auto"/>
        <w:rPr>
          <w:sz w:val="20"/>
          <w:szCs w:val="20"/>
          <w:color w:val="auto"/>
        </w:rPr>
      </w:pPr>
      <w:r>
        <w:rPr>
          <w:rFonts w:ascii="Arial" w:cs="Arial" w:eastAsia="Arial" w:hAnsi="Arial"/>
          <w:sz w:val="18"/>
          <w:szCs w:val="18"/>
          <w:color w:val="auto"/>
        </w:rPr>
        <w:t>The Company acquires goods from various vendor sources. The Company had one vendor which comprised 16.7% and 18.1% of total purchases during the year ended December 31, 2018 and 2017 (unaudited), respectively. During the year ended December 31, 2016 (unaudited), the Company had three vendors which comprised 15.3%, 15.1% and 11.7%, respectively, of total purchases during the year.</w:t>
      </w:r>
    </w:p>
    <w:p>
      <w:pPr>
        <w:spacing w:after="0" w:line="134" w:lineRule="exact"/>
        <w:rPr>
          <w:sz w:val="20"/>
          <w:szCs w:val="20"/>
          <w:color w:val="auto"/>
        </w:rPr>
      </w:pPr>
    </w:p>
    <w:p>
      <w:pPr>
        <w:ind w:right="419"/>
        <w:spacing w:after="0" w:line="246" w:lineRule="auto"/>
        <w:rPr>
          <w:sz w:val="20"/>
          <w:szCs w:val="20"/>
          <w:color w:val="auto"/>
        </w:rPr>
      </w:pPr>
      <w:r>
        <w:rPr>
          <w:rFonts w:ascii="Arial" w:cs="Arial" w:eastAsia="Arial" w:hAnsi="Arial"/>
          <w:sz w:val="18"/>
          <w:szCs w:val="18"/>
          <w:color w:val="auto"/>
        </w:rPr>
        <w:t>The Company sells its products to a very select number of customers. During the year ended December 31, 2018, the Company had two significant customers which comprised 80.9% and 12.8%, respectively, of net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ind w:left="5980"/>
        <w:spacing w:after="0"/>
        <w:rPr>
          <w:sz w:val="20"/>
          <w:szCs w:val="20"/>
          <w:color w:val="auto"/>
        </w:rPr>
      </w:pPr>
      <w:r>
        <w:rPr>
          <w:rFonts w:ascii="Arial" w:cs="Arial" w:eastAsia="Arial" w:hAnsi="Arial"/>
          <w:sz w:val="21"/>
          <w:szCs w:val="21"/>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57543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17"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revenue. During the year ended December 31, 2017 (unaudited), the Company had three significant customers which compromised 63.5%, 20.3% and 15.3%, respectively, of net revenue. During the year ended December 31, 2016 (unaudited), the Company had two significant customers which comprised 78.2%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575437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1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FreshRealm, LLC</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75437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Vendor and Customer Concentrations (continued)</w:t>
      </w:r>
    </w:p>
    <w:p>
      <w:pPr>
        <w:spacing w:after="0" w:line="15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and 20.0%, respectively, of net revenue. The Company had two customers which comprised 61.5% and 17%, respectively, of accounts receivable at December 31, 2018. The Company had two customers which comprised 50.9% and 36.7%, respectively, of accounts receivable at December 31, 2017 (unaudited).</w:t>
      </w:r>
    </w:p>
    <w:p>
      <w:pPr>
        <w:spacing w:after="0" w:line="135"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The Company terminated its relationship with its most significant customer in December 2018. Sales to this customer continued through February 2019, after which point the Company does not expect to generate any future revenue from this customer.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153"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During January 2019, the Company received another $6.5 million in short-term loans from Calavo. The notes bear interest at 10% per annum and are due on October 31, 2019. Calavo has the option to extend the repayment date to November 1, 2020.</w:t>
      </w:r>
    </w:p>
    <w:p>
      <w:pPr>
        <w:spacing w:after="0" w:line="13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In February 2019, the Company entered into a supply agreement with a large multi-national retailer. Calavo co-signed an addendum to this agreement to provide assurance to the customer that Calvo will assume responsibility for performance, in the event the Company cannot perform, provided that the customer must work in good faith to make reasonable adjustments to logistical elements in the contract, if requested by Calavo.</w:t>
      </w:r>
    </w:p>
    <w:p>
      <w:pPr>
        <w:spacing w:after="0" w:line="1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February 27, 2019, the Company filed an Entity Classification Election with the Internal Revenue Service to be treated as a corporation for U.S. federal income tax purposes effective December 16, 2018 (see Note 13).</w:t>
      </w:r>
    </w:p>
    <w:p>
      <w:pPr>
        <w:spacing w:after="0" w:line="116"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auto"/>
        </w:rPr>
        <w:t>On March 4, 2019, the Company received another $1.5 million in notes payable from Calavo. The notes bear interest at 10% per annum and are due on October 31, 2019. Calavo has the option to extend the repayment date to November 1, 2020.</w:t>
      </w:r>
    </w:p>
    <w:p>
      <w:pPr>
        <w:spacing w:after="0" w:line="135"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On March 5, 2019, the Company entered into an agreement for cold storage space and services with Calavo. Under the terms of the agreement, Calavo provides the Company cold storage space at a facility in Jacksonville, Florida from March 15, 2019 through December 31, 2019 at a rate of $30,540 per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575437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sectPr>
      <w:pgSz w:w="11900" w:h="16838" w:orient="portrait"/>
      <w:cols w:equalWidth="0" w:num="1">
        <w:col w:w="9060"/>
      </w:cols>
      <w:pgMar w:left="1420" w:top="140"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32"/>
    </w:lvl>
  </w:abstractNum>
  <w:abstractNum w:abstractNumId="3">
    <w:nsid w:val="1F16E9E8"/>
    <w:multiLevelType w:val="hybridMultilevel"/>
    <w:lvl w:ilvl="0">
      <w:lvlJc w:val="left"/>
      <w:lvlText w:val="*"/>
      <w:numFmt w:val="bullet"/>
      <w:start w:val="1"/>
    </w:lvl>
    <w:lvl w:ilvl="1">
      <w:lvlJc w:val="left"/>
      <w:lvlText w:val="%2"/>
      <w:numFmt w:val="decimal"/>
      <w:start w:val="101"/>
    </w:lvl>
  </w:abstractNum>
  <w:abstractNum w:abstractNumId="4">
    <w:nsid w:val="1190CDE7"/>
    <w:multiLevelType w:val="hybridMultilevel"/>
    <w:lvl w:ilvl="0">
      <w:lvlJc w:val="left"/>
      <w:lvlText w:val="1"/>
      <w:numFmt w:val="bullet"/>
      <w:start w:val="1"/>
    </w:lvl>
  </w:abstractNum>
  <w:abstractNum w:abstractNumId="5">
    <w:nsid w:val="66EF438D"/>
    <w:multiLevelType w:val="hybridMultilevel"/>
    <w:lvl w:ilvl="0">
      <w:lvlJc w:val="left"/>
      <w:lvlText w:val="2"/>
      <w:numFmt w:val="bullet"/>
      <w:start w:val="1"/>
    </w:lvl>
  </w:abstractNum>
  <w:abstractNum w:abstractNumId="6">
    <w:nsid w:val="140E0F76"/>
    <w:multiLevelType w:val="hybridMultilevel"/>
    <w:lvl w:ilvl="0">
      <w:lvlJc w:val="left"/>
      <w:lvlText w:val="3"/>
      <w:numFmt w:val="bullet"/>
      <w:start w:val="1"/>
    </w:lvl>
  </w:abstractNum>
  <w:abstractNum w:abstractNumId="7">
    <w:nsid w:val="3352255A"/>
    <w:multiLevelType w:val="hybridMultilevel"/>
    <w:lvl w:ilvl="0">
      <w:lvlJc w:val="left"/>
      <w:lvlText w:val="4"/>
      <w:numFmt w:val="bullet"/>
      <w:start w:val="1"/>
    </w:lvl>
  </w:abstractNum>
  <w:abstractNum w:abstractNumId="8">
    <w:nsid w:val="109CF92E"/>
    <w:multiLevelType w:val="hybridMultilevel"/>
    <w:lvl w:ilvl="0">
      <w:lvlJc w:val="left"/>
      <w:lvlText w:val="5"/>
      <w:numFmt w:val="bullet"/>
      <w:start w:val="1"/>
    </w:lvl>
  </w:abstractNum>
  <w:abstractNum w:abstractNumId="9">
    <w:nsid w:val="DED7263"/>
    <w:multiLevelType w:val="hybridMultilevel"/>
    <w:lvl w:ilvl="0">
      <w:lvlJc w:val="left"/>
      <w:lvlText w:val="6"/>
      <w:numFmt w:val="bullet"/>
      <w:start w:val="1"/>
    </w:lvl>
  </w:abstractNum>
  <w:abstractNum w:abstractNumId="10">
    <w:nsid w:val="7FDCC233"/>
    <w:multiLevelType w:val="hybridMultilevel"/>
    <w:lvl w:ilvl="0">
      <w:lvlJc w:val="left"/>
      <w:lvlText w:val="7"/>
      <w:numFmt w:val="bullet"/>
      <w:start w:val="1"/>
    </w:lvl>
  </w:abstractNum>
  <w:abstractNum w:abstractNumId="11">
    <w:nsid w:val="1BEFD79F"/>
    <w:multiLevelType w:val="hybridMultilevel"/>
    <w:lvl w:ilvl="0">
      <w:lvlJc w:val="left"/>
      <w:lvlText w:val="8"/>
      <w:numFmt w:val="bullet"/>
      <w:start w:val="1"/>
    </w:lvl>
  </w:abstractNum>
  <w:abstractNum w:abstractNumId="12">
    <w:nsid w:val="41A7C4C9"/>
    <w:multiLevelType w:val="hybridMultilevel"/>
    <w:lvl w:ilvl="0">
      <w:lvlJc w:val="left"/>
      <w:lvlText w:val="9"/>
      <w:numFmt w:val="bullet"/>
      <w:start w:val="1"/>
    </w:lvl>
  </w:abstractNum>
  <w:abstractNum w:abstractNumId="13">
    <w:nsid w:val="6B68079A"/>
    <w:multiLevelType w:val="hybridMultilevel"/>
    <w:lvl w:ilvl="0">
      <w:lvlJc w:val="left"/>
      <w:lvlText w:val="%1"/>
      <w:numFmt w:val="decimal"/>
      <w:start w:val="10"/>
    </w:lvl>
  </w:abstractNum>
  <w:abstractNum w:abstractNumId="14">
    <w:nsid w:val="4E6AFB66"/>
    <w:multiLevelType w:val="hybridMultilevel"/>
    <w:lvl w:ilvl="0">
      <w:lvlJc w:val="left"/>
      <w:lvlText w:val="%1"/>
      <w:numFmt w:val="decimal"/>
      <w:start w:val="14"/>
    </w:lvl>
  </w:abstractNum>
  <w:abstractNum w:abstractNumId="15">
    <w:nsid w:val="25E45D32"/>
    <w:multiLevelType w:val="hybridMultilevel"/>
    <w:lvl w:ilvl="0">
      <w:lvlJc w:val="left"/>
      <w:lvlText w:val="%1"/>
      <w:numFmt w:val="decimal"/>
      <w:start w:val="32"/>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33" Type="http://schemas.openxmlformats.org/officeDocument/2006/relationships/image" Target="media/image8.png"/><Relationship Id="rId39" Type="http://schemas.openxmlformats.org/officeDocument/2006/relationships/image" Target="media/image9.png"/><Relationship Id="rId41" Type="http://schemas.openxmlformats.org/officeDocument/2006/relationships/image" Target="media/image10.png"/><Relationship Id="rId45" Type="http://schemas.openxmlformats.org/officeDocument/2006/relationships/image" Target="media/image11.png"/><Relationship Id="rId47" Type="http://schemas.openxmlformats.org/officeDocument/2006/relationships/image" Target="media/image12.png"/><Relationship Id="rId49" Type="http://schemas.openxmlformats.org/officeDocument/2006/relationships/image" Target="media/image13.png"/><Relationship Id="rId52" Type="http://schemas.openxmlformats.org/officeDocument/2006/relationships/image" Target="media/image14.png"/><Relationship Id="rId54" Type="http://schemas.openxmlformats.org/officeDocument/2006/relationships/image" Target="media/image15.png"/><Relationship Id="rId56" Type="http://schemas.openxmlformats.org/officeDocument/2006/relationships/image" Target="media/image16.png"/><Relationship Id="rId58" Type="http://schemas.openxmlformats.org/officeDocument/2006/relationships/image" Target="media/image17.png"/><Relationship Id="rId60" Type="http://schemas.openxmlformats.org/officeDocument/2006/relationships/image" Target="media/image18.png"/><Relationship Id="rId62" Type="http://schemas.openxmlformats.org/officeDocument/2006/relationships/image" Target="media/image19.png"/><Relationship Id="rId64" Type="http://schemas.openxmlformats.org/officeDocument/2006/relationships/image" Target="media/image20.png"/><Relationship Id="rId66" Type="http://schemas.openxmlformats.org/officeDocument/2006/relationships/image" Target="media/image21.png"/><Relationship Id="rId69" Type="http://schemas.openxmlformats.org/officeDocument/2006/relationships/image" Target="media/image22.png"/><Relationship Id="rId71" Type="http://schemas.openxmlformats.org/officeDocument/2006/relationships/image" Target="media/image23.png"/><Relationship Id="rId73" Type="http://schemas.openxmlformats.org/officeDocument/2006/relationships/image" Target="media/image24.png"/><Relationship Id="rId75" Type="http://schemas.openxmlformats.org/officeDocument/2006/relationships/image" Target="media/image25.png"/><Relationship Id="rId77" Type="http://schemas.openxmlformats.org/officeDocument/2006/relationships/image" Target="media/image26.png"/><Relationship Id="rId80" Type="http://schemas.openxmlformats.org/officeDocument/2006/relationships/image" Target="media/image27.png"/><Relationship Id="rId81" Type="http://schemas.openxmlformats.org/officeDocument/2006/relationships/image" Target="media/image28.png"/><Relationship Id="rId82" Type="http://schemas.openxmlformats.org/officeDocument/2006/relationships/image" Target="media/image29.png"/><Relationship Id="rId83" Type="http://schemas.openxmlformats.org/officeDocument/2006/relationships/image" Target="media/image30.png"/><Relationship Id="rId84" Type="http://schemas.openxmlformats.org/officeDocument/2006/relationships/image" Target="media/image31.png"/><Relationship Id="rId85" Type="http://schemas.openxmlformats.org/officeDocument/2006/relationships/image" Target="media/image32.png"/><Relationship Id="rId86" Type="http://schemas.openxmlformats.org/officeDocument/2006/relationships/image" Target="media/image33.png"/><Relationship Id="rId87" Type="http://schemas.openxmlformats.org/officeDocument/2006/relationships/image" Target="media/image34.png"/><Relationship Id="rId88" Type="http://schemas.openxmlformats.org/officeDocument/2006/relationships/image" Target="media/image35.png"/><Relationship Id="rId89" Type="http://schemas.openxmlformats.org/officeDocument/2006/relationships/image" Target="media/image36.png"/><Relationship Id="rId90" Type="http://schemas.openxmlformats.org/officeDocument/2006/relationships/image" Target="media/image37.png"/><Relationship Id="rId91" Type="http://schemas.openxmlformats.org/officeDocument/2006/relationships/image" Target="media/image38.png"/><Relationship Id="rId92" Type="http://schemas.openxmlformats.org/officeDocument/2006/relationships/image" Target="media/image39.png"/><Relationship Id="rId93" Type="http://schemas.openxmlformats.org/officeDocument/2006/relationships/image" Target="media/image40.png"/><Relationship Id="rId94" Type="http://schemas.openxmlformats.org/officeDocument/2006/relationships/image" Target="media/image41.png"/><Relationship Id="rId95" Type="http://schemas.openxmlformats.org/officeDocument/2006/relationships/image" Target="media/image42.png"/><Relationship Id="rId96" Type="http://schemas.openxmlformats.org/officeDocument/2006/relationships/image" Target="media/image43.png"/><Relationship Id="rId97" Type="http://schemas.openxmlformats.org/officeDocument/2006/relationships/image" Target="media/image44.png"/><Relationship Id="rId98" Type="http://schemas.openxmlformats.org/officeDocument/2006/relationships/image" Target="media/image45.png"/><Relationship Id="rId99" Type="http://schemas.openxmlformats.org/officeDocument/2006/relationships/image" Target="media/image46.png"/><Relationship Id="rId100" Type="http://schemas.openxmlformats.org/officeDocument/2006/relationships/image" Target="media/image47.png"/><Relationship Id="rId101" Type="http://schemas.openxmlformats.org/officeDocument/2006/relationships/image" Target="media/image48.png"/><Relationship Id="rId102" Type="http://schemas.openxmlformats.org/officeDocument/2006/relationships/image" Target="media/image49.png"/><Relationship Id="rId103" Type="http://schemas.openxmlformats.org/officeDocument/2006/relationships/image" Target="media/image50.png"/><Relationship Id="rId104" Type="http://schemas.openxmlformats.org/officeDocument/2006/relationships/image" Target="media/image51.png"/><Relationship Id="rId105" Type="http://schemas.openxmlformats.org/officeDocument/2006/relationships/image" Target="media/image52.png"/><Relationship Id="rId106" Type="http://schemas.openxmlformats.org/officeDocument/2006/relationships/image" Target="media/image53.png"/><Relationship Id="rId107" Type="http://schemas.openxmlformats.org/officeDocument/2006/relationships/image" Target="media/image54.png"/><Relationship Id="rId108" Type="http://schemas.openxmlformats.org/officeDocument/2006/relationships/image" Target="media/image55.png"/><Relationship Id="rId109" Type="http://schemas.openxmlformats.org/officeDocument/2006/relationships/image" Target="media/image56.png"/><Relationship Id="rId110" Type="http://schemas.openxmlformats.org/officeDocument/2006/relationships/image" Target="media/image57.png"/><Relationship Id="rId111" Type="http://schemas.openxmlformats.org/officeDocument/2006/relationships/image" Target="media/image58.png"/><Relationship Id="rId112" Type="http://schemas.openxmlformats.org/officeDocument/2006/relationships/image" Target="media/image59.png"/><Relationship Id="rId113" Type="http://schemas.openxmlformats.org/officeDocument/2006/relationships/image" Target="media/image60.png"/><Relationship Id="rId114" Type="http://schemas.openxmlformats.org/officeDocument/2006/relationships/image" Target="media/image61.png"/><Relationship Id="rId115" Type="http://schemas.openxmlformats.org/officeDocument/2006/relationships/image" Target="media/image62.png"/><Relationship Id="rId116" Type="http://schemas.openxmlformats.org/officeDocument/2006/relationships/image" Target="media/image63.png"/><Relationship Id="rId117" Type="http://schemas.openxmlformats.org/officeDocument/2006/relationships/image" Target="media/image64.png"/><Relationship Id="rId118" Type="http://schemas.openxmlformats.org/officeDocument/2006/relationships/image" Target="media/image65.png"/><Relationship Id="rId119" Type="http://schemas.openxmlformats.org/officeDocument/2006/relationships/image" Target="media/image66.png"/><Relationship Id="rId120" Type="http://schemas.openxmlformats.org/officeDocument/2006/relationships/image" Target="media/image67.png"/><Relationship Id="rId121" Type="http://schemas.openxmlformats.org/officeDocument/2006/relationships/image" Target="media/image68.png"/><Relationship Id="rId122" Type="http://schemas.openxmlformats.org/officeDocument/2006/relationships/image" Target="media/image69.png"/><Relationship Id="rId123" Type="http://schemas.openxmlformats.org/officeDocument/2006/relationships/image" Target="media/image70.png"/><Relationship Id="rId124" Type="http://schemas.openxmlformats.org/officeDocument/2006/relationships/image" Target="media/image71.png"/><Relationship Id="rId125" Type="http://schemas.openxmlformats.org/officeDocument/2006/relationships/image" Target="media/image72.png"/><Relationship Id="rId126" Type="http://schemas.openxmlformats.org/officeDocument/2006/relationships/image" Target="media/image73.png"/><Relationship Id="rId127" Type="http://schemas.openxmlformats.org/officeDocument/2006/relationships/image" Target="media/image74.png"/><Relationship Id="rId128" Type="http://schemas.openxmlformats.org/officeDocument/2006/relationships/image" Target="media/image75.png"/><Relationship Id="rId129" Type="http://schemas.openxmlformats.org/officeDocument/2006/relationships/image" Target="media/image76.png"/><Relationship Id="rId130" Type="http://schemas.openxmlformats.org/officeDocument/2006/relationships/image" Target="media/image77.png"/><Relationship Id="rId131" Type="http://schemas.openxmlformats.org/officeDocument/2006/relationships/image" Target="media/image78.png"/><Relationship Id="rId132" Type="http://schemas.openxmlformats.org/officeDocument/2006/relationships/image" Target="media/image79.png"/><Relationship Id="rId133" Type="http://schemas.openxmlformats.org/officeDocument/2006/relationships/image" Target="media/image80.png"/><Relationship Id="rId134" Type="http://schemas.openxmlformats.org/officeDocument/2006/relationships/image" Target="media/image81.png"/><Relationship Id="rId135" Type="http://schemas.openxmlformats.org/officeDocument/2006/relationships/image" Target="media/image82.png"/><Relationship Id="rId136" Type="http://schemas.openxmlformats.org/officeDocument/2006/relationships/image" Target="media/image83.png"/><Relationship Id="rId137" Type="http://schemas.openxmlformats.org/officeDocument/2006/relationships/image" Target="media/image84.png"/><Relationship Id="rId138" Type="http://schemas.openxmlformats.org/officeDocument/2006/relationships/image" Target="media/image85.png"/><Relationship Id="rId139" Type="http://schemas.openxmlformats.org/officeDocument/2006/relationships/image" Target="media/image86.png"/><Relationship Id="rId140"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 Type="http://schemas.openxmlformats.org/officeDocument/2006/relationships/hyperlink" Target="http://www.sec.gov/Archives/edgar/data/1133470/000095014801500411/v70569ex2-1.txt" TargetMode="External"/><Relationship Id="rId16" Type="http://schemas.openxmlformats.org/officeDocument/2006/relationships/hyperlink" Target="http://www.sec.gov/Archives/edgar/data/1133470/000095014804000129/v95808exv2w2.txt" TargetMode="External"/><Relationship Id="rId17" Type="http://schemas.openxmlformats.org/officeDocument/2006/relationships/hyperlink" Target="http://www.sec.gov/Archives/edgar/data/1133470/000095012905006084/v09841exv10w1.htm" TargetMode="External"/><Relationship Id="rId18" Type="http://schemas.openxmlformats.org/officeDocument/2006/relationships/hyperlink" Target="http://www.sec.gov/Archives/edgar/data/1133470/000095012408002518/v41085exv2w1.htm" TargetMode="External"/><Relationship Id="rId19" Type="http://schemas.openxmlformats.org/officeDocument/2006/relationships/hyperlink" Target="http://www.sec.gov/Archives/edgar/data/1133470/000095012310023590/v55403exv10w3.htm" TargetMode="External"/><Relationship Id="rId20" Type="http://schemas.openxmlformats.org/officeDocument/2006/relationships/hyperlink" Target="http://www.sec.gov/Archives/edgar/data/1133470/000119312512008063/d280367dex21.htm" TargetMode="External"/><Relationship Id="rId21" Type="http://schemas.openxmlformats.org/officeDocument/2006/relationships/hyperlink" Target="http://www.sec.gov/Archives/edgar/data/1133470/000119312512454567/d435941dex101.htm" TargetMode="External"/><Relationship Id="rId22" Type="http://schemas.openxmlformats.org/officeDocument/2006/relationships/hyperlink" Target="http://www.sec.gov/Archives/edgar/data/1133470/000119312513357144/d592266dex101.htm" TargetMode="External"/><Relationship Id="rId23" Type="http://schemas.openxmlformats.org/officeDocument/2006/relationships/hyperlink" Target="http://www.sec.gov/Archives/edgar/data/1133470/000119312513360154/d576441dex102.htm" TargetMode="External"/><Relationship Id="rId24" Type="http://schemas.openxmlformats.org/officeDocument/2006/relationships/hyperlink" Target="http://www.sec.gov/Archives/edgar/data/1133470/000119312513455104/d636762dex101.htm" TargetMode="External"/><Relationship Id="rId25" Type="http://schemas.openxmlformats.org/officeDocument/2006/relationships/hyperlink" Target="http://www.sec.gov/Archives/edgar/data/1133470/000095014801500411/v70569ex3-1.txt" TargetMode="External"/><Relationship Id="rId26" Type="http://schemas.openxmlformats.org/officeDocument/2006/relationships/hyperlink" Target="http://www.sec.gov/Archives/edgar/data/1133470/000095014802002970/v86640exv99w1.htm" TargetMode="External"/><Relationship Id="rId27" Type="http://schemas.openxmlformats.org/officeDocument/2006/relationships/hyperlink" Target="http://www.sec.gov/Archives/edgar/data/1133470/000095012311030833/0000950123-11-030833.txt" TargetMode="External"/><Relationship Id="rId28" Type="http://schemas.openxmlformats.org/officeDocument/2006/relationships/hyperlink" Target="http://www.sec.gov/Archives/edgar/data/1133470/000119312514358632/d795671dex34.htm" TargetMode="External"/><Relationship Id="rId29" Type="http://schemas.openxmlformats.org/officeDocument/2006/relationships/hyperlink" Target="http://www.sec.gov/Archives/edgar/data/1133470/000095014803000098/v87183exv10w1.htm" TargetMode="External"/><Relationship Id="rId30" Type="http://schemas.openxmlformats.org/officeDocument/2006/relationships/hyperlink" Target="http://www.sec.gov/Archives/edgar/data/1133470/000095014801500411/v70569ex10-2.txt" TargetMode="External"/><Relationship Id="rId31" Type="http://schemas.openxmlformats.org/officeDocument/2006/relationships/hyperlink" Target="http://www.sec.gov/Archives/edgar/data/1133470/000095014801500411/v70569ex10-4.txt" TargetMode="External"/><Relationship Id="rId32" Type="http://schemas.openxmlformats.org/officeDocument/2006/relationships/hyperlink" Target="http://www.sec.gov/Archives/edgar/data/1133470/000095012905006084/v09841exv10w2.htm" TargetMode="External"/><Relationship Id="rId34" Type="http://schemas.openxmlformats.org/officeDocument/2006/relationships/hyperlink" Target="http://www.sec.gov/Archives/edgar/data/1133470/000095012905006084/v09841exv10w4.htm" TargetMode="External"/><Relationship Id="rId35" Type="http://schemas.openxmlformats.org/officeDocument/2006/relationships/hyperlink" Target="http://www.sec.gov/Archives/edgar/data/1133470/000095012905006084/v09841exv10w3.htm" TargetMode="External"/><Relationship Id="rId36" Type="http://schemas.openxmlformats.org/officeDocument/2006/relationships/hyperlink" Target="http://www.sec.gov/Archives/edgar/data/1133470/000095014801500411/v70569ex10-13.txt" TargetMode="External"/><Relationship Id="rId37" Type="http://schemas.openxmlformats.org/officeDocument/2006/relationships/hyperlink" Target="http://www.sec.gov/Archives/edgar/data/1133470/000095014801500411/v70569ex10-14.txt" TargetMode="External"/><Relationship Id="rId38" Type="http://schemas.openxmlformats.org/officeDocument/2006/relationships/hyperlink" Target="http://www.sec.gov/Archives/edgar/data/1133470/000119312513360154/d576441dex103.htm" TargetMode="External"/><Relationship Id="rId40" Type="http://schemas.openxmlformats.org/officeDocument/2006/relationships/hyperlink" Target="http://www.sec.gov/Archives/edgar/data/1133470/000095012311002615/v58339exv10w18.htm" TargetMode="External"/><Relationship Id="rId42" Type="http://schemas.openxmlformats.org/officeDocument/2006/relationships/hyperlink" Target="http://www.sec.gov/Archives/edgar/data/1133470/000119312512454567/d435941dex102.htm" TargetMode="External"/><Relationship Id="rId43" Type="http://schemas.openxmlformats.org/officeDocument/2006/relationships/hyperlink" Target="http://www.sec.gov/Archives/edgar/data/1133470/000119312512454567/d435941dex103.htm" TargetMode="External"/><Relationship Id="rId44" Type="http://schemas.openxmlformats.org/officeDocument/2006/relationships/hyperlink" Target="http://www.sec.gov/Archives/edgar/data/1133470/000119312512454567/d435941dex104.htm" TargetMode="External"/><Relationship Id="rId46" Type="http://schemas.openxmlformats.org/officeDocument/2006/relationships/hyperlink" Target="http://www.sec.gov/Archives/edgar/data/1133470/000119312512454567/d435941dex105.htm" TargetMode="External"/><Relationship Id="rId48" Type="http://schemas.openxmlformats.org/officeDocument/2006/relationships/hyperlink" Target="http://www.sec.gov/Archives/edgar/data/1133470/000155837016010634/cvgw-20161031ex10351237a.htm" TargetMode="External"/><Relationship Id="rId50" Type="http://schemas.openxmlformats.org/officeDocument/2006/relationships/hyperlink" Target="http://www.sec.gov/Archives/edgar/data/1133470/000119312515264163/d40593dex101.htm" TargetMode="External"/><Relationship Id="rId51" Type="http://schemas.openxmlformats.org/officeDocument/2006/relationships/hyperlink" Target="http://www.sec.gov/Archives/edgar/data/1133470/000119312516436927/d273047dex101.htm" TargetMode="External"/><Relationship Id="rId53" Type="http://schemas.openxmlformats.org/officeDocument/2006/relationships/hyperlink" Target="http://www.sec.gov/Archives/edgar/data/1133470/000119312516436927/d273047dex102.htm" TargetMode="External"/><Relationship Id="rId55" Type="http://schemas.openxmlformats.org/officeDocument/2006/relationships/hyperlink" Target="http://www.sec.gov/Archives/edgar/data/1133470/000119312516446268/d21889dex101.htm" TargetMode="External"/><Relationship Id="rId57" Type="http://schemas.openxmlformats.org/officeDocument/2006/relationships/hyperlink" Target="http://www.sec.gov/Archives/edgar/data/1133470/000119312516446268/d21889dex102.htm" TargetMode="External"/><Relationship Id="rId59" Type="http://schemas.openxmlformats.org/officeDocument/2006/relationships/hyperlink" Target="http://www.sec.gov/Archives/edgar/data/1133470/000119312516446268/d21889dex103.htm" TargetMode="External"/><Relationship Id="rId61" Type="http://schemas.openxmlformats.org/officeDocument/2006/relationships/hyperlink" Target="http://www.sec.gov/Archives/edgar/data/1133470/000119312516606560/d189178dex101.htm" TargetMode="External"/><Relationship Id="rId63" Type="http://schemas.openxmlformats.org/officeDocument/2006/relationships/hyperlink" Target="http://www.sec.gov/Archives/edgar/data/1133470/000119312516606560/d189178dex102.htm" TargetMode="External"/><Relationship Id="rId65" Type="http://schemas.openxmlformats.org/officeDocument/2006/relationships/hyperlink" Target="http://www.sec.gov/Archives/edgar/data/1133470/000119312516626473/d196963dex101.htm" TargetMode="External"/><Relationship Id="rId67" Type="http://schemas.openxmlformats.org/officeDocument/2006/relationships/hyperlink" Target="http://www.sec.gov/Archives/edgar/data/1133470/000119312516626473/d196963dex102.htm" TargetMode="External"/><Relationship Id="rId68" Type="http://schemas.openxmlformats.org/officeDocument/2006/relationships/hyperlink" Target="http://www.sec.gov/Archives/edgar/data/1133470/000119312516699606/d245542dex101.htm" TargetMode="External"/><Relationship Id="rId70" Type="http://schemas.openxmlformats.org/officeDocument/2006/relationships/hyperlink" Target="http://www.sec.gov/Archives/edgar/data/1133470/000155837016008260/cvgw-20160731ex10123fd08.htm" TargetMode="External"/><Relationship Id="rId72" Type="http://schemas.openxmlformats.org/officeDocument/2006/relationships/hyperlink" Target="http://www.sec.gov/Archives/edgar/data/1133470/000119312516760447/d287729dex101.htm" TargetMode="External"/><Relationship Id="rId74" Type="http://schemas.openxmlformats.org/officeDocument/2006/relationships/hyperlink" Target="http://www.sec.gov/Archives/edgar/data/1133470/000155837018007357/cvgw-20180731ex101007717.htm" TargetMode="External"/><Relationship Id="rId76" Type="http://schemas.openxmlformats.org/officeDocument/2006/relationships/hyperlink" Target="http://www.sec.gov/Archives/edgar/data/1133470/000155837018007357/cvgw-20180731ex102cafedd.htm" TargetMode="External"/><Relationship Id="rId78" Type="http://schemas.openxmlformats.org/officeDocument/2006/relationships/hyperlink" Target="http://www.sec.gov/Archives/edgar/data/1133470/000095014801500411/v70569ex21-1.txt" TargetMode="External"/><Relationship Id="rId79" Type="http://schemas.openxmlformats.org/officeDocument/2006/relationships/hyperlink" Target="http://www.sec.gov/Archives/edgar/data/1133470/000155837018009762/cvgw-20181031ex231d799c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2019-12-03T17:16:30Z</dcterms:created>
  <dcterms:modified xsi:type="dcterms:W3CDTF">2019-12-03T17:16:30Z</dcterms:modified>
</cp:coreProperties>
</file>