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 2022</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21"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60" w:right="159"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544830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167640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September 1, 2022, Calavo Growers, Inc. (Calavo) issued a press release containing our financial results for the three- and nine-month periods ended July 31, 2022. A copy of our press release is attached hereto as Exhibit 99.1 and is incorporated by reference herein.</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 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September 1, 2022 of the Registrant.</w:t>
      </w:r>
    </w:p>
    <w:p>
      <w:pPr>
        <w:spacing w:after="0" w:line="27" w:lineRule="exact"/>
        <w:rPr>
          <w:sz w:val="20"/>
          <w:szCs w:val="20"/>
          <w:color w:val="auto"/>
        </w:rPr>
      </w:pPr>
    </w:p>
    <w:p>
      <w:pPr>
        <w:ind w:left="580" w:hanging="524"/>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1, 2022</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Brian Kocher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President and Chief Executive Officer (Principal Executive</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278130</wp:posOffset>
            </wp:positionV>
            <wp:extent cx="1337310" cy="130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Calavo Growers, Inc. Announces Third Quarter 2022 Financial Results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i w:val="1"/>
          <w:iCs w:val="1"/>
          <w:color w:val="auto"/>
        </w:rPr>
        <w:t>Prepared segment delivers contnued, sequental quarterly improvement</w:t>
      </w:r>
    </w:p>
    <w:p>
      <w:pPr>
        <w:spacing w:after="0" w:line="242" w:lineRule="exact"/>
        <w:rPr>
          <w:sz w:val="20"/>
          <w:szCs w:val="20"/>
          <w:color w:val="auto"/>
        </w:rPr>
      </w:pPr>
    </w:p>
    <w:p>
      <w:pPr>
        <w:jc w:val="both"/>
        <w:ind w:left="60" w:right="419"/>
        <w:spacing w:after="0" w:line="242" w:lineRule="auto"/>
        <w:rPr>
          <w:sz w:val="20"/>
          <w:szCs w:val="20"/>
          <w:color w:val="auto"/>
        </w:rPr>
      </w:pPr>
      <w:r>
        <w:rPr>
          <w:rFonts w:ascii="Calibri" w:cs="Calibri" w:eastAsia="Calibri" w:hAnsi="Calibri"/>
          <w:sz w:val="22"/>
          <w:szCs w:val="22"/>
          <w:b w:val="1"/>
          <w:bCs w:val="1"/>
          <w:color w:val="auto"/>
        </w:rPr>
        <w:t xml:space="preserve">SANTA PAULA, Calif., Sept. 1, 2022—Calavo Growers, Inc. (Nasdaq-GS: CVGW), </w:t>
      </w:r>
      <w:r>
        <w:rPr>
          <w:rFonts w:ascii="Calibri" w:cs="Calibri" w:eastAsia="Calibri" w:hAnsi="Calibri"/>
          <w:sz w:val="22"/>
          <w:szCs w:val="22"/>
          <w:color w:val="auto"/>
        </w:rPr>
        <w:t>a global avocado-industry leader and provider of value-added fresh food, today reported its fnancial results for the fscal third quarter ended July 31, 2022.</w:t>
      </w:r>
    </w:p>
    <w:p>
      <w:pPr>
        <w:spacing w:after="0" w:line="227" w:lineRule="exact"/>
        <w:rPr>
          <w:sz w:val="20"/>
          <w:szCs w:val="20"/>
          <w:color w:val="auto"/>
        </w:rPr>
      </w:pPr>
    </w:p>
    <w:p>
      <w:pPr>
        <w:ind w:left="60" w:right="479"/>
        <w:spacing w:after="0" w:line="242" w:lineRule="auto"/>
        <w:rPr>
          <w:sz w:val="20"/>
          <w:szCs w:val="20"/>
          <w:color w:val="auto"/>
        </w:rPr>
      </w:pPr>
      <w:r>
        <w:rPr>
          <w:rFonts w:ascii="Calibri" w:cs="Calibri" w:eastAsia="Calibri" w:hAnsi="Calibri"/>
          <w:sz w:val="22"/>
          <w:szCs w:val="22"/>
          <w:b w:val="1"/>
          <w:bCs w:val="1"/>
          <w:i w:val="1"/>
          <w:iCs w:val="1"/>
          <w:color w:val="auto"/>
        </w:rPr>
        <w:t xml:space="preserve">Note: </w:t>
      </w:r>
      <w:r>
        <w:rPr>
          <w:rFonts w:ascii="Calibri" w:cs="Calibri" w:eastAsia="Calibri" w:hAnsi="Calibri"/>
          <w:sz w:val="22"/>
          <w:szCs w:val="22"/>
          <w:i w:val="1"/>
          <w:iCs w:val="1"/>
          <w:color w:val="auto"/>
        </w:rPr>
        <w:t>Third quarter results are presented under new reportng segments, Grown and Prepared.</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i w:val="1"/>
          <w:iCs w:val="1"/>
          <w:color w:val="auto"/>
        </w:rPr>
        <w:t>Grown consists of the former Fresh segment while Prepared consists of the former RFG and Foods segments, each of which are now divisions within Prepared.</w:t>
      </w:r>
    </w:p>
    <w:p>
      <w:pPr>
        <w:spacing w:after="0" w:line="217"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Third Quarter Financial Overview</w:t>
      </w:r>
    </w:p>
    <w:p>
      <w:pPr>
        <w:spacing w:after="0" w:line="15" w:lineRule="exact"/>
        <w:rPr>
          <w:sz w:val="20"/>
          <w:szCs w:val="20"/>
          <w:color w:val="auto"/>
        </w:rPr>
      </w:pPr>
    </w:p>
    <w:p>
      <w:pPr>
        <w:ind w:left="700" w:hanging="326"/>
        <w:spacing w:after="0"/>
        <w:tabs>
          <w:tab w:leader="none" w:pos="70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Total revenue of $342.0 million, a 20% increase from prior year</w:t>
      </w:r>
    </w:p>
    <w:p>
      <w:pPr>
        <w:ind w:left="1340" w:hanging="318"/>
        <w:spacing w:after="0" w:line="235" w:lineRule="auto"/>
        <w:tabs>
          <w:tab w:leader="none" w:pos="1340" w:val="left"/>
        </w:tabs>
        <w:numPr>
          <w:ilvl w:val="1"/>
          <w:numId w:val="4"/>
        </w:numPr>
        <w:rPr>
          <w:rFonts w:ascii="Courier New" w:cs="Courier New" w:eastAsia="Courier New" w:hAnsi="Courier New"/>
          <w:sz w:val="22"/>
          <w:szCs w:val="22"/>
          <w:color w:val="auto"/>
        </w:rPr>
      </w:pPr>
      <w:r>
        <w:rPr>
          <w:rFonts w:ascii="Calibri" w:cs="Calibri" w:eastAsia="Calibri" w:hAnsi="Calibri"/>
          <w:sz w:val="22"/>
          <w:szCs w:val="22"/>
          <w:color w:val="auto"/>
        </w:rPr>
        <w:t>Grown segment revenue increased 28% year-over-year to $207.6 million</w:t>
      </w:r>
    </w:p>
    <w:p>
      <w:pPr>
        <w:spacing w:after="0" w:line="54" w:lineRule="exact"/>
        <w:rPr>
          <w:rFonts w:ascii="Courier New" w:cs="Courier New" w:eastAsia="Courier New" w:hAnsi="Courier New"/>
          <w:sz w:val="22"/>
          <w:szCs w:val="22"/>
          <w:color w:val="auto"/>
        </w:rPr>
      </w:pPr>
    </w:p>
    <w:p>
      <w:pPr>
        <w:ind w:left="1340" w:hanging="318"/>
        <w:spacing w:after="0" w:line="183" w:lineRule="auto"/>
        <w:tabs>
          <w:tab w:leader="none" w:pos="1340" w:val="left"/>
        </w:tabs>
        <w:numPr>
          <w:ilvl w:val="1"/>
          <w:numId w:val="4"/>
        </w:numPr>
        <w:rPr>
          <w:rFonts w:ascii="Courier New" w:cs="Courier New" w:eastAsia="Courier New" w:hAnsi="Courier New"/>
          <w:sz w:val="20"/>
          <w:szCs w:val="20"/>
          <w:color w:val="auto"/>
        </w:rPr>
      </w:pPr>
      <w:r>
        <w:rPr>
          <w:rFonts w:ascii="Calibri" w:cs="Calibri" w:eastAsia="Calibri" w:hAnsi="Calibri"/>
          <w:sz w:val="20"/>
          <w:szCs w:val="20"/>
          <w:color w:val="auto"/>
        </w:rPr>
        <w:t>Prepared segment revenue increased 9% year-over-year to $134.9 million</w:t>
      </w:r>
      <w:r>
        <w:rPr>
          <w:rFonts w:ascii="Calibri" w:cs="Calibri" w:eastAsia="Calibri" w:hAnsi="Calibri"/>
          <w:sz w:val="29"/>
          <w:szCs w:val="29"/>
          <w:color w:val="auto"/>
          <w:vertAlign w:val="superscript"/>
        </w:rPr>
        <w:t>1</w:t>
      </w:r>
    </w:p>
    <w:p>
      <w:pPr>
        <w:ind w:left="700" w:right="819" w:hanging="326"/>
        <w:spacing w:after="0" w:line="217" w:lineRule="auto"/>
        <w:tabs>
          <w:tab w:leader="none" w:pos="70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Gross proft of $18.5 million, or 5.4% of revenue, compared to $7.9 million, or 2.8% of revenue, for the year-ago quarter</w:t>
      </w:r>
    </w:p>
    <w:p>
      <w:pPr>
        <w:spacing w:after="0" w:line="8" w:lineRule="exact"/>
        <w:rPr>
          <w:rFonts w:ascii="Times New Roman" w:cs="Times New Roman" w:eastAsia="Times New Roman" w:hAnsi="Times New Roman"/>
          <w:sz w:val="22"/>
          <w:szCs w:val="22"/>
          <w:color w:val="auto"/>
        </w:rPr>
      </w:pPr>
    </w:p>
    <w:p>
      <w:pPr>
        <w:ind w:left="1340" w:hanging="318"/>
        <w:spacing w:after="0"/>
        <w:tabs>
          <w:tab w:leader="none" w:pos="1340" w:val="left"/>
        </w:tabs>
        <w:numPr>
          <w:ilvl w:val="1"/>
          <w:numId w:val="4"/>
        </w:numPr>
        <w:rPr>
          <w:rFonts w:ascii="Courier New" w:cs="Courier New" w:eastAsia="Courier New" w:hAnsi="Courier New"/>
          <w:sz w:val="22"/>
          <w:szCs w:val="22"/>
          <w:color w:val="auto"/>
        </w:rPr>
      </w:pPr>
      <w:r>
        <w:rPr>
          <w:rFonts w:ascii="Calibri" w:cs="Calibri" w:eastAsia="Calibri" w:hAnsi="Calibri"/>
          <w:sz w:val="22"/>
          <w:szCs w:val="22"/>
          <w:color w:val="auto"/>
        </w:rPr>
        <w:t>Grown gross proft decreased $0.4 million from prior year to $11.8 million</w:t>
      </w:r>
    </w:p>
    <w:p>
      <w:pPr>
        <w:spacing w:after="0" w:line="53" w:lineRule="exact"/>
        <w:rPr>
          <w:rFonts w:ascii="Courier New" w:cs="Courier New" w:eastAsia="Courier New" w:hAnsi="Courier New"/>
          <w:sz w:val="22"/>
          <w:szCs w:val="22"/>
          <w:color w:val="auto"/>
        </w:rPr>
      </w:pPr>
    </w:p>
    <w:p>
      <w:pPr>
        <w:ind w:left="1340" w:hanging="318"/>
        <w:spacing w:after="0" w:line="188" w:lineRule="auto"/>
        <w:tabs>
          <w:tab w:leader="none" w:pos="1340" w:val="left"/>
        </w:tabs>
        <w:numPr>
          <w:ilvl w:val="1"/>
          <w:numId w:val="4"/>
        </w:numPr>
        <w:rPr>
          <w:rFonts w:ascii="Courier New" w:cs="Courier New" w:eastAsia="Courier New" w:hAnsi="Courier New"/>
          <w:sz w:val="22"/>
          <w:szCs w:val="22"/>
          <w:color w:val="auto"/>
        </w:rPr>
      </w:pPr>
      <w:r>
        <w:rPr>
          <w:rFonts w:ascii="Calibri" w:cs="Calibri" w:eastAsia="Calibri" w:hAnsi="Calibri"/>
          <w:sz w:val="22"/>
          <w:szCs w:val="22"/>
          <w:color w:val="auto"/>
        </w:rPr>
        <w:t>Prepared gross proft increased $11.1 million from prior year to $6.7 million</w:t>
      </w:r>
    </w:p>
    <w:p>
      <w:pPr>
        <w:spacing w:after="0" w:line="54" w:lineRule="exact"/>
        <w:rPr>
          <w:rFonts w:ascii="Courier New" w:cs="Courier New" w:eastAsia="Courier New" w:hAnsi="Courier New"/>
          <w:sz w:val="22"/>
          <w:szCs w:val="22"/>
          <w:color w:val="auto"/>
        </w:rPr>
      </w:pPr>
    </w:p>
    <w:p>
      <w:pPr>
        <w:ind w:left="700" w:right="79" w:hanging="326"/>
        <w:spacing w:after="0" w:line="217" w:lineRule="auto"/>
        <w:tabs>
          <w:tab w:leader="none" w:pos="70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Net income of $1.3 million, or $0.07 per diluted share, compared to net loss of $(13.0) million, or $(0.74) per diluted share, for the same period last year</w:t>
      </w:r>
    </w:p>
    <w:p>
      <w:pPr>
        <w:spacing w:after="0" w:line="25" w:lineRule="exact"/>
        <w:rPr>
          <w:rFonts w:ascii="Times New Roman" w:cs="Times New Roman" w:eastAsia="Times New Roman" w:hAnsi="Times New Roman"/>
          <w:sz w:val="22"/>
          <w:szCs w:val="22"/>
          <w:color w:val="auto"/>
        </w:rPr>
      </w:pPr>
    </w:p>
    <w:p>
      <w:pPr>
        <w:ind w:left="700" w:right="99" w:hanging="326"/>
        <w:spacing w:after="0" w:line="235" w:lineRule="auto"/>
        <w:tabs>
          <w:tab w:leader="none" w:pos="70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Adjusted net income of $2.9 million, or $0.16 per diluted share, compared to net loss of $(3.0) million, or $(0.17) per diluted share for the year-ago quarter</w:t>
      </w:r>
    </w:p>
    <w:p>
      <w:pPr>
        <w:spacing w:after="0" w:line="27" w:lineRule="exact"/>
        <w:rPr>
          <w:rFonts w:ascii="Times New Roman" w:cs="Times New Roman" w:eastAsia="Times New Roman" w:hAnsi="Times New Roman"/>
          <w:sz w:val="22"/>
          <w:szCs w:val="22"/>
          <w:color w:val="auto"/>
        </w:rPr>
      </w:pPr>
    </w:p>
    <w:p>
      <w:pPr>
        <w:ind w:left="700" w:right="99" w:hanging="326"/>
        <w:spacing w:after="0" w:line="235" w:lineRule="auto"/>
        <w:tabs>
          <w:tab w:leader="none" w:pos="70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Adjusted EBITDA of $8.1 million, or $0.46 per diluted share compared to $1.0 million, or $0.06 per diluted share for the same period last year</w:t>
      </w:r>
    </w:p>
    <w:p>
      <w:pPr>
        <w:spacing w:after="0" w:line="17" w:lineRule="exact"/>
        <w:rPr>
          <w:rFonts w:ascii="Times New Roman" w:cs="Times New Roman" w:eastAsia="Times New Roman" w:hAnsi="Times New Roman"/>
          <w:sz w:val="22"/>
          <w:szCs w:val="22"/>
          <w:color w:val="auto"/>
        </w:rPr>
      </w:pPr>
    </w:p>
    <w:p>
      <w:pPr>
        <w:ind w:left="700" w:hanging="326"/>
        <w:spacing w:after="0"/>
        <w:tabs>
          <w:tab w:leader="none" w:pos="70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Reduced debt balance by $16.3 million</w:t>
      </w:r>
    </w:p>
    <w:p>
      <w:pPr>
        <w:spacing w:after="0" w:line="224" w:lineRule="exact"/>
        <w:rPr>
          <w:sz w:val="20"/>
          <w:szCs w:val="20"/>
          <w:color w:val="auto"/>
        </w:rPr>
      </w:pPr>
    </w:p>
    <w:p>
      <w:pPr>
        <w:ind w:left="60"/>
        <w:spacing w:after="0"/>
        <w:rPr>
          <w:sz w:val="20"/>
          <w:szCs w:val="20"/>
          <w:color w:val="auto"/>
        </w:rPr>
      </w:pPr>
      <w:r>
        <w:rPr>
          <w:rFonts w:ascii="Calibri" w:cs="Calibri" w:eastAsia="Calibri" w:hAnsi="Calibri"/>
          <w:sz w:val="24"/>
          <w:szCs w:val="24"/>
          <w:color w:val="auto"/>
          <w:vertAlign w:val="superscript"/>
        </w:rPr>
        <w:t>1</w:t>
      </w:r>
      <w:r>
        <w:rPr>
          <w:rFonts w:ascii="Calibri" w:cs="Calibri" w:eastAsia="Calibri" w:hAnsi="Calibri"/>
          <w:sz w:val="16"/>
          <w:szCs w:val="16"/>
          <w:color w:val="auto"/>
        </w:rPr>
        <w:t>Prior year periods have been recast to conform to the new segment reportng</w:t>
      </w:r>
    </w:p>
    <w:p>
      <w:pPr>
        <w:spacing w:after="0" w:line="129" w:lineRule="exact"/>
        <w:rPr>
          <w:sz w:val="20"/>
          <w:szCs w:val="20"/>
          <w:color w:val="auto"/>
        </w:rPr>
      </w:pPr>
    </w:p>
    <w:p>
      <w:pPr>
        <w:ind w:left="60" w:right="379"/>
        <w:spacing w:after="0" w:line="243" w:lineRule="auto"/>
        <w:rPr>
          <w:sz w:val="20"/>
          <w:szCs w:val="20"/>
          <w:color w:val="auto"/>
        </w:rPr>
      </w:pPr>
      <w:r>
        <w:rPr>
          <w:rFonts w:ascii="Calibri" w:cs="Calibri" w:eastAsia="Calibri" w:hAnsi="Calibri"/>
          <w:sz w:val="22"/>
          <w:szCs w:val="22"/>
          <w:i w:val="1"/>
          <w:iCs w:val="1"/>
          <w:color w:val="auto"/>
        </w:rPr>
        <w:t>Adjusted net income (loss) and adjusted EBITDA are non-GAAP fnancial measures. See “Non-GAAP Financial Measures”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675640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 w:name="page5"/>
    <w:bookmarkEnd w:id="4"/>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2</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69"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Third Quarter Highlights</w:t>
      </w:r>
    </w:p>
    <w:p>
      <w:pPr>
        <w:spacing w:after="0" w:line="26" w:lineRule="exact"/>
        <w:rPr>
          <w:sz w:val="20"/>
          <w:szCs w:val="20"/>
          <w:color w:val="auto"/>
        </w:rPr>
      </w:pPr>
    </w:p>
    <w:p>
      <w:pPr>
        <w:ind w:left="700" w:right="139" w:hanging="326"/>
        <w:spacing w:after="0" w:line="242" w:lineRule="auto"/>
        <w:tabs>
          <w:tab w:leader="none" w:pos="70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Announced the hiring of new Chief Financial Ofcer Shawn Munsell and SVP &amp; General Manager of Calavo Grown Danny Dumas. Subsequent to quarter end, Helen Kurtz was named SVP &amp; General Manager of Calavo Prepared</w:t>
      </w:r>
    </w:p>
    <w:p>
      <w:pPr>
        <w:spacing w:after="0" w:line="11" w:lineRule="exact"/>
        <w:rPr>
          <w:rFonts w:ascii="Times New Roman" w:cs="Times New Roman" w:eastAsia="Times New Roman" w:hAnsi="Times New Roman"/>
          <w:sz w:val="22"/>
          <w:szCs w:val="22"/>
          <w:color w:val="auto"/>
        </w:rPr>
      </w:pPr>
    </w:p>
    <w:p>
      <w:pPr>
        <w:ind w:left="700" w:right="379" w:hanging="326"/>
        <w:spacing w:after="0" w:line="235" w:lineRule="auto"/>
        <w:tabs>
          <w:tab w:leader="none" w:pos="70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Subsequent to quarter end, announced ofcial certfcaton and opening of Jalisco Avocado packing facility for the U.S. market</w:t>
      </w:r>
    </w:p>
    <w:p>
      <w:pPr>
        <w:spacing w:after="0" w:line="27" w:lineRule="exact"/>
        <w:rPr>
          <w:rFonts w:ascii="Times New Roman" w:cs="Times New Roman" w:eastAsia="Times New Roman" w:hAnsi="Times New Roman"/>
          <w:sz w:val="22"/>
          <w:szCs w:val="22"/>
          <w:color w:val="auto"/>
        </w:rPr>
      </w:pPr>
    </w:p>
    <w:p>
      <w:pPr>
        <w:ind w:left="700" w:right="1279" w:hanging="326"/>
        <w:spacing w:after="0" w:line="242" w:lineRule="auto"/>
        <w:tabs>
          <w:tab w:leader="none" w:pos="70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Project Uno remains on track as progress was made with pricing initatves, SKU ratonalizaton, unifed procurement, labor efciencies, freight consolidaton and administratve synergies across all business units</w:t>
      </w:r>
    </w:p>
    <w:p>
      <w:pPr>
        <w:spacing w:after="0" w:line="217"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Management Commentary</w:t>
      </w:r>
    </w:p>
    <w:p>
      <w:pPr>
        <w:spacing w:after="0" w:line="12" w:lineRule="exact"/>
        <w:rPr>
          <w:sz w:val="20"/>
          <w:szCs w:val="20"/>
          <w:color w:val="auto"/>
        </w:rPr>
      </w:pPr>
    </w:p>
    <w:p>
      <w:pPr>
        <w:ind w:left="60" w:right="119"/>
        <w:spacing w:after="0" w:line="259" w:lineRule="auto"/>
        <w:rPr>
          <w:sz w:val="20"/>
          <w:szCs w:val="20"/>
          <w:color w:val="auto"/>
        </w:rPr>
      </w:pPr>
      <w:r>
        <w:rPr>
          <w:rFonts w:ascii="Calibri" w:cs="Calibri" w:eastAsia="Calibri" w:hAnsi="Calibri"/>
          <w:sz w:val="21"/>
          <w:szCs w:val="21"/>
          <w:color w:val="auto"/>
        </w:rPr>
        <w:t>“I am pleased that our teams successfully navigated temporary avocado price volatlity that impacted both our Grown and Prepared segments, partcularly in July”, said Brian W. Kocher, President and Chief Executve Ofcer of Calavo Growers, Inc. “Despite the volatle conditons, we delivered sequental and year-over-year improvement in our Prepared segment, driven by contnued progress across the P&amp;L of Prepared-RFG. However, a temporary but sharp increase in fruit input costs for our guacamole product line suppressed overall Prepared earnings. Avocado input costs declined signifcantly in August, and we expect margins to normalize during the fourth quarter.</w:t>
      </w:r>
    </w:p>
    <w:p>
      <w:pPr>
        <w:spacing w:after="0" w:line="223" w:lineRule="exact"/>
        <w:rPr>
          <w:sz w:val="20"/>
          <w:szCs w:val="20"/>
          <w:color w:val="auto"/>
        </w:rPr>
      </w:pPr>
    </w:p>
    <w:p>
      <w:pPr>
        <w:ind w:left="60" w:right="239"/>
        <w:spacing w:after="0" w:line="243" w:lineRule="auto"/>
        <w:rPr>
          <w:sz w:val="20"/>
          <w:szCs w:val="20"/>
          <w:color w:val="auto"/>
        </w:rPr>
      </w:pPr>
      <w:r>
        <w:rPr>
          <w:rFonts w:ascii="Calibri" w:cs="Calibri" w:eastAsia="Calibri" w:hAnsi="Calibri"/>
          <w:sz w:val="22"/>
          <w:szCs w:val="22"/>
          <w:color w:val="auto"/>
        </w:rPr>
        <w:t>“Avocado supply challenges and price volatlity in Mexico also negatvely impacted the results of our Grown segment in July as sales volume slowed and sales prices fell faster than we could move our inventories. While our disciplined avocado inventory management practces helped us maintain our targeted gross proft per carton in the quarter, lower than expected volume put pressure on our overall proftability. Conditons in the Grown segment started to recover in August and margins are now tracking toward the historical range of $3-$4 per carton, but volume will remain challenged in the near term.</w:t>
      </w:r>
    </w:p>
    <w:p>
      <w:pPr>
        <w:spacing w:after="0" w:line="243" w:lineRule="exact"/>
        <w:rPr>
          <w:sz w:val="20"/>
          <w:szCs w:val="20"/>
          <w:color w:val="auto"/>
        </w:rPr>
      </w:pPr>
    </w:p>
    <w:p>
      <w:pPr>
        <w:ind w:left="60" w:right="119"/>
        <w:spacing w:after="0" w:line="257" w:lineRule="auto"/>
        <w:rPr>
          <w:sz w:val="20"/>
          <w:szCs w:val="20"/>
          <w:color w:val="auto"/>
        </w:rPr>
      </w:pPr>
      <w:r>
        <w:rPr>
          <w:rFonts w:ascii="Calibri" w:cs="Calibri" w:eastAsia="Calibri" w:hAnsi="Calibri"/>
          <w:sz w:val="21"/>
          <w:szCs w:val="21"/>
          <w:color w:val="auto"/>
        </w:rPr>
        <w:t>“I am pleased and excited with the contnued progress we are making with our Project Uno initatves in our Prepared segment as gross margins in Prepared-RFG approached 8% in the quarter, moving closer to our goal of 10 to 12%,” Kocher contnued. “As avocado purchase costs decline in Mexico, we have seen a similar decrease in costs for raw product processed in our guacamole product line. As mentoned, we expect margins for this product line to normalize in the fourth quarter as we deplete our higher-cost inventory and begin selling inventory processed from lower-cost fruit.</w:t>
      </w:r>
    </w:p>
    <w:p>
      <w:pPr>
        <w:spacing w:after="0" w:line="229" w:lineRule="exact"/>
        <w:rPr>
          <w:sz w:val="20"/>
          <w:szCs w:val="20"/>
          <w:color w:val="auto"/>
        </w:rPr>
      </w:pPr>
    </w:p>
    <w:p>
      <w:pPr>
        <w:ind w:left="60" w:right="239"/>
        <w:spacing w:after="0" w:line="235" w:lineRule="auto"/>
        <w:rPr>
          <w:sz w:val="20"/>
          <w:szCs w:val="20"/>
          <w:color w:val="auto"/>
        </w:rPr>
      </w:pPr>
      <w:r>
        <w:rPr>
          <w:rFonts w:ascii="Calibri" w:cs="Calibri" w:eastAsia="Calibri" w:hAnsi="Calibri"/>
          <w:sz w:val="22"/>
          <w:szCs w:val="22"/>
          <w:color w:val="auto"/>
        </w:rPr>
        <w:t>“We generated strong free cash fow during the third quarter and used it to pay down $16 million in debt, bringing our total debt reducton to $38 million since the end of the frst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841375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5" w:name="page6"/>
    <w:bookmarkEnd w:id="5"/>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3</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79" w:lineRule="exact"/>
        <w:rPr>
          <w:sz w:val="20"/>
          <w:szCs w:val="20"/>
          <w:color w:val="auto"/>
        </w:rPr>
      </w:pPr>
    </w:p>
    <w:p>
      <w:pPr>
        <w:ind w:left="60" w:right="79"/>
        <w:spacing w:after="0" w:line="259" w:lineRule="auto"/>
        <w:rPr>
          <w:sz w:val="20"/>
          <w:szCs w:val="20"/>
          <w:color w:val="auto"/>
        </w:rPr>
      </w:pPr>
      <w:r>
        <w:rPr>
          <w:rFonts w:ascii="Calibri" w:cs="Calibri" w:eastAsia="Calibri" w:hAnsi="Calibri"/>
          <w:sz w:val="21"/>
          <w:szCs w:val="21"/>
          <w:color w:val="auto"/>
        </w:rPr>
        <w:t>“In the third quarter, we flled key roles on our leadership team including Shawn Munsell as our new Chief Financial Ofcer and Danny Dumas as our new Senior Vice President &amp; General Manager of Calavo Grown. In August we hired Helen Kurtz as our Senior Vice President &amp; General Manager of Calavo Prepared. Danny and Helen are flling roles held by long tme Calavo leaders Robert Wedin and Ron Araiza, respectvely, who are both retring afer serving the company for many years, and we thank them for all they’ve done for Calavo. With our new senior management team in place, we are ready to accelerate the development and executon of our strategic vision,” Kocher concluded.</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Third Quarter 2022 Consolidated Financial Review</w:t>
      </w:r>
    </w:p>
    <w:p>
      <w:pPr>
        <w:spacing w:after="0" w:line="12" w:lineRule="exact"/>
        <w:rPr>
          <w:sz w:val="20"/>
          <w:szCs w:val="20"/>
          <w:color w:val="auto"/>
        </w:rPr>
      </w:pPr>
    </w:p>
    <w:p>
      <w:pPr>
        <w:ind w:left="60" w:right="159"/>
        <w:spacing w:after="0" w:line="244" w:lineRule="auto"/>
        <w:rPr>
          <w:sz w:val="20"/>
          <w:szCs w:val="20"/>
          <w:color w:val="auto"/>
        </w:rPr>
      </w:pPr>
      <w:r>
        <w:rPr>
          <w:rFonts w:ascii="Calibri" w:cs="Calibri" w:eastAsia="Calibri" w:hAnsi="Calibri"/>
          <w:sz w:val="22"/>
          <w:szCs w:val="22"/>
          <w:color w:val="auto"/>
        </w:rPr>
        <w:t>Total revenue for the third quarter 2022 was $342.0 million, compared to $285.0 million for the third quarter 2021, an increase of 20%. Grown segment sales increased 28% and Prepared segment sales increased 9%. The average selling price of avocados in the Company’s Grown segment increased by 63% while volumes were 19% lower than the prior-year period due to the supply constraints in Mexico and intentonal steps taken to maintain margins.</w:t>
      </w:r>
    </w:p>
    <w:p>
      <w:pPr>
        <w:spacing w:after="0" w:line="241" w:lineRule="exact"/>
        <w:rPr>
          <w:sz w:val="20"/>
          <w:szCs w:val="20"/>
          <w:color w:val="auto"/>
        </w:rPr>
      </w:pPr>
    </w:p>
    <w:p>
      <w:pPr>
        <w:ind w:left="60" w:right="199"/>
        <w:spacing w:after="0" w:line="235" w:lineRule="auto"/>
        <w:rPr>
          <w:sz w:val="20"/>
          <w:szCs w:val="20"/>
          <w:color w:val="auto"/>
        </w:rPr>
      </w:pPr>
      <w:r>
        <w:rPr>
          <w:rFonts w:ascii="Calibri" w:cs="Calibri" w:eastAsia="Calibri" w:hAnsi="Calibri"/>
          <w:sz w:val="22"/>
          <w:szCs w:val="22"/>
          <w:color w:val="auto"/>
        </w:rPr>
        <w:t>Gross proft for the third quarter was $18.5 million, or 5.4% of revenue, compared to $7.9 million, or 2.8% of revenue, for the same period last year.</w:t>
      </w:r>
    </w:p>
    <w:p>
      <w:pPr>
        <w:spacing w:after="0" w:line="220" w:lineRule="exact"/>
        <w:rPr>
          <w:sz w:val="20"/>
          <w:szCs w:val="20"/>
          <w:color w:val="auto"/>
        </w:rPr>
      </w:pPr>
    </w:p>
    <w:p>
      <w:pPr>
        <w:ind w:left="60"/>
        <w:spacing w:after="0"/>
        <w:rPr>
          <w:sz w:val="20"/>
          <w:szCs w:val="20"/>
          <w:color w:val="auto"/>
        </w:rPr>
      </w:pPr>
      <w:r>
        <w:rPr>
          <w:rFonts w:ascii="Calibri" w:cs="Calibri" w:eastAsia="Calibri" w:hAnsi="Calibri"/>
          <w:sz w:val="22"/>
          <w:szCs w:val="22"/>
          <w:color w:val="auto"/>
        </w:rPr>
        <w:t>Selling, general and administratve (SG&amp;A) expenses for the third quarter totaled $16.7 million, or</w:t>
      </w:r>
    </w:p>
    <w:p>
      <w:pPr>
        <w:spacing w:after="0" w:line="26" w:lineRule="exact"/>
        <w:rPr>
          <w:sz w:val="20"/>
          <w:szCs w:val="20"/>
          <w:color w:val="auto"/>
        </w:rPr>
      </w:pPr>
    </w:p>
    <w:p>
      <w:pPr>
        <w:ind w:left="60" w:right="159"/>
        <w:spacing w:after="0" w:line="241" w:lineRule="auto"/>
        <w:rPr>
          <w:sz w:val="20"/>
          <w:szCs w:val="20"/>
          <w:color w:val="auto"/>
        </w:rPr>
      </w:pPr>
      <w:r>
        <w:rPr>
          <w:rFonts w:ascii="Calibri" w:cs="Calibri" w:eastAsia="Calibri" w:hAnsi="Calibri"/>
          <w:sz w:val="22"/>
          <w:szCs w:val="22"/>
          <w:color w:val="auto"/>
        </w:rPr>
        <w:t>4.9% of revenue, compared to $12.4 million, or 4.3% of revenue, for the same period last year. SG&amp;A increased due to a $1.7 million impact from certain costs being recategorized as cost of goods sold in the prior year , an increase in incentve compensaton expenses and the impact of non-recurring consultng services and recruitng fees related to restructuring eforts.</w:t>
      </w:r>
    </w:p>
    <w:p>
      <w:pPr>
        <w:spacing w:after="0" w:line="244" w:lineRule="exact"/>
        <w:rPr>
          <w:sz w:val="20"/>
          <w:szCs w:val="20"/>
          <w:color w:val="auto"/>
        </w:rPr>
      </w:pPr>
    </w:p>
    <w:p>
      <w:pPr>
        <w:ind w:left="60" w:right="279"/>
        <w:spacing w:after="0" w:line="235" w:lineRule="auto"/>
        <w:rPr>
          <w:sz w:val="20"/>
          <w:szCs w:val="20"/>
          <w:color w:val="auto"/>
        </w:rPr>
      </w:pPr>
      <w:r>
        <w:rPr>
          <w:rFonts w:ascii="Calibri" w:cs="Calibri" w:eastAsia="Calibri" w:hAnsi="Calibri"/>
          <w:sz w:val="22"/>
          <w:szCs w:val="22"/>
          <w:color w:val="auto"/>
        </w:rPr>
        <w:t>Net income for the third quarter was $1.3 million, or $0.07 per share. This compares with a net loss of $(13.0) million, or $(0.74) per diluted share, for the same period last year.</w:t>
      </w:r>
    </w:p>
    <w:p>
      <w:pPr>
        <w:spacing w:after="0" w:line="244" w:lineRule="exact"/>
        <w:rPr>
          <w:sz w:val="20"/>
          <w:szCs w:val="20"/>
          <w:color w:val="auto"/>
        </w:rPr>
      </w:pPr>
    </w:p>
    <w:p>
      <w:pPr>
        <w:ind w:left="60" w:right="339"/>
        <w:spacing w:after="0" w:line="235" w:lineRule="auto"/>
        <w:rPr>
          <w:sz w:val="20"/>
          <w:szCs w:val="20"/>
          <w:color w:val="auto"/>
        </w:rPr>
      </w:pPr>
      <w:r>
        <w:rPr>
          <w:rFonts w:ascii="Calibri" w:cs="Calibri" w:eastAsia="Calibri" w:hAnsi="Calibri"/>
          <w:sz w:val="22"/>
          <w:szCs w:val="22"/>
          <w:color w:val="auto"/>
        </w:rPr>
        <w:t>Adjusted net income was $2.9 million, or $0.16 per diluted share, compared to adjusted net loss of $(3.0) million, or $(0.17) per diluted share last year.</w:t>
      </w:r>
    </w:p>
    <w:p>
      <w:pPr>
        <w:spacing w:after="0" w:line="244" w:lineRule="exact"/>
        <w:rPr>
          <w:sz w:val="20"/>
          <w:szCs w:val="20"/>
          <w:color w:val="auto"/>
        </w:rPr>
      </w:pPr>
    </w:p>
    <w:p>
      <w:pPr>
        <w:ind w:left="60" w:right="179"/>
        <w:spacing w:after="0" w:line="235" w:lineRule="auto"/>
        <w:rPr>
          <w:sz w:val="20"/>
          <w:szCs w:val="20"/>
          <w:color w:val="auto"/>
        </w:rPr>
      </w:pPr>
      <w:r>
        <w:rPr>
          <w:rFonts w:ascii="Calibri" w:cs="Calibri" w:eastAsia="Calibri" w:hAnsi="Calibri"/>
          <w:sz w:val="22"/>
          <w:szCs w:val="22"/>
          <w:color w:val="auto"/>
        </w:rPr>
        <w:t>Adjusted EBITDA was $8.1 million, or $0.46 per diluted share, compared to $1.0 million, or $0.06 per diluted share for the same period last year.</w:t>
      </w:r>
    </w:p>
    <w:p>
      <w:pPr>
        <w:spacing w:after="0" w:line="233"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Balance Sheet and Liquidity</w:t>
      </w:r>
    </w:p>
    <w:p>
      <w:pPr>
        <w:spacing w:after="0" w:line="12" w:lineRule="exact"/>
        <w:rPr>
          <w:sz w:val="20"/>
          <w:szCs w:val="20"/>
          <w:color w:val="auto"/>
        </w:rPr>
      </w:pPr>
    </w:p>
    <w:p>
      <w:pPr>
        <w:ind w:left="60" w:right="159"/>
        <w:spacing w:after="0" w:line="246" w:lineRule="auto"/>
        <w:rPr>
          <w:sz w:val="20"/>
          <w:szCs w:val="20"/>
          <w:color w:val="auto"/>
        </w:rPr>
      </w:pPr>
      <w:r>
        <w:rPr>
          <w:rFonts w:ascii="Calibri" w:cs="Calibri" w:eastAsia="Calibri" w:hAnsi="Calibri"/>
          <w:sz w:val="22"/>
          <w:szCs w:val="22"/>
          <w:color w:val="auto"/>
        </w:rPr>
        <w:t>The Company ended the quarter with $31.4 million of total debt, which included $25.6 million of borrowings under its line of credit and other long-term obligatons and fnance leases. We generated improvements in cycle tmes for accounts receivable, accounts payable and inventories. Cash and cash equivalents (unrestricted) totaled $2.5 million as of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827405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6" w:name="page7"/>
    <w:bookmarkEnd w:id="6"/>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4</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67"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Third Quarter Business Segment Performance</w:t>
      </w:r>
    </w:p>
    <w:p>
      <w:pPr>
        <w:spacing w:after="0" w:line="17" w:lineRule="exact"/>
        <w:rPr>
          <w:sz w:val="20"/>
          <w:szCs w:val="20"/>
          <w:color w:val="auto"/>
        </w:rPr>
      </w:pPr>
    </w:p>
    <w:p>
      <w:pPr>
        <w:ind w:left="60"/>
        <w:spacing w:after="0"/>
        <w:rPr>
          <w:sz w:val="20"/>
          <w:szCs w:val="20"/>
          <w:color w:val="auto"/>
        </w:rPr>
      </w:pPr>
      <w:r>
        <w:rPr>
          <w:rFonts w:ascii="Calibri" w:cs="Calibri" w:eastAsia="Calibri" w:hAnsi="Calibri"/>
          <w:sz w:val="22"/>
          <w:szCs w:val="22"/>
          <w:i w:val="1"/>
          <w:iCs w:val="1"/>
          <w:color w:val="auto"/>
        </w:rPr>
        <w:t>Grown</w:t>
      </w:r>
    </w:p>
    <w:p>
      <w:pPr>
        <w:spacing w:after="0" w:line="12" w:lineRule="exact"/>
        <w:rPr>
          <w:sz w:val="20"/>
          <w:szCs w:val="20"/>
          <w:color w:val="auto"/>
        </w:rPr>
      </w:pPr>
    </w:p>
    <w:p>
      <w:pPr>
        <w:ind w:left="60" w:right="379"/>
        <w:spacing w:after="0" w:line="246" w:lineRule="auto"/>
        <w:rPr>
          <w:sz w:val="20"/>
          <w:szCs w:val="20"/>
          <w:color w:val="auto"/>
        </w:rPr>
      </w:pPr>
      <w:r>
        <w:rPr>
          <w:rFonts w:ascii="Calibri" w:cs="Calibri" w:eastAsia="Calibri" w:hAnsi="Calibri"/>
          <w:sz w:val="22"/>
          <w:szCs w:val="22"/>
          <w:color w:val="auto"/>
        </w:rPr>
        <w:t>Third quarter 2022 sales in Calavo’s Grown business segment were $207.6 million, up 28% from $161.6 million for the same period last year. Avocado prices were 63% higher year-over-year and volume 19% lower due to the supply constraints in Mexico and intentonal steps taken to maintain margins. Grown segment gross proft for the third quarter of 2022 was $11.8 million, or 5.7% of segment sales, compared to $12.2 million, or 7.6% of segment sales, for the same period last year. The decrease in gross proft was primarily driven by lower volume.</w:t>
      </w:r>
    </w:p>
    <w:p>
      <w:pPr>
        <w:spacing w:after="0" w:line="214" w:lineRule="exact"/>
        <w:rPr>
          <w:sz w:val="20"/>
          <w:szCs w:val="20"/>
          <w:color w:val="auto"/>
        </w:rPr>
      </w:pPr>
    </w:p>
    <w:p>
      <w:pPr>
        <w:ind w:left="60"/>
        <w:spacing w:after="0"/>
        <w:rPr>
          <w:sz w:val="20"/>
          <w:szCs w:val="20"/>
          <w:color w:val="auto"/>
        </w:rPr>
      </w:pPr>
      <w:r>
        <w:rPr>
          <w:rFonts w:ascii="Calibri" w:cs="Calibri" w:eastAsia="Calibri" w:hAnsi="Calibri"/>
          <w:sz w:val="22"/>
          <w:szCs w:val="22"/>
          <w:i w:val="1"/>
          <w:iCs w:val="1"/>
          <w:color w:val="auto"/>
        </w:rPr>
        <w:t>Prepared</w:t>
      </w:r>
    </w:p>
    <w:p>
      <w:pPr>
        <w:spacing w:after="0" w:line="26" w:lineRule="exact"/>
        <w:rPr>
          <w:sz w:val="20"/>
          <w:szCs w:val="20"/>
          <w:color w:val="auto"/>
        </w:rPr>
      </w:pPr>
    </w:p>
    <w:p>
      <w:pPr>
        <w:ind w:left="60" w:right="59"/>
        <w:spacing w:after="0" w:line="245" w:lineRule="auto"/>
        <w:rPr>
          <w:sz w:val="20"/>
          <w:szCs w:val="20"/>
          <w:color w:val="auto"/>
        </w:rPr>
      </w:pPr>
      <w:r>
        <w:rPr>
          <w:rFonts w:ascii="Calibri" w:cs="Calibri" w:eastAsia="Calibri" w:hAnsi="Calibri"/>
          <w:sz w:val="22"/>
          <w:szCs w:val="22"/>
          <w:color w:val="auto"/>
        </w:rPr>
        <w:t>Prepared segment sales in the third quarter of 2022 were $134.9 million, up 9% from $124.1 million in the same period last year, beneftng from price increases and mix improvements. Segment gross proft was $6.7 million, increasing more than $3 million sequentally from the second quarter of 2022 and up from a loss of $4.3 million for the same period last year. We have been implementng price increases, SKU optmizaton, raw product sourcing initatves, labor productvity projects and freight consolidaton to ofset increased costs and to improve earnings. Prepared-RFG performed so well that it ofset negatve margins from Prepared-Foods for the quarter. We expect to see the benefts from these eforts contnue in coming quarters.</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Outlook</w:t>
      </w:r>
    </w:p>
    <w:p>
      <w:pPr>
        <w:spacing w:after="0" w:line="25" w:lineRule="exact"/>
        <w:rPr>
          <w:sz w:val="20"/>
          <w:szCs w:val="20"/>
          <w:color w:val="auto"/>
        </w:rPr>
      </w:pPr>
    </w:p>
    <w:p>
      <w:pPr>
        <w:ind w:left="60" w:right="299"/>
        <w:spacing w:after="0" w:line="235" w:lineRule="auto"/>
        <w:rPr>
          <w:sz w:val="20"/>
          <w:szCs w:val="20"/>
          <w:color w:val="auto"/>
        </w:rPr>
      </w:pPr>
      <w:r>
        <w:rPr>
          <w:rFonts w:ascii="Calibri" w:cs="Calibri" w:eastAsia="Calibri" w:hAnsi="Calibri"/>
          <w:sz w:val="22"/>
          <w:szCs w:val="22"/>
          <w:color w:val="auto"/>
        </w:rPr>
        <w:t>We saw the volatlity that negatvely afected our results in the third quarter subside in August, and we expect more normal conditons to persist over the balance of the quarter.</w:t>
      </w:r>
    </w:p>
    <w:p>
      <w:pPr>
        <w:spacing w:after="0" w:line="244" w:lineRule="exact"/>
        <w:rPr>
          <w:sz w:val="20"/>
          <w:szCs w:val="20"/>
          <w:color w:val="auto"/>
        </w:rPr>
      </w:pPr>
    </w:p>
    <w:p>
      <w:pPr>
        <w:ind w:left="60" w:right="79"/>
        <w:spacing w:after="0" w:line="242" w:lineRule="auto"/>
        <w:rPr>
          <w:sz w:val="20"/>
          <w:szCs w:val="20"/>
          <w:color w:val="auto"/>
        </w:rPr>
      </w:pPr>
      <w:r>
        <w:rPr>
          <w:rFonts w:ascii="Calibri" w:cs="Calibri" w:eastAsia="Calibri" w:hAnsi="Calibri"/>
          <w:sz w:val="22"/>
          <w:szCs w:val="22"/>
          <w:color w:val="auto"/>
        </w:rPr>
        <w:t>In Grown, margins are recovering and tracking toward the historical $3-$4 per carton range. With the recently announced opening of our Jalisco avocado packing facility for exports to the U.S., we are making progress expanding our avocado volume for U.S. and internatonal customers.</w:t>
      </w:r>
    </w:p>
    <w:p>
      <w:pPr>
        <w:spacing w:after="0" w:line="227" w:lineRule="exact"/>
        <w:rPr>
          <w:sz w:val="20"/>
          <w:szCs w:val="20"/>
          <w:color w:val="auto"/>
        </w:rPr>
      </w:pPr>
    </w:p>
    <w:p>
      <w:pPr>
        <w:ind w:left="60" w:right="59"/>
        <w:spacing w:after="0" w:line="244" w:lineRule="auto"/>
        <w:rPr>
          <w:sz w:val="20"/>
          <w:szCs w:val="20"/>
          <w:color w:val="auto"/>
        </w:rPr>
      </w:pPr>
      <w:r>
        <w:rPr>
          <w:rFonts w:ascii="Calibri" w:cs="Calibri" w:eastAsia="Calibri" w:hAnsi="Calibri"/>
          <w:sz w:val="22"/>
          <w:szCs w:val="22"/>
          <w:color w:val="auto"/>
        </w:rPr>
        <w:t>In Prepared, we started buying fruit in August for our guacamole line at prices that will generate more normalized gross margins as it fows through inventory over the balance of the quarter. We will contnue implementng operatng improvements within our Prepared-RFG business as planned, although we typically experience some seasonal sofness in the business in the fourth quarter as fruit availability and demand decline.</w:t>
      </w:r>
    </w:p>
    <w:p>
      <w:pPr>
        <w:spacing w:after="0" w:line="231"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Non-GAAP Financial Measures</w:t>
      </w:r>
    </w:p>
    <w:p>
      <w:pPr>
        <w:spacing w:after="0" w:line="12" w:lineRule="exact"/>
        <w:rPr>
          <w:sz w:val="20"/>
          <w:szCs w:val="20"/>
          <w:color w:val="auto"/>
        </w:rPr>
      </w:pPr>
    </w:p>
    <w:p>
      <w:pPr>
        <w:ind w:left="60" w:right="159"/>
        <w:spacing w:after="0" w:line="242" w:lineRule="auto"/>
        <w:rPr>
          <w:sz w:val="20"/>
          <w:szCs w:val="20"/>
          <w:color w:val="auto"/>
        </w:rPr>
      </w:pPr>
      <w:r>
        <w:rPr>
          <w:rFonts w:ascii="Calibri" w:cs="Calibri" w:eastAsia="Calibri" w:hAnsi="Calibri"/>
          <w:sz w:val="22"/>
          <w:szCs w:val="22"/>
          <w:color w:val="auto"/>
        </w:rPr>
        <w:t>This press release includes non-GAAP measures such as EBITDA, adjusted EBITDA, adjusted net income and adjusted diluted EPS, which are not prepared in accordance with U.S. generally accepted accountng principles, or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839470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7" w:name="page8"/>
    <w:bookmarkEnd w:id="7"/>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5</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79" w:lineRule="exact"/>
        <w:rPr>
          <w:sz w:val="20"/>
          <w:szCs w:val="20"/>
          <w:color w:val="auto"/>
        </w:rPr>
      </w:pPr>
    </w:p>
    <w:p>
      <w:pPr>
        <w:ind w:left="60" w:right="619"/>
        <w:spacing w:after="0" w:line="259" w:lineRule="auto"/>
        <w:rPr>
          <w:sz w:val="20"/>
          <w:szCs w:val="20"/>
          <w:color w:val="auto"/>
        </w:rPr>
      </w:pPr>
      <w:r>
        <w:rPr>
          <w:rFonts w:ascii="Calibri" w:cs="Calibri" w:eastAsia="Calibri" w:hAnsi="Calibri"/>
          <w:sz w:val="21"/>
          <w:szCs w:val="21"/>
          <w:color w:val="auto"/>
        </w:rPr>
        <w:t>EBITDA is defned as net income (loss) atributable to Calavo Growers, Inc. excluding (1) interest income and expense, (2) income tax (beneft) provision, (3) depreciaton and amortzaton and</w:t>
      </w:r>
    </w:p>
    <w:p>
      <w:pPr>
        <w:ind w:left="60"/>
        <w:spacing w:after="0" w:line="230" w:lineRule="auto"/>
        <w:rPr>
          <w:sz w:val="20"/>
          <w:szCs w:val="20"/>
          <w:color w:val="auto"/>
        </w:rPr>
      </w:pPr>
      <w:r>
        <w:rPr>
          <w:rFonts w:ascii="Calibri" w:cs="Calibri" w:eastAsia="Calibri" w:hAnsi="Calibri"/>
          <w:sz w:val="22"/>
          <w:szCs w:val="22"/>
          <w:color w:val="auto"/>
        </w:rPr>
        <w:t>(4) stock-based compensaton expense. Adjusted EBITDA is EBITDA with further adjustments for</w:t>
      </w:r>
    </w:p>
    <w:p>
      <w:pPr>
        <w:spacing w:after="0" w:line="26" w:lineRule="exact"/>
        <w:rPr>
          <w:sz w:val="20"/>
          <w:szCs w:val="20"/>
          <w:color w:val="auto"/>
        </w:rPr>
      </w:pPr>
    </w:p>
    <w:p>
      <w:pPr>
        <w:jc w:val="both"/>
        <w:ind w:left="60" w:right="219" w:hanging="10"/>
        <w:spacing w:after="0" w:line="254" w:lineRule="auto"/>
        <w:tabs>
          <w:tab w:leader="none" w:pos="349" w:val="left"/>
        </w:tabs>
        <w:numPr>
          <w:ilvl w:val="0"/>
          <w:numId w:val="6"/>
        </w:numPr>
        <w:rPr>
          <w:rFonts w:ascii="Calibri" w:cs="Calibri" w:eastAsia="Calibri" w:hAnsi="Calibri"/>
          <w:sz w:val="21"/>
          <w:szCs w:val="21"/>
          <w:color w:val="auto"/>
        </w:rPr>
      </w:pPr>
      <w:r>
        <w:rPr>
          <w:rFonts w:ascii="Calibri" w:cs="Calibri" w:eastAsia="Calibri" w:hAnsi="Calibri"/>
          <w:sz w:val="21"/>
          <w:szCs w:val="21"/>
          <w:color w:val="auto"/>
        </w:rPr>
        <w:t>non-cash net losses recognized from unconsolidated enttes, (2) goodwill impairment, (3) write-of of long-lived assets, (4) acquisiton-related costs, (5) restructuring-related costs, including certain</w:t>
      </w:r>
    </w:p>
    <w:p>
      <w:pPr>
        <w:spacing w:after="0" w:line="10" w:lineRule="exact"/>
        <w:rPr>
          <w:rFonts w:ascii="Calibri" w:cs="Calibri" w:eastAsia="Calibri" w:hAnsi="Calibri"/>
          <w:sz w:val="21"/>
          <w:szCs w:val="21"/>
          <w:color w:val="auto"/>
        </w:rPr>
      </w:pPr>
    </w:p>
    <w:p>
      <w:pPr>
        <w:jc w:val="both"/>
        <w:ind w:left="60" w:right="719"/>
        <w:spacing w:after="0" w:line="254" w:lineRule="auto"/>
        <w:rPr>
          <w:rFonts w:ascii="Calibri" w:cs="Calibri" w:eastAsia="Calibri" w:hAnsi="Calibri"/>
          <w:sz w:val="21"/>
          <w:szCs w:val="21"/>
          <w:color w:val="auto"/>
        </w:rPr>
      </w:pPr>
      <w:r>
        <w:rPr>
          <w:rFonts w:ascii="Calibri" w:cs="Calibri" w:eastAsia="Calibri" w:hAnsi="Calibri"/>
          <w:sz w:val="21"/>
          <w:szCs w:val="21"/>
          <w:color w:val="auto"/>
        </w:rPr>
        <w:t>severance costs, (6) certain litgaton and other related costs, and (7) one-tme items. Adjusted EBITDA is a primary metric by which management evaluates the operatng performance of the</w:t>
      </w:r>
    </w:p>
    <w:p>
      <w:pPr>
        <w:spacing w:after="0" w:line="10" w:lineRule="exact"/>
        <w:rPr>
          <w:rFonts w:ascii="Calibri" w:cs="Calibri" w:eastAsia="Calibri" w:hAnsi="Calibri"/>
          <w:sz w:val="21"/>
          <w:szCs w:val="21"/>
          <w:color w:val="auto"/>
        </w:rPr>
      </w:pPr>
    </w:p>
    <w:p>
      <w:pPr>
        <w:ind w:left="60" w:right="279"/>
        <w:spacing w:after="0" w:line="235" w:lineRule="auto"/>
        <w:rPr>
          <w:rFonts w:ascii="Calibri" w:cs="Calibri" w:eastAsia="Calibri" w:hAnsi="Calibri"/>
          <w:sz w:val="21"/>
          <w:szCs w:val="21"/>
          <w:color w:val="auto"/>
        </w:rPr>
      </w:pPr>
      <w:r>
        <w:rPr>
          <w:rFonts w:ascii="Calibri" w:cs="Calibri" w:eastAsia="Calibri" w:hAnsi="Calibri"/>
          <w:sz w:val="22"/>
          <w:szCs w:val="22"/>
          <w:color w:val="auto"/>
        </w:rPr>
        <w:t>business, on which certain operatng expenditures and internal budgets are based. Additonally, the Company’s senior management is compensated in part on the basis of Adjusted EBITDA. The</w:t>
      </w:r>
    </w:p>
    <w:p>
      <w:pPr>
        <w:spacing w:after="0" w:line="27" w:lineRule="exact"/>
        <w:rPr>
          <w:rFonts w:ascii="Calibri" w:cs="Calibri" w:eastAsia="Calibri" w:hAnsi="Calibri"/>
          <w:sz w:val="21"/>
          <w:szCs w:val="21"/>
          <w:color w:val="auto"/>
        </w:rPr>
      </w:pPr>
    </w:p>
    <w:p>
      <w:pPr>
        <w:ind w:left="60" w:right="79"/>
        <w:spacing w:after="0" w:line="241" w:lineRule="auto"/>
        <w:rPr>
          <w:rFonts w:ascii="Calibri" w:cs="Calibri" w:eastAsia="Calibri" w:hAnsi="Calibri"/>
          <w:sz w:val="21"/>
          <w:szCs w:val="21"/>
          <w:color w:val="auto"/>
        </w:rPr>
      </w:pPr>
      <w:r>
        <w:rPr>
          <w:rFonts w:ascii="Calibri" w:cs="Calibri" w:eastAsia="Calibri" w:hAnsi="Calibri"/>
          <w:sz w:val="22"/>
          <w:szCs w:val="22"/>
          <w:color w:val="auto"/>
        </w:rPr>
        <w:t>adjustments to calculate EBITDA and adjusted EBITDA are items recognized and recorded under GAAP in partcular periods but might be viewed as not necessarily coinciding with the underlying business operatons for the periods in which they are so recognized and recorded.</w:t>
      </w:r>
    </w:p>
    <w:p>
      <w:pPr>
        <w:spacing w:after="0" w:line="218" w:lineRule="exact"/>
        <w:rPr>
          <w:sz w:val="20"/>
          <w:szCs w:val="20"/>
          <w:color w:val="auto"/>
        </w:rPr>
      </w:pPr>
    </w:p>
    <w:p>
      <w:pPr>
        <w:ind w:left="60"/>
        <w:spacing w:after="0"/>
        <w:rPr>
          <w:sz w:val="20"/>
          <w:szCs w:val="20"/>
          <w:color w:val="auto"/>
        </w:rPr>
      </w:pPr>
      <w:r>
        <w:rPr>
          <w:rFonts w:ascii="Calibri" w:cs="Calibri" w:eastAsia="Calibri" w:hAnsi="Calibri"/>
          <w:sz w:val="22"/>
          <w:szCs w:val="22"/>
          <w:color w:val="auto"/>
        </w:rPr>
        <w:t>Adjusted net income is defned as net income (loss) atributable to Calavo Growers, Inc. excluding</w:t>
      </w:r>
    </w:p>
    <w:p>
      <w:pPr>
        <w:spacing w:after="0" w:line="28" w:lineRule="exact"/>
        <w:rPr>
          <w:sz w:val="20"/>
          <w:szCs w:val="20"/>
          <w:color w:val="auto"/>
        </w:rPr>
      </w:pPr>
    </w:p>
    <w:p>
      <w:pPr>
        <w:jc w:val="both"/>
        <w:ind w:left="60" w:right="219" w:hanging="10"/>
        <w:spacing w:after="0" w:line="253" w:lineRule="auto"/>
        <w:tabs>
          <w:tab w:leader="none" w:pos="349" w:val="left"/>
        </w:tabs>
        <w:numPr>
          <w:ilvl w:val="0"/>
          <w:numId w:val="7"/>
        </w:numPr>
        <w:rPr>
          <w:rFonts w:ascii="Calibri" w:cs="Calibri" w:eastAsia="Calibri" w:hAnsi="Calibri"/>
          <w:sz w:val="21"/>
          <w:szCs w:val="21"/>
          <w:color w:val="auto"/>
        </w:rPr>
      </w:pPr>
      <w:r>
        <w:rPr>
          <w:rFonts w:ascii="Calibri" w:cs="Calibri" w:eastAsia="Calibri" w:hAnsi="Calibri"/>
          <w:sz w:val="21"/>
          <w:szCs w:val="21"/>
          <w:color w:val="auto"/>
        </w:rPr>
        <w:t>non-cash net losses recognized from unconsolidated enttes, (2) goodwill impairment, (3) write-of of long-lived assets, (4) acquisiton-related costs, (5) restructuring-related costs, including certain severance costs, (6) certain litgaton and other related costs, and (7) one-tme items. Adjusted net</w:t>
      </w:r>
    </w:p>
    <w:p>
      <w:pPr>
        <w:spacing w:after="0" w:line="12" w:lineRule="exact"/>
        <w:rPr>
          <w:rFonts w:ascii="Calibri" w:cs="Calibri" w:eastAsia="Calibri" w:hAnsi="Calibri"/>
          <w:sz w:val="21"/>
          <w:szCs w:val="21"/>
          <w:color w:val="auto"/>
        </w:rPr>
      </w:pPr>
    </w:p>
    <w:p>
      <w:pPr>
        <w:ind w:left="60" w:right="399"/>
        <w:spacing w:after="0" w:line="254" w:lineRule="auto"/>
        <w:rPr>
          <w:rFonts w:ascii="Calibri" w:cs="Calibri" w:eastAsia="Calibri" w:hAnsi="Calibri"/>
          <w:sz w:val="21"/>
          <w:szCs w:val="21"/>
          <w:color w:val="auto"/>
        </w:rPr>
      </w:pPr>
      <w:r>
        <w:rPr>
          <w:rFonts w:ascii="Calibri" w:cs="Calibri" w:eastAsia="Calibri" w:hAnsi="Calibri"/>
          <w:sz w:val="21"/>
          <w:szCs w:val="21"/>
          <w:color w:val="auto"/>
        </w:rPr>
        <w:t>income and the related measure of adjusted diluted EPS exclude certain items that are recognized and recorded under GAAP in partcular periods but might be viewed as not necessarily coinciding</w:t>
      </w:r>
    </w:p>
    <w:p>
      <w:pPr>
        <w:spacing w:after="0" w:line="10" w:lineRule="exact"/>
        <w:rPr>
          <w:rFonts w:ascii="Calibri" w:cs="Calibri" w:eastAsia="Calibri" w:hAnsi="Calibri"/>
          <w:sz w:val="21"/>
          <w:szCs w:val="21"/>
          <w:color w:val="auto"/>
        </w:rPr>
      </w:pPr>
    </w:p>
    <w:p>
      <w:pPr>
        <w:ind w:left="60" w:right="359"/>
        <w:spacing w:after="0" w:line="254" w:lineRule="auto"/>
        <w:rPr>
          <w:rFonts w:ascii="Calibri" w:cs="Calibri" w:eastAsia="Calibri" w:hAnsi="Calibri"/>
          <w:sz w:val="21"/>
          <w:szCs w:val="21"/>
          <w:color w:val="auto"/>
        </w:rPr>
      </w:pPr>
      <w:r>
        <w:rPr>
          <w:rFonts w:ascii="Calibri" w:cs="Calibri" w:eastAsia="Calibri" w:hAnsi="Calibri"/>
          <w:sz w:val="21"/>
          <w:szCs w:val="21"/>
          <w:color w:val="auto"/>
        </w:rPr>
        <w:t>with the underlying business operatons for the periods in which they are so recognized and recorded. We believe adjusted net income afords investors a diferent view of the overall fnancial</w:t>
      </w:r>
    </w:p>
    <w:p>
      <w:pPr>
        <w:spacing w:after="0" w:line="10" w:lineRule="exact"/>
        <w:rPr>
          <w:rFonts w:ascii="Calibri" w:cs="Calibri" w:eastAsia="Calibri" w:hAnsi="Calibri"/>
          <w:sz w:val="21"/>
          <w:szCs w:val="21"/>
          <w:color w:val="auto"/>
        </w:rPr>
      </w:pPr>
    </w:p>
    <w:p>
      <w:pPr>
        <w:ind w:left="60" w:right="599"/>
        <w:spacing w:after="0" w:line="235" w:lineRule="auto"/>
        <w:rPr>
          <w:rFonts w:ascii="Calibri" w:cs="Calibri" w:eastAsia="Calibri" w:hAnsi="Calibri"/>
          <w:sz w:val="21"/>
          <w:szCs w:val="21"/>
          <w:color w:val="auto"/>
        </w:rPr>
      </w:pPr>
      <w:r>
        <w:rPr>
          <w:rFonts w:ascii="Calibri" w:cs="Calibri" w:eastAsia="Calibri" w:hAnsi="Calibri"/>
          <w:sz w:val="22"/>
          <w:szCs w:val="22"/>
          <w:color w:val="auto"/>
        </w:rPr>
        <w:t>performance of the Company than adjusted EBITDA and the GAAP measure of net income (loss) atributable to Calavo Growers, Inc.</w:t>
      </w:r>
    </w:p>
    <w:p>
      <w:pPr>
        <w:spacing w:after="0" w:line="244" w:lineRule="exact"/>
        <w:rPr>
          <w:sz w:val="20"/>
          <w:szCs w:val="20"/>
          <w:color w:val="auto"/>
        </w:rPr>
      </w:pPr>
    </w:p>
    <w:p>
      <w:pPr>
        <w:ind w:left="60" w:right="599"/>
        <w:spacing w:after="0" w:line="235" w:lineRule="auto"/>
        <w:rPr>
          <w:sz w:val="20"/>
          <w:szCs w:val="20"/>
          <w:color w:val="auto"/>
        </w:rPr>
      </w:pPr>
      <w:r>
        <w:rPr>
          <w:rFonts w:ascii="Calibri" w:cs="Calibri" w:eastAsia="Calibri" w:hAnsi="Calibri"/>
          <w:sz w:val="22"/>
          <w:szCs w:val="22"/>
          <w:color w:val="auto"/>
        </w:rPr>
        <w:t>Reconciliatons of non-GAAP fnancial measures to the most directly comparable GAAP fnancial measures are provided in the fnancial tables that accompany this release.</w:t>
      </w:r>
    </w:p>
    <w:p>
      <w:pPr>
        <w:spacing w:after="0" w:line="244" w:lineRule="exact"/>
        <w:rPr>
          <w:sz w:val="20"/>
          <w:szCs w:val="20"/>
          <w:color w:val="auto"/>
        </w:rPr>
      </w:pPr>
    </w:p>
    <w:p>
      <w:pPr>
        <w:ind w:left="60" w:right="139"/>
        <w:spacing w:after="0" w:line="242" w:lineRule="auto"/>
        <w:rPr>
          <w:sz w:val="20"/>
          <w:szCs w:val="20"/>
          <w:color w:val="auto"/>
        </w:rPr>
      </w:pPr>
      <w:r>
        <w:rPr>
          <w:rFonts w:ascii="Calibri" w:cs="Calibri" w:eastAsia="Calibri" w:hAnsi="Calibri"/>
          <w:sz w:val="22"/>
          <w:szCs w:val="22"/>
          <w:color w:val="auto"/>
        </w:rPr>
        <w:t>Items are considered one-tme in nature if they are non-recurring, infrequent or unusual and have not occurred in the past two years or are not expected to recur in the next two years, in accordance with SEC rules. One-tme items are identfed in the notes to the reconciliatons in the fnancial tables that accompany this release.</w:t>
      </w:r>
    </w:p>
    <w:p>
      <w:pPr>
        <w:spacing w:after="0" w:line="240" w:lineRule="exact"/>
        <w:rPr>
          <w:sz w:val="20"/>
          <w:szCs w:val="20"/>
          <w:color w:val="auto"/>
        </w:rPr>
      </w:pPr>
    </w:p>
    <w:p>
      <w:pPr>
        <w:ind w:left="60" w:right="99"/>
        <w:spacing w:after="0" w:line="244" w:lineRule="auto"/>
        <w:rPr>
          <w:sz w:val="20"/>
          <w:szCs w:val="20"/>
          <w:color w:val="auto"/>
        </w:rPr>
      </w:pPr>
      <w:r>
        <w:rPr>
          <w:rFonts w:ascii="Calibri" w:cs="Calibri" w:eastAsia="Calibri" w:hAnsi="Calibri"/>
          <w:sz w:val="22"/>
          <w:szCs w:val="22"/>
          <w:color w:val="auto"/>
        </w:rPr>
        <w:t>Non-GAAP informaton should be considered as supplemental in nature and not as a substtute for, or superior to, any measure of performance prepared in accordance with GAAP. None of these metrics are presented as measures of liquidity. The way the Company measures EBITDA, adjusted EBITDA, adjusted net income and adjusted diluted EPS may not be comparable to similarly ttled measures presented by other companies and may not be identcal to corresponding measures used in Company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838200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8" w:name="page9"/>
    <w:bookmarkEnd w:id="8"/>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6</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67"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Conference Call and Webcast</w:t>
      </w:r>
    </w:p>
    <w:p>
      <w:pPr>
        <w:spacing w:after="0" w:line="28" w:lineRule="exact"/>
        <w:rPr>
          <w:sz w:val="20"/>
          <w:szCs w:val="20"/>
          <w:color w:val="auto"/>
        </w:rPr>
      </w:pPr>
    </w:p>
    <w:p>
      <w:pPr>
        <w:ind w:left="60" w:right="159"/>
        <w:spacing w:after="0" w:line="244" w:lineRule="auto"/>
        <w:rPr>
          <w:sz w:val="20"/>
          <w:szCs w:val="20"/>
          <w:color w:val="auto"/>
        </w:rPr>
      </w:pPr>
      <w:r>
        <w:rPr>
          <w:rFonts w:ascii="Calibri" w:cs="Calibri" w:eastAsia="Calibri" w:hAnsi="Calibri"/>
          <w:sz w:val="22"/>
          <w:szCs w:val="22"/>
          <w:color w:val="auto"/>
        </w:rPr>
        <w:t>Calavo will host a conference call, today at 5:00 pm ET/2:00 pm PT to discuss its fnancial results. The conference call may be accessed by dialing 877-407-3982 (domestc) or 201-493-6780 (internatonal) with conference ID: 13732187. A live audio webcast of the call also will be available on the Investor Relatons secton of Calavo’s website at Events &amp; Presentatons | Calavo Growers, Inc. and will be archived for replay.</w:t>
      </w:r>
    </w:p>
    <w:p>
      <w:pPr>
        <w:spacing w:after="0" w:line="217"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About Calavo Growers, Inc.</w:t>
      </w:r>
    </w:p>
    <w:p>
      <w:pPr>
        <w:spacing w:after="0" w:line="26" w:lineRule="exact"/>
        <w:rPr>
          <w:sz w:val="20"/>
          <w:szCs w:val="20"/>
          <w:color w:val="auto"/>
        </w:rPr>
      </w:pPr>
    </w:p>
    <w:p>
      <w:pPr>
        <w:ind w:left="60" w:right="179"/>
        <w:spacing w:after="0" w:line="241" w:lineRule="auto"/>
        <w:rPr>
          <w:sz w:val="20"/>
          <w:szCs w:val="20"/>
          <w:color w:val="auto"/>
        </w:rPr>
      </w:pPr>
      <w:r>
        <w:rPr>
          <w:rFonts w:ascii="Calibri" w:cs="Calibri" w:eastAsia="Calibri" w:hAnsi="Calibri"/>
          <w:sz w:val="22"/>
          <w:szCs w:val="22"/>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244" w:lineRule="exact"/>
        <w:rPr>
          <w:sz w:val="20"/>
          <w:szCs w:val="20"/>
          <w:color w:val="auto"/>
        </w:rPr>
      </w:pPr>
    </w:p>
    <w:p>
      <w:pPr>
        <w:ind w:left="60" w:right="79"/>
        <w:spacing w:after="0" w:line="241" w:lineRule="auto"/>
        <w:rPr>
          <w:sz w:val="20"/>
          <w:szCs w:val="20"/>
          <w:color w:val="auto"/>
        </w:rPr>
      </w:pPr>
      <w:r>
        <w:rPr>
          <w:rFonts w:ascii="Calibri" w:cs="Calibri" w:eastAsia="Calibri" w:hAnsi="Calibri"/>
          <w:sz w:val="22"/>
          <w:szCs w:val="22"/>
          <w:color w:val="auto"/>
        </w:rPr>
        <w:t xml:space="preserve">Founded in 1924, Calavo has a rich culture of constant innovaton, sustainable practces and market growth. The company serves retail grocery, foodservice, club stores, mass merchandisers, food distributors and wholesalers worldwide. Calavo is headquartered in Santa Paula, California, with processing plants and packing facilites throughout the U.S. and Mexico. Learn more about </w:t>
      </w:r>
      <w:r>
        <w:rPr>
          <w:rFonts w:ascii="Calibri" w:cs="Calibri" w:eastAsia="Calibri" w:hAnsi="Calibri"/>
          <w:sz w:val="22"/>
          <w:szCs w:val="22"/>
          <w:i w:val="1"/>
          <w:iCs w:val="1"/>
          <w:color w:val="auto"/>
        </w:rPr>
        <w:t>The Family</w:t>
      </w:r>
      <w:r>
        <w:rPr>
          <w:rFonts w:ascii="Calibri" w:cs="Calibri" w:eastAsia="Calibri" w:hAnsi="Calibri"/>
          <w:sz w:val="22"/>
          <w:szCs w:val="22"/>
          <w:color w:val="auto"/>
        </w:rPr>
        <w:t xml:space="preserve"> </w:t>
      </w:r>
      <w:r>
        <w:rPr>
          <w:rFonts w:ascii="Calibri" w:cs="Calibri" w:eastAsia="Calibri" w:hAnsi="Calibri"/>
          <w:sz w:val="22"/>
          <w:szCs w:val="22"/>
          <w:i w:val="1"/>
          <w:iCs w:val="1"/>
          <w:color w:val="auto"/>
        </w:rPr>
        <w:t xml:space="preserve">of Fresh™ </w:t>
      </w:r>
      <w:r>
        <w:rPr>
          <w:rFonts w:ascii="Calibri" w:cs="Calibri" w:eastAsia="Calibri" w:hAnsi="Calibri"/>
          <w:sz w:val="22"/>
          <w:szCs w:val="22"/>
          <w:color w:val="auto"/>
        </w:rPr>
        <w:t>at calavo.com.</w:t>
      </w:r>
    </w:p>
    <w:p>
      <w:pPr>
        <w:spacing w:after="0" w:line="232"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Safe Harbor Statement</w:t>
      </w:r>
    </w:p>
    <w:p>
      <w:pPr>
        <w:spacing w:after="0" w:line="14" w:lineRule="exact"/>
        <w:rPr>
          <w:sz w:val="20"/>
          <w:szCs w:val="20"/>
          <w:color w:val="auto"/>
        </w:rPr>
      </w:pPr>
    </w:p>
    <w:p>
      <w:pPr>
        <w:ind w:left="60" w:right="79"/>
        <w:spacing w:after="0" w:line="246" w:lineRule="auto"/>
        <w:rPr>
          <w:sz w:val="20"/>
          <w:szCs w:val="20"/>
          <w:color w:val="auto"/>
        </w:rPr>
      </w:pPr>
      <w:r>
        <w:rPr>
          <w:rFonts w:ascii="Calibri" w:cs="Calibri" w:eastAsia="Calibri" w:hAnsi="Calibri"/>
          <w:sz w:val="22"/>
          <w:szCs w:val="22"/>
          <w:color w:val="auto"/>
        </w:rPr>
        <w:t>This press release contains statements relatng to future events and results of Calavo (including certain projectons and business trends) that are "forward-looking statements," as defned in the Private Securites Litgaton Reform Act of 1995, that involve risks, uncertaintes and assumptons. These statements are based on our current expectatons and are not promises or guarantees. If any of the risks or uncertaintes ever materialize or the assumptons prove incorrect, the results of Calavo may difer materially from those expressed or implied by such forward-looking statements and assumptons. The use of words such as "antcipates," "estmates," "expects," "projects," "intends," "plans" and "believes," among others, generally identfy forward-looking statements. Risks and uncertaintes that may cause our actual results to be materially diferent from any future results expressed or implied by the forward-looking statements include, but are not limited to, the following: the impact of Project Uno initatves on our business, results of operatons, and fnancial conditon, including uncertainty as to whether the desired efects will be achieved; the impact of the COVID-19 pandemic on our business, results of operatons, and fnancial conditon, including, but not limited to, disruptons in the manufacturing of our products and the operatons of the related supply chains supportng our ability to deliver our products to consumers, impacts on our employees and uncertainty regarding our ability to implement health and safety measures for our employees, uncertaintes regarding consumer demand for our products, impact on our foodservice customers, increased costs, the impact of governmental trade restrictons imposed as a result of COVID-19 and the possible adverse impact of COVID-19 on our goodwill and other intangible assets; our ability to raise prices, partcularly in our Prepared segment, to ofset increases in costs of goods sold, and the impact of such price increases on future net sales; seasonality of our business; sensitvity of our business to changes in market prices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664845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9" w:name="page10"/>
    <w:bookmarkEnd w:id="9"/>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7</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79" w:lineRule="exact"/>
        <w:rPr>
          <w:sz w:val="20"/>
          <w:szCs w:val="20"/>
          <w:color w:val="auto"/>
        </w:rPr>
      </w:pPr>
    </w:p>
    <w:p>
      <w:pPr>
        <w:ind w:left="60" w:right="159"/>
        <w:spacing w:after="0" w:line="259" w:lineRule="auto"/>
        <w:rPr>
          <w:sz w:val="20"/>
          <w:szCs w:val="20"/>
          <w:color w:val="auto"/>
        </w:rPr>
      </w:pPr>
      <w:r>
        <w:rPr>
          <w:rFonts w:ascii="Calibri" w:cs="Calibri" w:eastAsia="Calibri" w:hAnsi="Calibri"/>
          <w:sz w:val="21"/>
          <w:szCs w:val="21"/>
          <w:color w:val="auto"/>
        </w:rPr>
        <w:t>avocados and other agricultural products and other raw materials including fuel, packaging and paper; potental disruptons to our supply chain; risks associated with potental future acquisitons, including integraton; potental exposure to data breaches and other cyber-atacks on our systems or those of our suppliers or customers; dependence on large customers; dependence on key personnel, including personnel that have not yet been hired, and the ability of our future management team to work together successfully; potental for labor disputes; reliance on co-packers for a porton of our producton needs; compettve pressures, including from foreign growers; risks of recalls and food-related injuries to our customers; changing consumer preferences; the impact of environmental regulatons, including those related to climate change; risks associated with the environment and climate change, especially as they may afect our sources of supply; our ability to develop and transiton new products and services and enhance existng products and services to meet customer needs; risks associated with doing business internatonally (including possible restrictve U.S. and foreign governmental actons, such as restrictons on transfers of funds and COVID-19 and trade protecton measures such as import/export/customs dutes, tarifs and/or quotas and currency fuctuatons); risks associated with receivables from, loans to and/or equity investments in unconsolidated enttes; volatlity in the value of our common stock; the impact of macroeconomic trends and events; and the resoluton of pending investgatons, legal claims and tax disputes, including an assessment imposed by the Mexican Tax Administratve Service (the “SAT”) and our defenses against collecton actvites commenced by the SAT.</w:t>
      </w:r>
    </w:p>
    <w:p>
      <w:pPr>
        <w:spacing w:after="0" w:line="200" w:lineRule="exact"/>
        <w:rPr>
          <w:sz w:val="20"/>
          <w:szCs w:val="20"/>
          <w:color w:val="auto"/>
        </w:rPr>
      </w:pPr>
    </w:p>
    <w:p>
      <w:pPr>
        <w:spacing w:after="0" w:line="288" w:lineRule="exact"/>
        <w:rPr>
          <w:sz w:val="20"/>
          <w:szCs w:val="20"/>
          <w:color w:val="auto"/>
        </w:rPr>
      </w:pPr>
    </w:p>
    <w:p>
      <w:pPr>
        <w:ind w:left="60" w:right="79"/>
        <w:spacing w:after="0" w:line="245" w:lineRule="auto"/>
        <w:rPr>
          <w:sz w:val="20"/>
          <w:szCs w:val="20"/>
          <w:color w:val="auto"/>
        </w:rPr>
      </w:pPr>
      <w:r>
        <w:rPr>
          <w:rFonts w:ascii="Calibri" w:cs="Calibri" w:eastAsia="Calibri" w:hAnsi="Calibri"/>
          <w:sz w:val="22"/>
          <w:szCs w:val="22"/>
          <w:color w:val="auto"/>
        </w:rPr>
        <w:t>For a further discussion of these risks and uncertaintes and other risks and uncertaintes that we face, please see the risk factors described in our most recent Annual Report on Form 10-K fled with the Securites and Exchange Commission and any subsequent updates that may be contained in our Quarterly Reports on Form 10-Q and other flings with the Securites and Exchange Commission. Forward-looking statements contained in this press release are made only as of the date of this press release, and we undertake no obligaton to update or revise the forward-looking statements, whether as a result of new informaton,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260" w:type="dxa"/>
            <w:vAlign w:val="bottom"/>
          </w:tcPr>
          <w:p>
            <w:pPr>
              <w:ind w:left="100"/>
              <w:spacing w:after="0"/>
              <w:rPr>
                <w:sz w:val="20"/>
                <w:szCs w:val="20"/>
                <w:color w:val="auto"/>
              </w:rPr>
            </w:pPr>
            <w:r>
              <w:rPr>
                <w:rFonts w:ascii="Calibri" w:cs="Calibri" w:eastAsia="Calibri" w:hAnsi="Calibri"/>
                <w:sz w:val="22"/>
                <w:szCs w:val="22"/>
                <w:b w:val="1"/>
                <w:bCs w:val="1"/>
                <w:color w:val="auto"/>
              </w:rPr>
              <w:t>Investor Contact</w:t>
            </w:r>
          </w:p>
        </w:tc>
        <w:tc>
          <w:tcPr>
            <w:tcW w:w="5660" w:type="dxa"/>
            <w:vAlign w:val="bottom"/>
          </w:tcPr>
          <w:p>
            <w:pPr>
              <w:ind w:left="200"/>
              <w:spacing w:after="0"/>
              <w:rPr>
                <w:sz w:val="20"/>
                <w:szCs w:val="20"/>
                <w:color w:val="auto"/>
              </w:rPr>
            </w:pPr>
            <w:r>
              <w:rPr>
                <w:rFonts w:ascii="Calibri" w:cs="Calibri" w:eastAsia="Calibri" w:hAnsi="Calibri"/>
                <w:sz w:val="22"/>
                <w:szCs w:val="22"/>
                <w:b w:val="1"/>
                <w:bCs w:val="1"/>
                <w:color w:val="auto"/>
              </w:rPr>
              <w:t>Media Contact</w:t>
            </w:r>
          </w:p>
        </w:tc>
      </w:tr>
      <w:tr>
        <w:trPr>
          <w:trHeight w:val="257"/>
        </w:trPr>
        <w:tc>
          <w:tcPr>
            <w:tcW w:w="3260" w:type="dxa"/>
            <w:vAlign w:val="bottom"/>
          </w:tcPr>
          <w:p>
            <w:pPr>
              <w:ind w:left="100"/>
              <w:spacing w:after="0" w:line="257" w:lineRule="exact"/>
              <w:rPr>
                <w:sz w:val="20"/>
                <w:szCs w:val="20"/>
                <w:color w:val="auto"/>
              </w:rPr>
            </w:pPr>
            <w:r>
              <w:rPr>
                <w:rFonts w:ascii="Calibri" w:cs="Calibri" w:eastAsia="Calibri" w:hAnsi="Calibri"/>
                <w:sz w:val="22"/>
                <w:szCs w:val="22"/>
                <w:color w:val="auto"/>
              </w:rPr>
              <w:t>Julie Kegley, Senior Vice President</w:t>
            </w:r>
          </w:p>
        </w:tc>
        <w:tc>
          <w:tcPr>
            <w:tcW w:w="5660" w:type="dxa"/>
            <w:vAlign w:val="bottom"/>
          </w:tcPr>
          <w:p>
            <w:pPr>
              <w:ind w:left="200"/>
              <w:spacing w:after="0" w:line="257" w:lineRule="exact"/>
              <w:rPr>
                <w:sz w:val="20"/>
                <w:szCs w:val="20"/>
                <w:color w:val="auto"/>
              </w:rPr>
            </w:pPr>
            <w:r>
              <w:rPr>
                <w:rFonts w:ascii="Calibri" w:cs="Calibri" w:eastAsia="Calibri" w:hAnsi="Calibri"/>
                <w:sz w:val="22"/>
                <w:szCs w:val="22"/>
                <w:color w:val="auto"/>
              </w:rPr>
              <w:t>Thomas Federl, VP Communicatons, Marketng &amp; ESG</w:t>
            </w:r>
          </w:p>
        </w:tc>
      </w:tr>
      <w:tr>
        <w:trPr>
          <w:trHeight w:val="257"/>
        </w:trPr>
        <w:tc>
          <w:tcPr>
            <w:tcW w:w="3260" w:type="dxa"/>
            <w:vAlign w:val="bottom"/>
          </w:tcPr>
          <w:p>
            <w:pPr>
              <w:ind w:left="100"/>
              <w:spacing w:after="0" w:line="257" w:lineRule="exact"/>
              <w:rPr>
                <w:sz w:val="20"/>
                <w:szCs w:val="20"/>
                <w:color w:val="auto"/>
              </w:rPr>
            </w:pPr>
            <w:r>
              <w:rPr>
                <w:rFonts w:ascii="Calibri" w:cs="Calibri" w:eastAsia="Calibri" w:hAnsi="Calibri"/>
                <w:sz w:val="22"/>
                <w:szCs w:val="22"/>
                <w:color w:val="auto"/>
              </w:rPr>
              <w:t>Financial Profles, Inc.</w:t>
            </w:r>
          </w:p>
        </w:tc>
        <w:tc>
          <w:tcPr>
            <w:tcW w:w="5660" w:type="dxa"/>
            <w:vAlign w:val="bottom"/>
          </w:tcPr>
          <w:p>
            <w:pPr>
              <w:ind w:left="200"/>
              <w:spacing w:after="0" w:line="257" w:lineRule="exact"/>
              <w:rPr>
                <w:sz w:val="20"/>
                <w:szCs w:val="20"/>
                <w:color w:val="auto"/>
              </w:rPr>
            </w:pPr>
            <w:r>
              <w:rPr>
                <w:rFonts w:ascii="Calibri" w:cs="Calibri" w:eastAsia="Calibri" w:hAnsi="Calibri"/>
                <w:sz w:val="22"/>
                <w:szCs w:val="22"/>
                <w:color w:val="auto"/>
              </w:rPr>
              <w:t>Calavo Growers, Inc.</w:t>
            </w:r>
          </w:p>
        </w:tc>
      </w:tr>
      <w:tr>
        <w:trPr>
          <w:trHeight w:val="256"/>
        </w:trPr>
        <w:tc>
          <w:tcPr>
            <w:tcW w:w="3260" w:type="dxa"/>
            <w:vAlign w:val="bottom"/>
          </w:tcPr>
          <w:p>
            <w:pPr>
              <w:ind w:left="100"/>
              <w:spacing w:after="0" w:line="257" w:lineRule="exact"/>
              <w:rPr>
                <w:sz w:val="20"/>
                <w:szCs w:val="20"/>
                <w:color w:val="auto"/>
              </w:rPr>
            </w:pPr>
            <w:r>
              <w:rPr>
                <w:rFonts w:ascii="Calibri" w:cs="Calibri" w:eastAsia="Calibri" w:hAnsi="Calibri"/>
                <w:sz w:val="22"/>
                <w:szCs w:val="22"/>
                <w:color w:val="auto"/>
              </w:rPr>
              <w:t>calavo@fnprofles.com</w:t>
            </w:r>
          </w:p>
        </w:tc>
        <w:tc>
          <w:tcPr>
            <w:tcW w:w="5660" w:type="dxa"/>
            <w:vAlign w:val="bottom"/>
          </w:tcPr>
          <w:p>
            <w:pPr>
              <w:ind w:left="200"/>
              <w:spacing w:after="0" w:line="257" w:lineRule="exact"/>
              <w:rPr>
                <w:sz w:val="20"/>
                <w:szCs w:val="20"/>
                <w:color w:val="auto"/>
              </w:rPr>
            </w:pPr>
            <w:r>
              <w:rPr>
                <w:rFonts w:ascii="Calibri" w:cs="Calibri" w:eastAsia="Calibri" w:hAnsi="Calibri"/>
                <w:sz w:val="22"/>
                <w:szCs w:val="22"/>
                <w:color w:val="auto"/>
              </w:rPr>
              <w:t>Thomas.Federl@calavo.com</w:t>
            </w:r>
          </w:p>
        </w:tc>
      </w:tr>
      <w:tr>
        <w:trPr>
          <w:trHeight w:val="258"/>
        </w:trPr>
        <w:tc>
          <w:tcPr>
            <w:tcW w:w="3260" w:type="dxa"/>
            <w:vAlign w:val="bottom"/>
          </w:tcPr>
          <w:p>
            <w:pPr>
              <w:ind w:left="100"/>
              <w:spacing w:after="0" w:line="258" w:lineRule="exact"/>
              <w:rPr>
                <w:sz w:val="20"/>
                <w:szCs w:val="20"/>
                <w:color w:val="auto"/>
              </w:rPr>
            </w:pPr>
            <w:r>
              <w:rPr>
                <w:rFonts w:ascii="Calibri" w:cs="Calibri" w:eastAsia="Calibri" w:hAnsi="Calibri"/>
                <w:sz w:val="22"/>
                <w:szCs w:val="22"/>
                <w:color w:val="auto"/>
              </w:rPr>
              <w:t>310-622-8246</w:t>
            </w:r>
          </w:p>
        </w:tc>
        <w:tc>
          <w:tcPr>
            <w:tcW w:w="5660" w:type="dxa"/>
            <w:vAlign w:val="bottom"/>
          </w:tcPr>
          <w:p>
            <w:pPr>
              <w:ind w:left="200"/>
              <w:spacing w:after="0" w:line="258" w:lineRule="exact"/>
              <w:rPr>
                <w:sz w:val="20"/>
                <w:szCs w:val="20"/>
                <w:color w:val="auto"/>
              </w:rPr>
            </w:pPr>
            <w:r>
              <w:rPr>
                <w:rFonts w:ascii="Calibri" w:cs="Calibri" w:eastAsia="Calibri" w:hAnsi="Calibri"/>
                <w:sz w:val="22"/>
                <w:szCs w:val="22"/>
                <w:color w:val="auto"/>
              </w:rPr>
              <w:t>843-801-4174</w:t>
            </w:r>
          </w:p>
        </w:tc>
      </w:tr>
      <w:tr>
        <w:trPr>
          <w:trHeight w:val="1114"/>
        </w:trPr>
        <w:tc>
          <w:tcPr>
            <w:tcW w:w="32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52" w:right="1440" w:bottom="1440" w:gutter="0" w:footer="0" w:header="0"/>
        </w:sectPr>
      </w:pPr>
    </w:p>
    <w:bookmarkStart w:id="10" w:name="page11"/>
    <w:bookmarkEnd w:id="10"/>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8</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60" w:lineRule="exact"/>
        <w:rPr>
          <w:sz w:val="20"/>
          <w:szCs w:val="20"/>
          <w:color w:val="auto"/>
        </w:rPr>
      </w:pPr>
    </w:p>
    <w:p>
      <w:pPr>
        <w:ind w:left="3480"/>
        <w:spacing w:after="0"/>
        <w:rPr>
          <w:sz w:val="20"/>
          <w:szCs w:val="20"/>
          <w:color w:val="auto"/>
        </w:rPr>
      </w:pPr>
      <w:r>
        <w:rPr>
          <w:rFonts w:ascii="Calibri" w:cs="Calibri" w:eastAsia="Calibri" w:hAnsi="Calibri"/>
          <w:sz w:val="20"/>
          <w:szCs w:val="20"/>
          <w:b w:val="1"/>
          <w:bCs w:val="1"/>
          <w:color w:val="auto"/>
        </w:rPr>
        <w:t>CALAVO GROWERS, INC.</w:t>
      </w:r>
    </w:p>
    <w:p>
      <w:pPr>
        <w:ind w:left="1960"/>
        <w:spacing w:after="0" w:line="238" w:lineRule="auto"/>
        <w:rPr>
          <w:sz w:val="20"/>
          <w:szCs w:val="20"/>
          <w:color w:val="auto"/>
        </w:rPr>
      </w:pPr>
      <w:r>
        <w:rPr>
          <w:rFonts w:ascii="Calibri" w:cs="Calibri" w:eastAsia="Calibri" w:hAnsi="Calibri"/>
          <w:sz w:val="20"/>
          <w:szCs w:val="20"/>
          <w:b w:val="1"/>
          <w:bCs w:val="1"/>
          <w:color w:val="auto"/>
        </w:rPr>
        <w:t>CONSOLIDATED CONDENSED BALANCE SHEETS (UNAUDITED)</w:t>
      </w:r>
    </w:p>
    <w:p>
      <w:pPr>
        <w:jc w:val="center"/>
        <w:ind w:right="19"/>
        <w:spacing w:after="0" w:line="226" w:lineRule="auto"/>
        <w:rPr>
          <w:sz w:val="20"/>
          <w:szCs w:val="20"/>
          <w:color w:val="auto"/>
        </w:rPr>
      </w:pPr>
      <w:r>
        <w:rPr>
          <w:rFonts w:ascii="Calibri" w:cs="Calibri" w:eastAsia="Calibri" w:hAnsi="Calibri"/>
          <w:sz w:val="20"/>
          <w:szCs w:val="20"/>
          <w:b w:val="1"/>
          <w:bCs w:val="1"/>
          <w:color w:val="auto"/>
        </w:rPr>
        <w:t>(in thousands)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$4,429 (2022) and $4,816 (2021)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Advances to suppliers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Limoneira Company</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430,525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445,402</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 to growers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payable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pursuant to credit facilities, long-term</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($0.001 par value, 100,000 shares authorized; 17,732 and 17,686 shares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 and outstanding as of July 31, 2022 and October 31, 2021, respectively)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225,839</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430,525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7"/>
        </w:trPr>
        <w:tc>
          <w:tcPr>
            <w:tcW w:w="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2" w:right="1440" w:bottom="1440" w:gutter="0" w:footer="0" w:header="0"/>
        </w:sectPr>
      </w:pPr>
    </w:p>
    <w:bookmarkStart w:id="11" w:name="page12"/>
    <w:bookmarkEnd w:id="11"/>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9</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60" w:lineRule="exact"/>
        <w:rPr>
          <w:sz w:val="20"/>
          <w:szCs w:val="20"/>
          <w:color w:val="auto"/>
        </w:rPr>
      </w:pPr>
    </w:p>
    <w:p>
      <w:pPr>
        <w:ind w:left="3480"/>
        <w:spacing w:after="0"/>
        <w:rPr>
          <w:sz w:val="20"/>
          <w:szCs w:val="20"/>
          <w:color w:val="auto"/>
        </w:rPr>
      </w:pPr>
      <w:r>
        <w:rPr>
          <w:rFonts w:ascii="Calibri" w:cs="Calibri" w:eastAsia="Calibri" w:hAnsi="Calibri"/>
          <w:sz w:val="20"/>
          <w:szCs w:val="20"/>
          <w:b w:val="1"/>
          <w:bCs w:val="1"/>
          <w:color w:val="auto"/>
        </w:rPr>
        <w:t>CALAVO GROWERS, INC.</w:t>
      </w:r>
    </w:p>
    <w:p>
      <w:pPr>
        <w:ind w:left="1440"/>
        <w:spacing w:after="0" w:line="238" w:lineRule="auto"/>
        <w:rPr>
          <w:sz w:val="20"/>
          <w:szCs w:val="20"/>
          <w:color w:val="auto"/>
        </w:rPr>
      </w:pPr>
      <w:r>
        <w:rPr>
          <w:rFonts w:ascii="Calibri" w:cs="Calibri" w:eastAsia="Calibri" w:hAnsi="Calibri"/>
          <w:sz w:val="20"/>
          <w:szCs w:val="20"/>
          <w:b w:val="1"/>
          <w:bCs w:val="1"/>
          <w:color w:val="auto"/>
        </w:rPr>
        <w:t>CONSOLIDATED CONDENSED STATEMENTS OF OPERATIONS (UNAUDITED)</w:t>
      </w:r>
    </w:p>
    <w:p>
      <w:pPr>
        <w:jc w:val="center"/>
        <w:ind w:right="19"/>
        <w:spacing w:after="0" w:line="226" w:lineRule="auto"/>
        <w:rPr>
          <w:sz w:val="20"/>
          <w:szCs w:val="20"/>
          <w:color w:val="auto"/>
        </w:rPr>
      </w:pPr>
      <w:r>
        <w:rPr>
          <w:rFonts w:ascii="Calibri" w:cs="Calibri" w:eastAsia="Calibri" w:hAnsi="Calibri"/>
          <w:sz w:val="20"/>
          <w:szCs w:val="20"/>
          <w:b w:val="1"/>
          <w:bCs w:val="1"/>
          <w:color w:val="auto"/>
        </w:rPr>
        <w:t>(in thousands, except per share amounts)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sales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341,991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285,008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947,501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782,407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323,477</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277,141</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894,017</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734,101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18,514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7,867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53,484</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48,306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16,713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12,387</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48,566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Expenses related to Mexican tax matters</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1,342</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1,148</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1,342</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Impairment  and  charges  related  to  Florida  facility</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closure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Gain on sale of Temecula packinghouse</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5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Operating income (loss)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6,752</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Recovery on reserve for FreshRealm note receivable</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and impairment of investment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1,433</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Unrealized net gain (loss) on Limoneira shares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(5,803)</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20"/>
                <w:szCs w:val="20"/>
                <w:color w:val="auto"/>
              </w:rPr>
              <w:t>Income  (loss)  before  income  taxes  and  loss  from</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unconsolidated entities</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2,570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(2,669)</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Income tax (provision) benefit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loss from unconsolidated entities</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2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(812)</w:t>
            </w:r>
          </w:p>
        </w:tc>
        <w:tc>
          <w:tcPr>
            <w:tcW w:w="2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(1,755)</w:t>
            </w:r>
          </w:p>
        </w:tc>
        <w:tc>
          <w:tcPr>
            <w:tcW w:w="0" w:type="dxa"/>
            <w:vAlign w:val="bottom"/>
          </w:tcPr>
          <w:p>
            <w:pPr>
              <w:spacing w:after="0"/>
              <w:rPr>
                <w:sz w:val="1"/>
                <w:szCs w:val="1"/>
                <w:color w:val="auto"/>
              </w:rPr>
            </w:pPr>
          </w:p>
        </w:tc>
      </w:tr>
      <w:tr>
        <w:trPr>
          <w:trHeight w:val="25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income (loss)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Add: Net loss (income) attributable to noncontrolling</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interest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2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9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income (loss) attributable to Calavo Growers, Inc.</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(12,981)</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(2,933)</w:t>
            </w:r>
          </w:p>
        </w:tc>
        <w:tc>
          <w:tcPr>
            <w:tcW w:w="2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Calavo Growers, Inc.’s net income (loss) per share: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Basic</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(0.74)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20"/>
                <w:szCs w:val="20"/>
                <w:color w:val="auto"/>
              </w:rPr>
              <w:t>Diluted</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580" w:type="dxa"/>
            <w:vAlign w:val="bottom"/>
            <w:tcBorders>
              <w:bottom w:val="single" w:sz="8" w:color="CCEEFF"/>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(0.74)</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(0.17)</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Number of shares used in per share computation:</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Basic</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17,667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17,630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17,661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Diluted</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17,769</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17,630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17,661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7"/>
        </w:trPr>
        <w:tc>
          <w:tcPr>
            <w:tcW w:w="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2" w:right="1440" w:bottom="1440" w:gutter="0" w:footer="0" w:header="0"/>
        </w:sectPr>
      </w:pPr>
    </w:p>
    <w:bookmarkStart w:id="12" w:name="page13"/>
    <w:bookmarkEnd w:id="12"/>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10</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55"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CALAVO GROWERS, INC.</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NET SALES AND GROSS PROFIT BY BUSINESS SEGMENT (UNAUDITED)</w:t>
      </w:r>
    </w:p>
    <w:p>
      <w:pPr>
        <w:spacing w:after="0" w:line="15"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Interco.</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Elimins.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17"/>
          </w:tcPr>
          <w:p>
            <w:pPr>
              <w:ind w:left="480"/>
              <w:spacing w:after="0"/>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Three months ended July 31, 2022</w:t>
            </w: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207,589</w:t>
            </w:r>
          </w:p>
        </w:tc>
        <w:tc>
          <w:tcPr>
            <w:tcW w:w="4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134,872</w:t>
            </w:r>
          </w:p>
        </w:tc>
        <w:tc>
          <w:tcPr>
            <w:tcW w:w="4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(470)</w:t>
            </w:r>
          </w:p>
        </w:tc>
        <w:tc>
          <w:tcPr>
            <w:tcW w:w="40" w:type="dxa"/>
            <w:vAlign w:val="bottom"/>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341,991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195,818</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128,129</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323,477</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1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11,771</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6,743</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18,514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Three months ended July 31, 2021</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sales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161,580</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124,100</w:t>
            </w:r>
          </w:p>
        </w:tc>
        <w:tc>
          <w:tcPr>
            <w:tcW w:w="4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(672)</w:t>
            </w:r>
          </w:p>
        </w:tc>
        <w:tc>
          <w:tcPr>
            <w:tcW w:w="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285,008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149,378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128,435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w:t>
            </w: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277,141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12,202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(4,335)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7,867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Interco.</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Grown</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Elimins.</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17"/>
          </w:tcPr>
          <w:p>
            <w:pPr>
              <w:ind w:left="480"/>
              <w:spacing w:after="0"/>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Nine months ended July 31, 2022</w:t>
            </w: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09"/>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sales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581,171</w:t>
            </w:r>
          </w:p>
        </w:tc>
        <w:tc>
          <w:tcPr>
            <w:tcW w:w="4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367,889</w:t>
            </w:r>
          </w:p>
        </w:tc>
        <w:tc>
          <w:tcPr>
            <w:tcW w:w="40" w:type="dxa"/>
            <w:vAlign w:val="bottom"/>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$(1,559)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947,501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20" w:type="dxa"/>
            <w:vAlign w:val="bottom"/>
          </w:tcPr>
          <w:p>
            <w:pPr>
              <w:spacing w:after="0"/>
              <w:rPr>
                <w:sz w:val="24"/>
                <w:szCs w:val="24"/>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539,577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355,999</w:t>
            </w:r>
          </w:p>
        </w:tc>
        <w:tc>
          <w:tcPr>
            <w:tcW w:w="40" w:type="dxa"/>
            <w:vAlign w:val="bottom"/>
            <w:shd w:val="clear" w:color="auto" w:fill="CCEEFF"/>
          </w:tcPr>
          <w:p>
            <w:pPr>
              <w:spacing w:after="0"/>
              <w:rPr>
                <w:sz w:val="24"/>
                <w:szCs w:val="24"/>
                <w:color w:val="auto"/>
              </w:rPr>
            </w:pP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(1,559)</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894,017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14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41,594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11,890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53,484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Nine months ended July 31, 2021</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sales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438,725</w:t>
            </w:r>
          </w:p>
        </w:tc>
        <w:tc>
          <w:tcPr>
            <w:tcW w:w="4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345,597</w:t>
            </w:r>
          </w:p>
        </w:tc>
        <w:tc>
          <w:tcPr>
            <w:tcW w:w="40" w:type="dxa"/>
            <w:vAlign w:val="bottom"/>
            <w:shd w:val="clear" w:color="auto" w:fill="CCEEFF"/>
          </w:tcPr>
          <w:p>
            <w:pPr>
              <w:spacing w:after="0"/>
              <w:rPr>
                <w:sz w:val="24"/>
                <w:szCs w:val="24"/>
                <w:color w:val="auto"/>
              </w:rPr>
            </w:pP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$(1,915)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782,407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398,370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337,646</w:t>
            </w:r>
          </w:p>
        </w:tc>
        <w:tc>
          <w:tcPr>
            <w:tcW w:w="40" w:type="dxa"/>
            <w:vAlign w:val="bottom"/>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(1,915)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734,101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1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40,355</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7,951</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48,306</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60" w:right="259"/>
        <w:spacing w:after="0" w:line="272" w:lineRule="auto"/>
        <w:rPr>
          <w:sz w:val="20"/>
          <w:szCs w:val="20"/>
          <w:color w:val="auto"/>
        </w:rPr>
      </w:pPr>
      <w:r>
        <w:rPr>
          <w:rFonts w:ascii="Times New Roman" w:cs="Times New Roman" w:eastAsia="Times New Roman" w:hAnsi="Times New Roman"/>
          <w:sz w:val="20"/>
          <w:szCs w:val="20"/>
          <w:color w:val="auto"/>
        </w:rPr>
        <w:t>For the three months ended July 31, 2022 and 2021, intercompany sales and cost of sales of $0.5 million and $0.7 million between Grown products and Prepared products were eliminated. For the nine months ended July 31, 2022 and 2021, intercompany sales and cost of sales of $1.6 million and $1.9 million between Grown products and Prepared products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801370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3" w:name="page14"/>
    <w:bookmarkEnd w:id="13"/>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11</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60" w:lineRule="exact"/>
        <w:rPr>
          <w:sz w:val="20"/>
          <w:szCs w:val="20"/>
          <w:color w:val="auto"/>
        </w:rPr>
      </w:pPr>
    </w:p>
    <w:p>
      <w:pPr>
        <w:ind w:left="3480"/>
        <w:spacing w:after="0"/>
        <w:rPr>
          <w:sz w:val="20"/>
          <w:szCs w:val="20"/>
          <w:color w:val="auto"/>
        </w:rPr>
      </w:pPr>
      <w:r>
        <w:rPr>
          <w:rFonts w:ascii="Calibri" w:cs="Calibri" w:eastAsia="Calibri" w:hAnsi="Calibri"/>
          <w:sz w:val="20"/>
          <w:szCs w:val="20"/>
          <w:b w:val="1"/>
          <w:bCs w:val="1"/>
          <w:color w:val="auto"/>
        </w:rPr>
        <w:t>CALAVO GROWERS, INC.</w:t>
      </w:r>
    </w:p>
    <w:p>
      <w:pPr>
        <w:ind w:left="1640"/>
        <w:spacing w:after="0" w:line="238" w:lineRule="auto"/>
        <w:rPr>
          <w:sz w:val="20"/>
          <w:szCs w:val="20"/>
          <w:color w:val="auto"/>
        </w:rPr>
      </w:pPr>
      <w:r>
        <w:rPr>
          <w:rFonts w:ascii="Calibri" w:cs="Calibri" w:eastAsia="Calibri" w:hAnsi="Calibri"/>
          <w:sz w:val="20"/>
          <w:szCs w:val="20"/>
          <w:b w:val="1"/>
          <w:bCs w:val="1"/>
          <w:color w:val="auto"/>
        </w:rPr>
        <w:t>RECONCILIATION OF ADJUSTED NET INCOME AND EPS (UNAUDITED)</w:t>
      </w:r>
    </w:p>
    <w:p>
      <w:pPr>
        <w:jc w:val="center"/>
        <w:ind w:right="19"/>
        <w:spacing w:after="0" w:line="226" w:lineRule="auto"/>
        <w:rPr>
          <w:sz w:val="20"/>
          <w:szCs w:val="20"/>
          <w:color w:val="auto"/>
        </w:rPr>
      </w:pPr>
      <w:r>
        <w:rPr>
          <w:rFonts w:ascii="Calibri" w:cs="Calibri" w:eastAsia="Calibri" w:hAnsi="Calibri"/>
          <w:sz w:val="20"/>
          <w:szCs w:val="20"/>
          <w:b w:val="1"/>
          <w:bCs w:val="1"/>
          <w:color w:val="auto"/>
        </w:rPr>
        <w:t>(in thousands, except per share amounts)</w:t>
      </w:r>
    </w:p>
    <w:p>
      <w:pPr>
        <w:spacing w:after="0" w:line="254"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20"/>
          <w:szCs w:val="20"/>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earlier in this release.</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income (loss) attributable to Calavo</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Growers, Inc.</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(12,981)</w:t>
            </w:r>
          </w:p>
        </w:tc>
        <w:tc>
          <w:tcPr>
            <w:tcW w:w="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(2,933)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Non-GAAP adjustments:</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Non-cash losses recognized from unconsolidated</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entities (a)</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Recovery from FreshRealm and other related</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expenses (b)</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Acquisition costs (c)</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(gain) loss on Limoneira shares (d)</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Rent expense add back (e)</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Restructure costs - consulting, management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recruiting and severance (f)</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1,198</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Mexican tax matters (g)</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13,815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1,634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13,815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Impairment and charges related to closure of Florida</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facility (h)</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Tax impact of adjustments (i)</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1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1,168</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(3,380)</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2,332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Adjusted net income (loss) attributed to Calavo</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2,856</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(3,044)</w:t>
            </w:r>
          </w:p>
        </w:tc>
        <w:tc>
          <w:tcPr>
            <w:tcW w:w="36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8,272</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7,603</w:t>
            </w:r>
          </w:p>
        </w:tc>
        <w:tc>
          <w:tcPr>
            <w:tcW w:w="0" w:type="dxa"/>
            <w:vAlign w:val="bottom"/>
          </w:tcPr>
          <w:p>
            <w:pPr>
              <w:spacing w:after="0"/>
              <w:rPr>
                <w:sz w:val="1"/>
                <w:szCs w:val="1"/>
                <w:color w:val="auto"/>
              </w:rPr>
            </w:pPr>
          </w:p>
        </w:tc>
      </w:tr>
      <w:tr>
        <w:trPr>
          <w:trHeight w:val="292"/>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Growers, Inc.</w:t>
            </w:r>
          </w:p>
        </w:tc>
        <w:tc>
          <w:tcPr>
            <w:tcW w:w="280" w:type="dxa"/>
            <w:vAlign w:val="bottom"/>
            <w:gridSpan w:val="2"/>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220" w:type="dxa"/>
            <w:vAlign w:val="bottom"/>
            <w:tcBorders>
              <w:top w:val="single" w:sz="8" w:color="CCEEFF"/>
            </w:tcBorders>
            <w:shd w:val="clear" w:color="auto" w:fill="CCEEFF"/>
          </w:tcPr>
          <w:p>
            <w:pPr>
              <w:spacing w:after="0"/>
              <w:rPr>
                <w:sz w:val="20"/>
                <w:szCs w:val="20"/>
                <w:color w:val="auto"/>
              </w:rPr>
            </w:pPr>
          </w:p>
        </w:tc>
        <w:tc>
          <w:tcPr>
            <w:tcW w:w="20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Calavo Growers, Inc.’s net income (loss) per share:</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Diluted EPS (GAAP)</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(0.74)</w:t>
            </w:r>
          </w:p>
        </w:tc>
        <w:tc>
          <w:tcPr>
            <w:tcW w:w="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20"/>
                <w:szCs w:val="20"/>
                <w:color w:val="auto"/>
              </w:rPr>
              <w:t>Adjusted Diluted EPS</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300" w:type="dxa"/>
            <w:vAlign w:val="bottom"/>
            <w:tcBorders>
              <w:bottom w:val="single" w:sz="8" w:color="CCEEFF"/>
            </w:tcBorders>
            <w:gridSpan w:val="2"/>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(0.17)</w:t>
            </w: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 shares used in per share computation:</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Diluted</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17,769</w:t>
            </w:r>
          </w:p>
        </w:tc>
        <w:tc>
          <w:tcPr>
            <w:tcW w:w="1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17,630</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17,726</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17,669</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540" w:right="179" w:hanging="328"/>
        <w:spacing w:after="0" w:line="234" w:lineRule="auto"/>
        <w:tabs>
          <w:tab w:leader="none" w:pos="540" w:val="left"/>
        </w:tabs>
        <w:numPr>
          <w:ilvl w:val="0"/>
          <w:numId w:val="8"/>
        </w:numPr>
        <w:rPr>
          <w:rFonts w:ascii="Calibri" w:cs="Calibri" w:eastAsia="Calibri" w:hAnsi="Calibri"/>
          <w:sz w:val="16"/>
          <w:szCs w:val="16"/>
          <w:color w:val="auto"/>
        </w:rPr>
      </w:pPr>
      <w:r>
        <w:rPr>
          <w:rFonts w:ascii="Calibri" w:cs="Calibri" w:eastAsia="Calibri" w:hAnsi="Calibri"/>
          <w:sz w:val="16"/>
          <w:szCs w:val="16"/>
          <w:color w:val="auto"/>
        </w:rPr>
        <w:t>For the three months ended July 31, 2022 and 2021, we realized losses from Agricola Don Memo totaling $0.3 million and $0.5 million. For the nine months ended July 31, 2022 and 2021, we realized losses from Agricola Don Memo totaling less than $0.8 million and $1.8 million.</w:t>
      </w:r>
    </w:p>
    <w:p>
      <w:pPr>
        <w:spacing w:after="0" w:line="9" w:lineRule="exact"/>
        <w:rPr>
          <w:rFonts w:ascii="Calibri" w:cs="Calibri" w:eastAsia="Calibri" w:hAnsi="Calibri"/>
          <w:sz w:val="16"/>
          <w:szCs w:val="16"/>
          <w:color w:val="auto"/>
        </w:rPr>
      </w:pPr>
    </w:p>
    <w:p>
      <w:pPr>
        <w:ind w:left="540" w:right="99" w:hanging="328"/>
        <w:spacing w:after="0" w:line="236" w:lineRule="auto"/>
        <w:tabs>
          <w:tab w:leader="none" w:pos="540" w:val="left"/>
        </w:tabs>
        <w:numPr>
          <w:ilvl w:val="0"/>
          <w:numId w:val="8"/>
        </w:numPr>
        <w:rPr>
          <w:rFonts w:ascii="Calibri" w:cs="Calibri" w:eastAsia="Calibri" w:hAnsi="Calibri"/>
          <w:sz w:val="16"/>
          <w:szCs w:val="16"/>
          <w:color w:val="auto"/>
        </w:rPr>
      </w:pPr>
      <w:r>
        <w:rPr>
          <w:rFonts w:ascii="Calibri" w:cs="Calibri" w:eastAsia="Calibri" w:hAnsi="Calibri"/>
          <w:sz w:val="16"/>
          <w:szCs w:val="16"/>
          <w:color w:val="auto"/>
        </w:rPr>
        <w:t>In July 2021, as part of the FreshRealm Separaton Agreement, FreshRealm paid Calavo the Loan Payof Amount of $6.0 million, and we recorded the receipt on the statement of operatons as a recovery of the reserve for collectability of the FreshRealm note receivable. For the three and nine months ended July 31, 2022, we recognized a return to provision discrete tax expense of $0.6 million due to the fnalizaton of the tax treatment of the loss related to the previously recorded impairment of the investment in FreshRealm.</w:t>
      </w:r>
    </w:p>
    <w:p>
      <w:pPr>
        <w:spacing w:after="0" w:line="2" w:lineRule="exact"/>
        <w:rPr>
          <w:rFonts w:ascii="Calibri" w:cs="Calibri" w:eastAsia="Calibri" w:hAnsi="Calibri"/>
          <w:sz w:val="16"/>
          <w:szCs w:val="16"/>
          <w:color w:val="auto"/>
        </w:rPr>
      </w:pPr>
    </w:p>
    <w:p>
      <w:pPr>
        <w:ind w:left="540" w:right="139" w:hanging="328"/>
        <w:spacing w:after="0" w:line="232" w:lineRule="auto"/>
        <w:tabs>
          <w:tab w:leader="none" w:pos="540" w:val="left"/>
        </w:tabs>
        <w:numPr>
          <w:ilvl w:val="0"/>
          <w:numId w:val="8"/>
        </w:numPr>
        <w:rPr>
          <w:rFonts w:ascii="Calibri" w:cs="Calibri" w:eastAsia="Calibri" w:hAnsi="Calibri"/>
          <w:sz w:val="16"/>
          <w:szCs w:val="16"/>
          <w:color w:val="auto"/>
        </w:rPr>
      </w:pPr>
      <w:r>
        <w:rPr>
          <w:rFonts w:ascii="Calibri" w:cs="Calibri" w:eastAsia="Calibri" w:hAnsi="Calibri"/>
          <w:sz w:val="16"/>
          <w:szCs w:val="16"/>
          <w:color w:val="auto"/>
        </w:rPr>
        <w:t>For the nine months ended July 31, 2021, we incurred professional service costs related to a considered but non-consummated acquisiton.</w:t>
      </w:r>
    </w:p>
    <w:p>
      <w:pPr>
        <w:spacing w:after="0" w:line="9" w:lineRule="exact"/>
        <w:rPr>
          <w:rFonts w:ascii="Calibri" w:cs="Calibri" w:eastAsia="Calibri" w:hAnsi="Calibri"/>
          <w:sz w:val="16"/>
          <w:szCs w:val="16"/>
          <w:color w:val="auto"/>
        </w:rPr>
      </w:pPr>
    </w:p>
    <w:p>
      <w:pPr>
        <w:ind w:left="540" w:right="159" w:hanging="328"/>
        <w:spacing w:after="0" w:line="237" w:lineRule="auto"/>
        <w:tabs>
          <w:tab w:leader="none" w:pos="540" w:val="left"/>
        </w:tabs>
        <w:numPr>
          <w:ilvl w:val="0"/>
          <w:numId w:val="8"/>
        </w:numPr>
        <w:rPr>
          <w:rFonts w:ascii="Calibri" w:cs="Calibri" w:eastAsia="Calibri" w:hAnsi="Calibri"/>
          <w:sz w:val="16"/>
          <w:szCs w:val="16"/>
          <w:color w:val="auto"/>
        </w:rPr>
      </w:pPr>
      <w:r>
        <w:rPr>
          <w:rFonts w:ascii="Calibri" w:cs="Calibri" w:eastAsia="Calibri" w:hAnsi="Calibri"/>
          <w:sz w:val="16"/>
          <w:szCs w:val="16"/>
          <w:color w:val="auto"/>
        </w:rPr>
        <w:t>For the three months ended July 31, 2022 and 2021, we recorded $1.2 million in unrealized gains and $0.3 million in unrealized losses related to these mark-to-market adjustments, respectvely. For the nine months ended July 31, 2022 and 2021, we recorded $5.8 million in unrealized losses and $6.8 million in unrealized gains related to these mark-to-market adjustments, respectvely.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516255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4" w:name="page15"/>
    <w:bookmarkEnd w:id="14"/>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12</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76" w:lineRule="exact"/>
        <w:rPr>
          <w:sz w:val="20"/>
          <w:szCs w:val="20"/>
          <w:color w:val="auto"/>
        </w:rPr>
      </w:pPr>
    </w:p>
    <w:p>
      <w:pPr>
        <w:ind w:left="540" w:right="519" w:hanging="328"/>
        <w:spacing w:after="0" w:line="239" w:lineRule="auto"/>
        <w:tabs>
          <w:tab w:leader="none" w:pos="540" w:val="left"/>
        </w:tabs>
        <w:numPr>
          <w:ilvl w:val="0"/>
          <w:numId w:val="9"/>
        </w:numPr>
        <w:rPr>
          <w:rFonts w:ascii="Calibri" w:cs="Calibri" w:eastAsia="Calibri" w:hAnsi="Calibri"/>
          <w:sz w:val="16"/>
          <w:szCs w:val="16"/>
          <w:color w:val="auto"/>
        </w:rPr>
      </w:pPr>
      <w:r>
        <w:rPr>
          <w:rFonts w:ascii="Calibri" w:cs="Calibri" w:eastAsia="Calibri" w:hAnsi="Calibri"/>
          <w:sz w:val="16"/>
          <w:szCs w:val="16"/>
          <w:color w:val="auto"/>
        </w:rPr>
        <w:t>For the three months ended July 31, 2022 and 2021, we incurred $0.1 million related to rent paid for Prepared’s former corporate ofce space that we have vacated and plan to sublease. For the nine months ended July 31, 2022 and 2021, we incurred $0.3 million related to rent paid for this same corporate ofce space.</w:t>
      </w:r>
    </w:p>
    <w:p>
      <w:pPr>
        <w:spacing w:after="0" w:line="1" w:lineRule="exact"/>
        <w:rPr>
          <w:rFonts w:ascii="Calibri" w:cs="Calibri" w:eastAsia="Calibri" w:hAnsi="Calibri"/>
          <w:sz w:val="16"/>
          <w:szCs w:val="16"/>
          <w:color w:val="auto"/>
        </w:rPr>
      </w:pPr>
    </w:p>
    <w:p>
      <w:pPr>
        <w:ind w:left="540" w:right="119" w:hanging="328"/>
        <w:spacing w:after="0" w:line="237" w:lineRule="auto"/>
        <w:tabs>
          <w:tab w:leader="none" w:pos="540" w:val="left"/>
        </w:tabs>
        <w:numPr>
          <w:ilvl w:val="0"/>
          <w:numId w:val="9"/>
        </w:numPr>
        <w:rPr>
          <w:rFonts w:ascii="Calibri" w:cs="Calibri" w:eastAsia="Calibri" w:hAnsi="Calibri"/>
          <w:sz w:val="16"/>
          <w:szCs w:val="16"/>
          <w:color w:val="auto"/>
        </w:rPr>
      </w:pPr>
      <w:r>
        <w:rPr>
          <w:rFonts w:ascii="Calibri" w:cs="Calibri" w:eastAsia="Calibri" w:hAnsi="Calibri"/>
          <w:sz w:val="16"/>
          <w:szCs w:val="16"/>
          <w:color w:val="auto"/>
        </w:rPr>
        <w:t>For the three and nine months ended July 31, 2022, we recorded $1.2 million and $4.5 million of consultng expenses related to an enterprise-wide strategic business review conducted for the purpose of restructuring to improve the proftability of the organizaton and efciency of our operatons. In additon, for the nine months ended July 31, 2022, we recorded $1.4 million of severance accrual related to the Project Uno restructuring. For the nine months ended July 31, 2021, we recorded higher stock-based compensaton for the early vestng of restricted stock for the retrement of our former Chief Executve Ofcer and Board member.</w:t>
      </w:r>
    </w:p>
    <w:p>
      <w:pPr>
        <w:spacing w:after="0" w:line="3" w:lineRule="exact"/>
        <w:rPr>
          <w:rFonts w:ascii="Calibri" w:cs="Calibri" w:eastAsia="Calibri" w:hAnsi="Calibri"/>
          <w:sz w:val="16"/>
          <w:szCs w:val="16"/>
          <w:color w:val="auto"/>
        </w:rPr>
      </w:pPr>
    </w:p>
    <w:p>
      <w:pPr>
        <w:ind w:left="540" w:right="119" w:hanging="328"/>
        <w:spacing w:after="0" w:line="236" w:lineRule="auto"/>
        <w:tabs>
          <w:tab w:leader="none" w:pos="540" w:val="left"/>
        </w:tabs>
        <w:numPr>
          <w:ilvl w:val="0"/>
          <w:numId w:val="9"/>
        </w:numPr>
        <w:rPr>
          <w:rFonts w:ascii="Calibri" w:cs="Calibri" w:eastAsia="Calibri" w:hAnsi="Calibri"/>
          <w:sz w:val="16"/>
          <w:szCs w:val="16"/>
          <w:color w:val="auto"/>
        </w:rPr>
      </w:pPr>
      <w:r>
        <w:rPr>
          <w:rFonts w:ascii="Calibri" w:cs="Calibri" w:eastAsia="Calibri" w:hAnsi="Calibri"/>
          <w:sz w:val="16"/>
          <w:szCs w:val="16"/>
          <w:color w:val="auto"/>
        </w:rPr>
        <w:t>For the three and nine months ended July 31, 2022, we incurred $0.3 million and $1.1 million of professional fees related to the Mexican tax maters. For the three and nine months ended July 31, 2022, we recognized a return to provision discrete tax expense of $0.5 million due to the fnalizaton of the tax treatment for the fnal setlement of the 2011 Assessment (see below). See Note 7 to the consolidated condensed fnancial statements included in our Quarterly Report for further informaton.</w:t>
      </w:r>
    </w:p>
    <w:p>
      <w:pPr>
        <w:spacing w:after="0" w:line="212" w:lineRule="exact"/>
        <w:rPr>
          <w:rFonts w:ascii="Calibri" w:cs="Calibri" w:eastAsia="Calibri" w:hAnsi="Calibri"/>
          <w:sz w:val="16"/>
          <w:szCs w:val="16"/>
          <w:color w:val="auto"/>
        </w:rPr>
      </w:pPr>
    </w:p>
    <w:p>
      <w:pPr>
        <w:ind w:left="540" w:right="139"/>
        <w:spacing w:after="0" w:line="237" w:lineRule="auto"/>
        <w:rPr>
          <w:rFonts w:ascii="Calibri" w:cs="Calibri" w:eastAsia="Calibri" w:hAnsi="Calibri"/>
          <w:sz w:val="16"/>
          <w:szCs w:val="16"/>
          <w:color w:val="auto"/>
        </w:rPr>
      </w:pPr>
      <w:r>
        <w:rPr>
          <w:rFonts w:ascii="Calibri" w:cs="Calibri" w:eastAsia="Calibri" w:hAnsi="Calibri"/>
          <w:sz w:val="16"/>
          <w:szCs w:val="16"/>
          <w:color w:val="auto"/>
        </w:rPr>
        <w:t>In June 2021, we paid $2.4 million in full setlement of the 2011 Assessment. Of this amount, $1.5 million has been recorded as a discrete item in the Income Tax Provision and $0.9 million is related to Value Added Tax expense and recorded as expenses related to the Mexican tax maters. An additonal $0.3 million of related professional fees have also been recorded as expenses related to the Mexican tax maters.</w:t>
      </w:r>
    </w:p>
    <w:p>
      <w:pPr>
        <w:spacing w:after="0" w:line="200" w:lineRule="exact"/>
        <w:rPr>
          <w:rFonts w:ascii="Calibri" w:cs="Calibri" w:eastAsia="Calibri" w:hAnsi="Calibri"/>
          <w:sz w:val="16"/>
          <w:szCs w:val="16"/>
          <w:color w:val="auto"/>
        </w:rPr>
      </w:pPr>
    </w:p>
    <w:p>
      <w:pPr>
        <w:ind w:left="540" w:right="199"/>
        <w:spacing w:after="0" w:line="239" w:lineRule="auto"/>
        <w:rPr>
          <w:rFonts w:ascii="Calibri" w:cs="Calibri" w:eastAsia="Calibri" w:hAnsi="Calibri"/>
          <w:sz w:val="16"/>
          <w:szCs w:val="16"/>
          <w:color w:val="auto"/>
        </w:rPr>
      </w:pPr>
      <w:r>
        <w:rPr>
          <w:rFonts w:ascii="Calibri" w:cs="Calibri" w:eastAsia="Calibri" w:hAnsi="Calibri"/>
          <w:sz w:val="16"/>
          <w:szCs w:val="16"/>
          <w:color w:val="auto"/>
        </w:rPr>
        <w:t>In July 2021, based on our evaluaton of the most probable outcomes of the 2013 Assessment, we have recorded an accrual of $11 million in our fnancial statements as a discrete item in Income Tax Provision. An additonal $0.1 million of related professional fees have also been recorded as expenses related to the Mexican tax maters.</w:t>
      </w:r>
    </w:p>
    <w:p>
      <w:pPr>
        <w:spacing w:after="0" w:line="199" w:lineRule="exact"/>
        <w:rPr>
          <w:rFonts w:ascii="Calibri" w:cs="Calibri" w:eastAsia="Calibri" w:hAnsi="Calibri"/>
          <w:sz w:val="16"/>
          <w:szCs w:val="16"/>
          <w:color w:val="auto"/>
        </w:rPr>
      </w:pPr>
    </w:p>
    <w:p>
      <w:pPr>
        <w:jc w:val="both"/>
        <w:ind w:left="540" w:right="439" w:hanging="328"/>
        <w:spacing w:after="0" w:line="237" w:lineRule="auto"/>
        <w:tabs>
          <w:tab w:leader="none" w:pos="540" w:val="left"/>
        </w:tabs>
        <w:numPr>
          <w:ilvl w:val="0"/>
          <w:numId w:val="9"/>
        </w:numPr>
        <w:rPr>
          <w:rFonts w:ascii="Calibri" w:cs="Calibri" w:eastAsia="Calibri" w:hAnsi="Calibri"/>
          <w:sz w:val="16"/>
          <w:szCs w:val="16"/>
          <w:color w:val="auto"/>
        </w:rPr>
      </w:pPr>
      <w:r>
        <w:rPr>
          <w:rFonts w:ascii="Calibri" w:cs="Calibri" w:eastAsia="Calibri" w:hAnsi="Calibri"/>
          <w:sz w:val="16"/>
          <w:szCs w:val="16"/>
          <w:color w:val="auto"/>
        </w:rPr>
        <w:t>On October 18, 2021, we announced the closure of Prepared’s food processing operatons at our Green Cove Springs (near Jacksonville), Florida facility, as part of our Project Uno proft improvement program. As of November 15, Prepared’s Green Cove Springs facility has ceased operatons. We incurred $1.0 million of expenses for the nine months ended July 31, 2022, related to the closure of this facility.</w:t>
      </w:r>
    </w:p>
    <w:p>
      <w:pPr>
        <w:spacing w:after="0" w:line="2" w:lineRule="exact"/>
        <w:rPr>
          <w:rFonts w:ascii="Calibri" w:cs="Calibri" w:eastAsia="Calibri" w:hAnsi="Calibri"/>
          <w:sz w:val="16"/>
          <w:szCs w:val="16"/>
          <w:color w:val="auto"/>
        </w:rPr>
      </w:pPr>
    </w:p>
    <w:p>
      <w:pPr>
        <w:ind w:left="540" w:hanging="328"/>
        <w:spacing w:after="0" w:line="232" w:lineRule="auto"/>
        <w:tabs>
          <w:tab w:leader="none" w:pos="540" w:val="left"/>
        </w:tabs>
        <w:numPr>
          <w:ilvl w:val="0"/>
          <w:numId w:val="9"/>
        </w:numPr>
        <w:rPr>
          <w:rFonts w:ascii="Calibri" w:cs="Calibri" w:eastAsia="Calibri" w:hAnsi="Calibri"/>
          <w:sz w:val="16"/>
          <w:szCs w:val="16"/>
          <w:color w:val="auto"/>
        </w:rPr>
      </w:pPr>
      <w:r>
        <w:rPr>
          <w:rFonts w:ascii="Calibri" w:cs="Calibri" w:eastAsia="Calibri" w:hAnsi="Calibri"/>
          <w:sz w:val="16"/>
          <w:szCs w:val="16"/>
          <w:color w:val="auto"/>
        </w:rPr>
        <w:t>Tax Impact of non-GAAP adjustments are based on efectve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694690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5" w:name="page16"/>
    <w:bookmarkEnd w:id="15"/>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13</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60" w:lineRule="exact"/>
        <w:rPr>
          <w:sz w:val="20"/>
          <w:szCs w:val="20"/>
          <w:color w:val="auto"/>
        </w:rPr>
      </w:pPr>
    </w:p>
    <w:p>
      <w:pPr>
        <w:ind w:left="3480"/>
        <w:spacing w:after="0"/>
        <w:rPr>
          <w:sz w:val="20"/>
          <w:szCs w:val="20"/>
          <w:color w:val="auto"/>
        </w:rPr>
      </w:pPr>
      <w:r>
        <w:rPr>
          <w:rFonts w:ascii="Calibri" w:cs="Calibri" w:eastAsia="Calibri" w:hAnsi="Calibri"/>
          <w:sz w:val="20"/>
          <w:szCs w:val="20"/>
          <w:b w:val="1"/>
          <w:bCs w:val="1"/>
          <w:color w:val="auto"/>
        </w:rPr>
        <w:t>CALAVO GROWERS, INC.</w:t>
      </w:r>
    </w:p>
    <w:p>
      <w:pPr>
        <w:ind w:left="1720"/>
        <w:spacing w:after="0" w:line="238" w:lineRule="auto"/>
        <w:rPr>
          <w:sz w:val="20"/>
          <w:szCs w:val="20"/>
          <w:color w:val="auto"/>
        </w:rPr>
      </w:pPr>
      <w:r>
        <w:rPr>
          <w:rFonts w:ascii="Calibri" w:cs="Calibri" w:eastAsia="Calibri" w:hAnsi="Calibri"/>
          <w:sz w:val="20"/>
          <w:szCs w:val="20"/>
          <w:b w:val="1"/>
          <w:bCs w:val="1"/>
          <w:color w:val="auto"/>
        </w:rPr>
        <w:t>RECONCILIATION OF EBITDA AND ADJUSTED EBITDA (UNAUDITED)</w:t>
      </w:r>
    </w:p>
    <w:p>
      <w:pPr>
        <w:jc w:val="center"/>
        <w:ind w:right="19"/>
        <w:spacing w:after="0" w:line="226" w:lineRule="auto"/>
        <w:rPr>
          <w:sz w:val="20"/>
          <w:szCs w:val="20"/>
          <w:color w:val="auto"/>
        </w:rPr>
      </w:pPr>
      <w:r>
        <w:rPr>
          <w:rFonts w:ascii="Calibri" w:cs="Calibri" w:eastAsia="Calibri" w:hAnsi="Calibri"/>
          <w:sz w:val="20"/>
          <w:szCs w:val="20"/>
          <w:b w:val="1"/>
          <w:bCs w:val="1"/>
          <w:color w:val="auto"/>
        </w:rPr>
        <w:t>(in thousands, except per share amounts)</w:t>
      </w:r>
    </w:p>
    <w:p>
      <w:pPr>
        <w:spacing w:after="0" w:line="240" w:lineRule="exact"/>
        <w:rPr>
          <w:sz w:val="20"/>
          <w:szCs w:val="20"/>
          <w:color w:val="auto"/>
        </w:rPr>
      </w:pPr>
    </w:p>
    <w:p>
      <w:pPr>
        <w:ind w:left="60" w:right="179"/>
        <w:spacing w:after="0" w:line="275" w:lineRule="auto"/>
        <w:rPr>
          <w:sz w:val="20"/>
          <w:szCs w:val="20"/>
          <w:color w:val="auto"/>
        </w:rPr>
      </w:pPr>
      <w:r>
        <w:rPr>
          <w:rFonts w:ascii="Times New Roman" w:cs="Times New Roman" w:eastAsia="Times New Roman" w:hAnsi="Times New Roman"/>
          <w:sz w:val="20"/>
          <w:szCs w:val="20"/>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2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240" w:type="dxa"/>
            <w:vAlign w:val="bottom"/>
            <w:tcBorders>
              <w:bottom w:val="single" w:sz="8" w:color="CCEEFF"/>
            </w:tcBorders>
          </w:tcPr>
          <w:p>
            <w:pPr>
              <w:spacing w:after="0"/>
              <w:rPr>
                <w:sz w:val="15"/>
                <w:szCs w:val="15"/>
                <w:color w:val="auto"/>
              </w:rPr>
            </w:pPr>
          </w:p>
        </w:tc>
        <w:tc>
          <w:tcPr>
            <w:tcW w:w="25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r>
      <w:tr>
        <w:trPr>
          <w:trHeight w:val="25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 attributable to Calavo Growers,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6"/>
              </w:rPr>
              <w:t>(12,981)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(2,933)</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1,137</w:t>
            </w:r>
          </w:p>
        </w:tc>
        <w:tc>
          <w:tcPr>
            <w:tcW w:w="20" w:type="dxa"/>
            <w:vAlign w:val="bottom"/>
          </w:tcPr>
          <w:p>
            <w:pPr>
              <w:spacing w:after="0"/>
              <w:rPr>
                <w:sz w:val="21"/>
                <w:szCs w:val="21"/>
                <w:color w:val="auto"/>
              </w:rPr>
            </w:pPr>
          </w:p>
        </w:tc>
      </w:tr>
      <w:tr>
        <w:trPr>
          <w:trHeight w:val="25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Interest Income</w:t>
            </w:r>
          </w:p>
        </w:tc>
        <w:tc>
          <w:tcPr>
            <w:tcW w:w="1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(136)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(402)</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0" w:type="dxa"/>
            <w:vAlign w:val="bottom"/>
          </w:tcPr>
          <w:p>
            <w:pPr>
              <w:spacing w:after="0"/>
              <w:rPr>
                <w:sz w:val="22"/>
                <w:szCs w:val="22"/>
                <w:color w:val="auto"/>
              </w:rPr>
            </w:pPr>
          </w:p>
        </w:tc>
      </w:tr>
      <w:tr>
        <w:trPr>
          <w:trHeight w:val="257"/>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1,272</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573</w:t>
            </w:r>
          </w:p>
        </w:tc>
        <w:tc>
          <w:tcPr>
            <w:tcW w:w="20" w:type="dxa"/>
            <w:vAlign w:val="bottom"/>
          </w:tcPr>
          <w:p>
            <w:pPr>
              <w:spacing w:after="0"/>
              <w:rPr>
                <w:sz w:val="22"/>
                <w:szCs w:val="22"/>
                <w:color w:val="auto"/>
              </w:rPr>
            </w:pPr>
          </w:p>
        </w:tc>
      </w:tr>
      <w:tr>
        <w:trPr>
          <w:trHeight w:val="25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17,073</w:t>
            </w:r>
          </w:p>
        </w:tc>
        <w:tc>
          <w:tcPr>
            <w:tcW w:w="20" w:type="dxa"/>
            <w:vAlign w:val="bottom"/>
          </w:tcPr>
          <w:p>
            <w:pPr>
              <w:spacing w:after="0"/>
              <w:rPr>
                <w:sz w:val="22"/>
                <w:szCs w:val="22"/>
                <w:color w:val="auto"/>
              </w:rPr>
            </w:pPr>
          </w:p>
        </w:tc>
      </w:tr>
      <w:tr>
        <w:trPr>
          <w:trHeight w:val="257"/>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Depreciation &amp; Amortization</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4,067</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4,554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12,472</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12,925</w:t>
            </w:r>
          </w:p>
        </w:tc>
        <w:tc>
          <w:tcPr>
            <w:tcW w:w="20" w:type="dxa"/>
            <w:vAlign w:val="bottom"/>
          </w:tcPr>
          <w:p>
            <w:pPr>
              <w:spacing w:after="0"/>
              <w:rPr>
                <w:sz w:val="22"/>
                <w:szCs w:val="22"/>
                <w:color w:val="auto"/>
              </w:rPr>
            </w:pPr>
          </w:p>
        </w:tc>
      </w:tr>
      <w:tr>
        <w:trPr>
          <w:trHeight w:val="257"/>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Stock-Based Compensation</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754</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2,123</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2,818</w:t>
            </w:r>
          </w:p>
        </w:tc>
        <w:tc>
          <w:tcPr>
            <w:tcW w:w="20" w:type="dxa"/>
            <w:vAlign w:val="bottom"/>
          </w:tcPr>
          <w:p>
            <w:pPr>
              <w:spacing w:after="0"/>
              <w:rPr>
                <w:sz w:val="22"/>
                <w:szCs w:val="22"/>
                <w:color w:val="auto"/>
              </w:rPr>
            </w:pPr>
          </w:p>
        </w:tc>
      </w:tr>
      <w:tr>
        <w:trPr>
          <w:trHeight w:val="25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7,454</w:t>
            </w:r>
          </w:p>
        </w:tc>
        <w:tc>
          <w:tcPr>
            <w:tcW w:w="1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4,724</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12,169</w:t>
            </w:r>
          </w:p>
        </w:tc>
        <w:tc>
          <w:tcPr>
            <w:tcW w:w="1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34,468</w:t>
            </w:r>
          </w:p>
        </w:tc>
        <w:tc>
          <w:tcPr>
            <w:tcW w:w="20" w:type="dxa"/>
            <w:vAlign w:val="bottom"/>
          </w:tcPr>
          <w:p>
            <w:pPr>
              <w:spacing w:after="0"/>
              <w:rPr>
                <w:sz w:val="21"/>
                <w:szCs w:val="21"/>
                <w:color w:val="auto"/>
              </w:rPr>
            </w:pPr>
          </w:p>
        </w:tc>
      </w:tr>
      <w:tr>
        <w:trPr>
          <w:trHeight w:val="250"/>
        </w:trPr>
        <w:tc>
          <w:tcPr>
            <w:tcW w:w="22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Adjustments:</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Non-cash losses recognized from unconsolidated entities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8"/>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w:t>
            </w:r>
          </w:p>
        </w:tc>
        <w:tc>
          <w:tcPr>
            <w:tcW w:w="20" w:type="dxa"/>
            <w:vAlign w:val="bottom"/>
          </w:tcPr>
          <w:p>
            <w:pPr>
              <w:spacing w:after="0"/>
              <w:rPr>
                <w:sz w:val="22"/>
                <w:szCs w:val="22"/>
                <w:color w:val="auto"/>
              </w:rPr>
            </w:pPr>
          </w:p>
        </w:tc>
      </w:tr>
      <w:tr>
        <w:trPr>
          <w:trHeight w:val="264"/>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(gain) loss on Limoneira shares (d)</w:t>
            </w: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(1,225)</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5,803</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(6,843)</w:t>
            </w:r>
          </w:p>
        </w:tc>
        <w:tc>
          <w:tcPr>
            <w:tcW w:w="20" w:type="dxa"/>
            <w:vAlign w:val="bottom"/>
          </w:tcPr>
          <w:p>
            <w:pPr>
              <w:spacing w:after="0"/>
              <w:rPr>
                <w:sz w:val="22"/>
                <w:szCs w:val="22"/>
                <w:color w:val="auto"/>
              </w:rPr>
            </w:pPr>
          </w:p>
        </w:tc>
      </w:tr>
      <w:tr>
        <w:trPr>
          <w:trHeight w:val="25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Recovery from FreshRealm and other related expenses (b)</w:t>
            </w:r>
          </w:p>
        </w:tc>
        <w:tc>
          <w:tcPr>
            <w:tcW w:w="1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(6,000)</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(5,989)</w:t>
            </w:r>
          </w:p>
        </w:tc>
        <w:tc>
          <w:tcPr>
            <w:tcW w:w="20" w:type="dxa"/>
            <w:vAlign w:val="bottom"/>
          </w:tcPr>
          <w:p>
            <w:pPr>
              <w:spacing w:after="0"/>
              <w:rPr>
                <w:sz w:val="22"/>
                <w:szCs w:val="22"/>
                <w:color w:val="auto"/>
              </w:rPr>
            </w:pPr>
          </w:p>
        </w:tc>
      </w:tr>
      <w:tr>
        <w:trPr>
          <w:trHeight w:val="256"/>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Rent expense add back (e)</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20" w:type="dxa"/>
            <w:vAlign w:val="bottom"/>
          </w:tcPr>
          <w:p>
            <w:pPr>
              <w:spacing w:after="0"/>
              <w:rPr>
                <w:sz w:val="22"/>
                <w:szCs w:val="22"/>
                <w:color w:val="auto"/>
              </w:rPr>
            </w:pPr>
          </w:p>
        </w:tc>
      </w:tr>
      <w:tr>
        <w:trPr>
          <w:trHeight w:val="25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Acquisition costs (c)</w:t>
            </w:r>
          </w:p>
        </w:tc>
        <w:tc>
          <w:tcPr>
            <w:tcW w:w="1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20" w:type="dxa"/>
            <w:vAlign w:val="bottom"/>
          </w:tcPr>
          <w:p>
            <w:pPr>
              <w:spacing w:after="0"/>
              <w:rPr>
                <w:sz w:val="22"/>
                <w:szCs w:val="22"/>
                <w:color w:val="auto"/>
              </w:rPr>
            </w:pPr>
          </w:p>
        </w:tc>
      </w:tr>
      <w:tr>
        <w:trPr>
          <w:trHeight w:val="247"/>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Restructure costs - consulting and management recruiting</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66"/>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and severance (f)</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1,198</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4,335</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0" w:type="dxa"/>
            <w:vAlign w:val="bottom"/>
          </w:tcPr>
          <w:p>
            <w:pPr>
              <w:spacing w:after="0"/>
              <w:rPr>
                <w:sz w:val="23"/>
                <w:szCs w:val="23"/>
                <w:color w:val="auto"/>
              </w:rPr>
            </w:pPr>
          </w:p>
        </w:tc>
      </w:tr>
      <w:tr>
        <w:trPr>
          <w:trHeight w:val="25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Expenses related to Mexican tax matters (g)</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1,342</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1,148</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1,342</w:t>
            </w:r>
          </w:p>
        </w:tc>
        <w:tc>
          <w:tcPr>
            <w:tcW w:w="20" w:type="dxa"/>
            <w:vAlign w:val="bottom"/>
          </w:tcPr>
          <w:p>
            <w:pPr>
              <w:spacing w:after="0"/>
              <w:rPr>
                <w:sz w:val="22"/>
                <w:szCs w:val="22"/>
                <w:color w:val="auto"/>
              </w:rPr>
            </w:pPr>
          </w:p>
        </w:tc>
      </w:tr>
      <w:tr>
        <w:trPr>
          <w:trHeight w:val="247"/>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Impairment and charges related to closure of Florida</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66"/>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facility (h)</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929</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r>
      <w:tr>
        <w:trPr>
          <w:trHeight w:val="290"/>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8,107</w:t>
            </w:r>
          </w:p>
        </w:tc>
        <w:tc>
          <w:tcPr>
            <w:tcW w:w="16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1,020</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25,520</w:t>
            </w:r>
          </w:p>
        </w:tc>
        <w:tc>
          <w:tcPr>
            <w:tcW w:w="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25,444</w:t>
            </w:r>
          </w:p>
        </w:tc>
        <w:tc>
          <w:tcPr>
            <w:tcW w:w="20" w:type="dxa"/>
            <w:vAlign w:val="bottom"/>
          </w:tcPr>
          <w:p>
            <w:pPr>
              <w:spacing w:after="0"/>
              <w:rPr>
                <w:sz w:val="24"/>
                <w:szCs w:val="24"/>
                <w:color w:val="auto"/>
              </w:rPr>
            </w:pPr>
          </w:p>
        </w:tc>
      </w:tr>
      <w:tr>
        <w:trPr>
          <w:trHeight w:val="237"/>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Adjusted EBITDA per dilutive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0.46</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20" w:type="dxa"/>
            <w:vAlign w:val="bottom"/>
          </w:tcPr>
          <w:p>
            <w:pPr>
              <w:spacing w:after="0"/>
              <w:rPr>
                <w:sz w:val="20"/>
                <w:szCs w:val="20"/>
                <w:color w:val="auto"/>
              </w:rPr>
            </w:pPr>
          </w:p>
        </w:tc>
      </w:tr>
      <w:tr>
        <w:trPr>
          <w:trHeight w:val="20"/>
        </w:trPr>
        <w:tc>
          <w:tcPr>
            <w:tcW w:w="2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96" w:lineRule="exact"/>
        <w:rPr>
          <w:sz w:val="20"/>
          <w:szCs w:val="20"/>
          <w:color w:val="auto"/>
        </w:rPr>
      </w:pPr>
    </w:p>
    <w:p>
      <w:pPr>
        <w:ind w:left="60"/>
        <w:spacing w:after="0"/>
        <w:rPr>
          <w:sz w:val="20"/>
          <w:szCs w:val="20"/>
          <w:color w:val="auto"/>
        </w:rPr>
      </w:pPr>
      <w:r>
        <w:rPr>
          <w:rFonts w:ascii="Calibri" w:cs="Calibri" w:eastAsia="Calibri" w:hAnsi="Calibri"/>
          <w:sz w:val="22"/>
          <w:szCs w:val="22"/>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840105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6" w:name="page17"/>
    <w:bookmarkEnd w:id="16"/>
    <w:p>
      <w:pPr>
        <w:ind w:left="60"/>
        <w:spacing w:after="0"/>
        <w:rPr>
          <w:sz w:val="20"/>
          <w:szCs w:val="20"/>
          <w:color w:val="auto"/>
        </w:rPr>
      </w:pPr>
      <w:r>
        <w:rPr>
          <w:rFonts w:ascii="Calibri" w:cs="Calibri" w:eastAsia="Calibri" w:hAnsi="Calibri"/>
          <w:sz w:val="18"/>
          <w:szCs w:val="18"/>
          <w:i w:val="1"/>
          <w:iCs w:val="1"/>
          <w:color w:val="auto"/>
        </w:rPr>
        <w:t>Calavo Growers, Inc.</w:t>
      </w:r>
    </w:p>
    <w:p>
      <w:pPr>
        <w:ind w:left="60"/>
        <w:spacing w:after="0" w:line="235" w:lineRule="auto"/>
        <w:rPr>
          <w:sz w:val="20"/>
          <w:szCs w:val="20"/>
          <w:color w:val="auto"/>
        </w:rPr>
      </w:pPr>
      <w:r>
        <w:rPr>
          <w:rFonts w:ascii="Calibri" w:cs="Calibri" w:eastAsia="Calibri" w:hAnsi="Calibri"/>
          <w:sz w:val="18"/>
          <w:szCs w:val="18"/>
          <w:i w:val="1"/>
          <w:iCs w:val="1"/>
          <w:color w:val="auto"/>
        </w:rPr>
        <w:t xml:space="preserve">Page </w:t>
      </w:r>
      <w:r>
        <w:rPr>
          <w:rFonts w:ascii="Calibri" w:cs="Calibri" w:eastAsia="Calibri" w:hAnsi="Calibri"/>
          <w:sz w:val="18"/>
          <w:szCs w:val="18"/>
          <w:b w:val="1"/>
          <w:bCs w:val="1"/>
          <w:i w:val="1"/>
          <w:iCs w:val="1"/>
          <w:color w:val="auto"/>
        </w:rPr>
        <w:t>14</w:t>
      </w:r>
      <w:r>
        <w:rPr>
          <w:rFonts w:ascii="Calibri" w:cs="Calibri" w:eastAsia="Calibri" w:hAnsi="Calibri"/>
          <w:sz w:val="18"/>
          <w:szCs w:val="18"/>
          <w:i w:val="1"/>
          <w:iCs w:val="1"/>
          <w:color w:val="auto"/>
        </w:rPr>
        <w:t xml:space="preserve"> of </w:t>
      </w:r>
      <w:r>
        <w:rPr>
          <w:rFonts w:ascii="Calibri" w:cs="Calibri" w:eastAsia="Calibri" w:hAnsi="Calibri"/>
          <w:sz w:val="18"/>
          <w:szCs w:val="18"/>
          <w:b w:val="1"/>
          <w:bCs w:val="1"/>
          <w:i w:val="1"/>
          <w:iCs w:val="1"/>
          <w:color w:val="auto"/>
        </w:rPr>
        <w:t>14</w:t>
      </w:r>
    </w:p>
    <w:p>
      <w:pPr>
        <w:spacing w:after="0" w:line="260" w:lineRule="exact"/>
        <w:rPr>
          <w:sz w:val="20"/>
          <w:szCs w:val="20"/>
          <w:color w:val="auto"/>
        </w:rPr>
      </w:pPr>
    </w:p>
    <w:p>
      <w:pPr>
        <w:ind w:left="3480"/>
        <w:spacing w:after="0"/>
        <w:rPr>
          <w:sz w:val="20"/>
          <w:szCs w:val="20"/>
          <w:color w:val="auto"/>
        </w:rPr>
      </w:pPr>
      <w:r>
        <w:rPr>
          <w:rFonts w:ascii="Calibri" w:cs="Calibri" w:eastAsia="Calibri" w:hAnsi="Calibri"/>
          <w:sz w:val="20"/>
          <w:szCs w:val="20"/>
          <w:b w:val="1"/>
          <w:bCs w:val="1"/>
          <w:color w:val="auto"/>
        </w:rPr>
        <w:t>CALAVO GROWERS, INC.</w:t>
      </w:r>
    </w:p>
    <w:p>
      <w:pPr>
        <w:ind w:left="2980"/>
        <w:spacing w:after="0" w:line="238" w:lineRule="auto"/>
        <w:rPr>
          <w:sz w:val="20"/>
          <w:szCs w:val="20"/>
          <w:color w:val="auto"/>
        </w:rPr>
      </w:pPr>
      <w:r>
        <w:rPr>
          <w:rFonts w:ascii="Calibri" w:cs="Calibri" w:eastAsia="Calibri" w:hAnsi="Calibri"/>
          <w:sz w:val="20"/>
          <w:szCs w:val="20"/>
          <w:b w:val="1"/>
          <w:bCs w:val="1"/>
          <w:color w:val="auto"/>
        </w:rPr>
        <w:t>OTHER INFORMATION (UNAUDITED)</w:t>
      </w:r>
    </w:p>
    <w:p>
      <w:pPr>
        <w:jc w:val="center"/>
        <w:ind w:right="120"/>
        <w:spacing w:after="0" w:line="226" w:lineRule="auto"/>
        <w:rPr>
          <w:sz w:val="20"/>
          <w:szCs w:val="20"/>
          <w:color w:val="auto"/>
        </w:rPr>
      </w:pPr>
      <w:r>
        <w:rPr>
          <w:rFonts w:ascii="Calibri" w:cs="Calibri" w:eastAsia="Calibri" w:hAnsi="Calibri"/>
          <w:sz w:val="20"/>
          <w:szCs w:val="20"/>
          <w:b w:val="1"/>
          <w:bCs w:val="1"/>
          <w:color w:val="auto"/>
        </w:rPr>
        <w:t>(in thousands, except per pound amounts)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8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r>
      <w:tr>
        <w:trPr>
          <w:trHeight w:val="25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Pounds of avocados sold</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79,558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97,886</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253,908</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296,516</w:t>
            </w:r>
          </w:p>
        </w:tc>
      </w:tr>
      <w:tr>
        <w:trPr>
          <w:trHeight w:val="257"/>
        </w:trPr>
        <w:tc>
          <w:tcPr>
            <w:tcW w:w="5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Pounds of processed avocado products sold</w:t>
            </w: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5,989</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6,766</w:t>
            </w: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17,962</w:t>
            </w:r>
          </w:p>
        </w:tc>
        <w:tc>
          <w:tcPr>
            <w:tcW w:w="2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18,956</w:t>
            </w:r>
          </w:p>
        </w:tc>
      </w:tr>
      <w:tr>
        <w:trPr>
          <w:trHeight w:val="25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Average sales price per pound - avocados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1.35</w:t>
            </w:r>
          </w:p>
        </w:tc>
      </w:tr>
      <w:tr>
        <w:trPr>
          <w:trHeight w:val="257"/>
        </w:trPr>
        <w:tc>
          <w:tcPr>
            <w:tcW w:w="5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Gross profit per pound - avocados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0.11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16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0.12</w:t>
            </w:r>
          </w:p>
        </w:tc>
      </w:tr>
      <w:tr>
        <w:trPr>
          <w:trHeight w:val="25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Average sales price per pound – processed avocado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2.89</w:t>
            </w:r>
          </w:p>
        </w:tc>
      </w:tr>
      <w:tr>
        <w:trPr>
          <w:trHeight w:val="258"/>
        </w:trPr>
        <w:tc>
          <w:tcPr>
            <w:tcW w:w="5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Gross profit (loss) per pound – processed avocado 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(0.36)</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0.10</w:t>
            </w:r>
          </w:p>
        </w:tc>
        <w:tc>
          <w:tcPr>
            <w:tcW w:w="16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0.59</w:t>
            </w:r>
          </w:p>
        </w:tc>
      </w:tr>
      <w:tr>
        <w:trPr>
          <w:trHeight w:val="1207"/>
        </w:trPr>
        <w:tc>
          <w:tcPr>
            <w:tcW w:w="5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120"/>
      </w:cols>
      <w:pgMar w:left="1440" w:top="652"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o"/>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2022-09-01T15:38:19Z</dcterms:created>
  <dcterms:modified xsi:type="dcterms:W3CDTF">2022-09-01T15:38:19Z</dcterms:modified>
</cp:coreProperties>
</file>