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LEAVENS J LINK</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CALAVO GROWERS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CVGW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1141-A CUMMINGS RD.</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01/03/2022</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00" w:type="dxa"/>
            <w:vAlign w:val="bottom"/>
            <w:tcBorders>
              <w:bottom w:val="single" w:sz="8" w:color="2C2C2C"/>
            </w:tcBorders>
            <w:gridSpan w:val="4"/>
          </w:tcPr>
          <w:p>
            <w:pPr>
              <w:spacing w:after="0"/>
              <w:rPr>
                <w:sz w:val="12"/>
                <w:szCs w:val="12"/>
                <w:color w:val="auto"/>
              </w:rPr>
            </w:pPr>
          </w:p>
        </w:tc>
        <w:tc>
          <w:tcPr>
            <w:tcW w:w="860" w:type="dxa"/>
            <w:vAlign w:val="bottom"/>
            <w:tcBorders>
              <w:bottom w:val="single" w:sz="8" w:color="2C2C2C"/>
            </w:tcBorders>
            <w:gridSpan w:val="2"/>
          </w:tcPr>
          <w:p>
            <w:pPr>
              <w:spacing w:after="0"/>
              <w:rPr>
                <w:sz w:val="12"/>
                <w:szCs w:val="12"/>
                <w:color w:val="auto"/>
              </w:rPr>
            </w:pPr>
          </w:p>
        </w:tc>
        <w:tc>
          <w:tcPr>
            <w:tcW w:w="1060" w:type="dxa"/>
            <w:vAlign w:val="bottom"/>
            <w:tcBorders>
              <w:bottom w:val="single" w:sz="8" w:color="2C2C2C"/>
            </w:tcBorders>
            <w:gridSpan w:val="2"/>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8"/>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SANTA</w:t>
            </w: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CA</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93060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PAULA</w:t>
            </w:r>
          </w:p>
        </w:tc>
        <w:tc>
          <w:tcPr>
            <w:tcW w:w="8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138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0"/>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40" w:type="dxa"/>
            <w:vAlign w:val="bottom"/>
            <w:gridSpan w:val="5"/>
          </w:tcPr>
          <w:p>
            <w:pPr>
              <w:ind w:left="920"/>
              <w:spacing w:after="0"/>
              <w:rPr>
                <w:sz w:val="20"/>
                <w:szCs w:val="20"/>
                <w:color w:val="auto"/>
              </w:rPr>
            </w:pPr>
            <w:r>
              <w:rPr>
                <w:rFonts w:ascii="Arial" w:cs="Arial" w:eastAsia="Arial" w:hAnsi="Arial"/>
                <w:sz w:val="17"/>
                <w:szCs w:val="17"/>
                <w:color w:val="0000FF"/>
              </w:rPr>
              <w:t>01/03/2022</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0000FF"/>
              </w:rPr>
              <w:t>2,814</w:t>
            </w:r>
          </w:p>
        </w:tc>
        <w:tc>
          <w:tcPr>
            <w:tcW w:w="460" w:type="dxa"/>
            <w:vAlign w:val="bottom"/>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3"/>
                <w:szCs w:val="23"/>
                <w:color w:val="auto"/>
              </w:rPr>
            </w:pPr>
          </w:p>
        </w:tc>
        <w:tc>
          <w:tcPr>
            <w:tcW w:w="360" w:type="dxa"/>
            <w:vAlign w:val="bottom"/>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Pr>
          <w:p>
            <w:pPr>
              <w:spacing w:after="0"/>
              <w:rPr>
                <w:sz w:val="23"/>
                <w:szCs w:val="23"/>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7"/>
                <w:szCs w:val="17"/>
                <w:color w:val="0000FF"/>
              </w:rPr>
              <w:t>95,492</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7"/>
                <w:szCs w:val="17"/>
                <w:color w:val="0000FF"/>
              </w:rPr>
              <w:t>282,572</w:t>
            </w:r>
            <w:r>
              <w:rPr>
                <w:rFonts w:ascii="Arial" w:cs="Arial" w:eastAsia="Arial" w:hAnsi="Arial"/>
                <w:sz w:val="22"/>
                <w:szCs w:val="22"/>
                <w:color w:val="008000"/>
                <w:vertAlign w:val="superscript"/>
              </w:rPr>
              <w:t>(1)</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860" w:type="dxa"/>
            <w:vAlign w:val="bottom"/>
            <w:tcBorders>
              <w:bottom w:val="single" w:sz="8" w:color="2C2C2C"/>
            </w:tcBorders>
            <w:gridSpan w:val="2"/>
          </w:tcPr>
          <w:p>
            <w:pPr>
              <w:spacing w:after="0"/>
              <w:rPr>
                <w:sz w:val="8"/>
                <w:szCs w:val="8"/>
                <w:color w:val="auto"/>
              </w:rPr>
            </w:pPr>
          </w:p>
        </w:tc>
        <w:tc>
          <w:tcPr>
            <w:tcW w:w="1580" w:type="dxa"/>
            <w:vAlign w:val="bottom"/>
            <w:tcBorders>
              <w:bottom w:val="single" w:sz="8" w:color="2C2C2C"/>
            </w:tcBorders>
            <w:gridSpan w:val="5"/>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indirectly owned by Reporting Person in the name of various partnerships of which Reporting Person shares voting and investment power with respect to these shares of Issuer's common stock held by the partnerships.</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J. Link Leavens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01/04/2022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5111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2022-01-05T17:59:33Z</dcterms:created>
  <dcterms:modified xsi:type="dcterms:W3CDTF">2022-01-05T17:59:33Z</dcterms:modified>
</cp:coreProperties>
</file>