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Mendizabal Adriana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CALAVO GROWERS,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1141-A CUMMINGS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PAULA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CALAVO GROWERS INC</w:t>
              </w:r>
            </w:hyperlink>
            <w:r>
              <w:rPr/>
              <w:t xml:space="preserve"> [ </w:t>
            </w:r>
            <w:r>
              <w:rPr>
                <w:rFonts w:ascii="Times;serif" w:hAnsi="Times;serif"/>
                <w:color w:val="0000FF"/>
                <w:sz w:val="24"/>
                <w:shd w:fill="FFFFFF" w:val="clear"/>
              </w:rPr>
              <w:t>CVGW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4,259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CVGW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fully vest on the date of that is the earlier of (i) the one-year anniversary of the date of grant, or (ii) Calavo Growers, Inc.'s 2026 annual meeting of shareholders provided such annual meeting occurs on or after April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fully vested on April 23, 2025, and the reporting person's receipt of 2,220 shares of common stock was deferred pursuant to the restricted stock unit award agreement between the reporting person and Calavo Growers, Inc.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Adriana Mendizabal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0065" TargetMode="External"/><Relationship Id="rId5" Type="http://schemas.openxmlformats.org/officeDocument/2006/relationships/hyperlink" Target="http://www.sec.gov/cgi-bin/browse-edgar?action=getcompany&amp;CIK=0001133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3629</Characters>
  <CharactersWithSpaces>4238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