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21225e10vq.htm"/>
        <w:bookmarkStart w:id="1" w:name="ksv21225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4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April 30, 2006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OR</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000-33385</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b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33-0945304</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or a non-accelerated filer. See definition of accelerated filer and large accelerated filer in Rule 12b-2 of the Exchange Act. (Check one):</w:t>
      </w:r>
    </w:p>
    <w:p>
      <w:pPr>
        <w:pStyle w:val="TextBody"/>
        <w:spacing w:before="0" w:after="283"/>
        <w:jc w:val="center"/>
        <w:rPr/>
      </w:pPr>
      <w:r>
        <w:rPr/>
        <w:t> </w:t>
      </w:r>
      <w:r>
        <w:rPr>
          <w:rFonts w:ascii="Times New Roman;Times;serif" w:hAnsi="Times New Roman;Times;serif"/>
          <w:sz w:val="17"/>
        </w:rPr>
        <w:t>Large accelerated filer </w:t>
      </w:r>
      <w:r>
        <w:rPr>
          <w:rFonts w:ascii="Wingdings" w:hAnsi="Wingdings"/>
          <w:sz w:val="17"/>
        </w:rPr>
        <w:t>o</w:t>
      </w:r>
      <w:r>
        <w:rPr>
          <w:rFonts w:ascii="Times New Roman;Times;serif" w:hAnsi="Times New Roman;Times;serif"/>
          <w:sz w:val="17"/>
        </w:rPr>
        <w:t>      Accelerated filer ☑       Non-accelerated filer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April 30, 2006 was 14,291,833 </w:t>
      </w:r>
    </w:p>
    <w:p>
      <w:pPr>
        <w:pStyle w:val="TextBody"/>
        <w:spacing w:before="320" w:after="283"/>
        <w:jc w:val="center"/>
        <w:rPr>
          <w:bdr w:val="single" w:sz="2" w:space="1" w:color="000000"/>
        </w:rPr>
      </w:pPr>
      <w:r>
        <w:rPr>
          <w:bdr w:val="single" w:sz="2" w:space="1" w:color="000000"/>
        </w:rPr>
        <w:t>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1A, </w:t>
      </w:r>
      <w:r>
        <w:rPr>
          <w:rFonts w:ascii="Times New Roman;Times;serif" w:hAnsi="Times New Roman;Times;serif"/>
          <w:i/>
          <w:sz w:val="17"/>
        </w:rPr>
        <w:t>Risk Factors</w:t>
      </w:r>
      <w:r>
        <w:rPr>
          <w:rFonts w:ascii="Times New Roman;Times;serif" w:hAnsi="Times New Roman;Times;serif"/>
          <w:sz w:val="17"/>
        </w:rPr>
        <w:t xml:space="preserve">, in our Annual Report on Form 10-K for the fiscal year ended October 31, 2005,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088"/>
        <w:gridCol w:w="297"/>
        <w:gridCol w:w="169"/>
        <w:gridCol w:w="457"/>
        <w:gridCol w:w="169"/>
        <w:gridCol w:w="25"/>
      </w:tblGrid>
      <w:tr>
        <w:trPr/>
        <w:tc>
          <w:tcPr>
            <w:tcW w:w="908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795" w:type="dxa"/>
            <w:gridSpan w:val="3"/>
            <w:tcBorders/>
            <w:shd w:fill="auto" w:val="clear"/>
            <w:vAlign w:val="bottom"/>
          </w:tcPr>
          <w:p>
            <w:pPr>
              <w:pStyle w:val="TableContents"/>
              <w:spacing w:before="0" w:after="283"/>
              <w:jc w:val="center"/>
              <w:rPr/>
            </w:pPr>
            <w:r>
              <w:rPr/>
              <w:t>PAGE</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2">
              <w:r>
                <w:rPr>
                  <w:rStyle w:val="InternetLink"/>
                </w:rPr>
                <w:t>Item 1. Financial Statements (unaudited):</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810" w:right="0" w:hanging="225"/>
              <w:rPr/>
            </w:pPr>
            <w:hyperlink w:anchor="103">
              <w:r>
                <w:rPr>
                  <w:rStyle w:val="InternetLink"/>
                </w:rPr>
                <w:t>Consolidated Condensed Balance Sheets  April 30, 2006 and October 31, 2005</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4</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810" w:right="0" w:hanging="225"/>
              <w:rPr/>
            </w:pPr>
            <w:hyperlink w:anchor="104">
              <w:r>
                <w:rPr>
                  <w:rStyle w:val="InternetLink"/>
                </w:rPr>
                <w:t>Consolidated Condensed Statements of Income  Three Months and Six Months Ended April 30, 2006 and 2005</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5</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810" w:right="0" w:hanging="225"/>
              <w:rPr/>
            </w:pPr>
            <w:hyperlink w:anchor="105">
              <w:r>
                <w:rPr>
                  <w:rStyle w:val="InternetLink"/>
                </w:rPr>
                <w:t>Consolidated Condensed Statements of Comprehensive Income  Three Months and Six Months Ended April 30, 2006 and 2005</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6</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810" w:right="0" w:hanging="225"/>
              <w:rPr/>
            </w:pPr>
            <w:hyperlink w:anchor="106">
              <w:r>
                <w:rPr>
                  <w:rStyle w:val="InternetLink"/>
                </w:rPr>
                <w:t>Consolidated Condensed Statements of Cash Flows  Six Months Ended April 30, 2006 and 2005</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7</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810" w:right="0" w:hanging="225"/>
              <w:rPr/>
            </w:pPr>
            <w:hyperlink w:anchor="107">
              <w:r>
                <w:rPr>
                  <w:rStyle w:val="InternetLink"/>
                </w:rPr>
                <w:t>Notes to Consolidated Condensed Financial Statements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8</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8">
              <w:r>
                <w:rPr>
                  <w:rStyle w:val="InternetLink"/>
                </w:rPr>
                <w:t>Item 2. Managements Discussion and Analysis of Financial Condition and Results of Operations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17</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9">
              <w:r>
                <w:rPr>
                  <w:rStyle w:val="InternetLink"/>
                </w:rPr>
                <w:t>Item 3. Quantitative and Qualitative Disclosures About Market Risk</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23</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0">
              <w:r>
                <w:rPr>
                  <w:rStyle w:val="InternetLink"/>
                </w:rPr>
                <w:t>Item 4. Controls and Procedures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24</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1">
              <w:r>
                <w:rPr>
                  <w:rStyle w:val="InternetLink"/>
                  <w:b/>
                </w:rPr>
                <w:t>PART II. OTHER INFORMATION</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2">
              <w:r>
                <w:rPr>
                  <w:rStyle w:val="InternetLink"/>
                </w:rPr>
                <w:t>Item 1. Legal Proceedings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25</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5">
              <w:r>
                <w:rPr>
                  <w:rStyle w:val="InternetLink"/>
                </w:rPr>
                <w:t>Item 4. Submission of Matters to a Vote of Security Holders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25</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6">
              <w:r>
                <w:rPr>
                  <w:rStyle w:val="InternetLink"/>
                </w:rPr>
                <w:t>Item 5. Other Information</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25</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3">
              <w:r>
                <w:rPr>
                  <w:rStyle w:val="InternetLink"/>
                </w:rPr>
                <w:t>Item 6. Exhibits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26</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810" w:right="0" w:hanging="225"/>
              <w:rPr/>
            </w:pPr>
            <w:hyperlink w:anchor="114">
              <w:r>
                <w:rPr>
                  <w:rStyle w:val="InternetLink"/>
                </w:rPr>
                <w:t>Signatures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27</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v21225exv31w1.htm">
              <w:r>
                <w:rPr>
                  <w:rStyle w:val="InternetLink"/>
                  <w:sz w:val="20"/>
                </w:rPr>
                <w:t>Exhibit 31.1</w:t>
              </w:r>
            </w:hyperlink>
          </w:p>
        </w:tc>
      </w:tr>
      <w:tr>
        <w:trPr/>
        <w:tc>
          <w:tcPr>
            <w:tcW w:w="10205" w:type="dxa"/>
            <w:gridSpan w:val="6"/>
            <w:tcBorders/>
            <w:shd w:fill="auto" w:val="clear"/>
            <w:vAlign w:val="center"/>
          </w:tcPr>
          <w:p>
            <w:pPr>
              <w:pStyle w:val="TableContents"/>
              <w:spacing w:before="0" w:after="283"/>
              <w:rPr/>
            </w:pPr>
            <w:r>
              <w:rPr/>
              <w:t> </w:t>
            </w:r>
            <w:hyperlink w:anchor="v21225exv31w2.htm">
              <w:r>
                <w:rPr>
                  <w:rStyle w:val="InternetLink"/>
                  <w:sz w:val="20"/>
                </w:rPr>
                <w:t>Exhibit 31.2</w:t>
              </w:r>
            </w:hyperlink>
          </w:p>
        </w:tc>
      </w:tr>
      <w:tr>
        <w:trPr/>
        <w:tc>
          <w:tcPr>
            <w:tcW w:w="10205" w:type="dxa"/>
            <w:gridSpan w:val="6"/>
            <w:tcBorders/>
            <w:shd w:fill="auto" w:val="clear"/>
            <w:vAlign w:val="center"/>
          </w:tcPr>
          <w:p>
            <w:pPr>
              <w:pStyle w:val="TableContents"/>
              <w:spacing w:before="0" w:after="283"/>
              <w:rPr/>
            </w:pPr>
            <w:r>
              <w:rPr/>
              <w:t> </w:t>
            </w:r>
            <w:hyperlink w:anchor="v21225exv32.htm">
              <w:r>
                <w:rPr>
                  <w:rStyle w:val="InternetLink"/>
                  <w:sz w:val="20"/>
                </w:rPr>
                <w:t>Exhibit 32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br/>
        <w:t>(All amounts in thousands, except per share amounts)</w:t>
      </w:r>
    </w:p>
    <w:tbl>
      <w:tblPr>
        <w:tblW w:w="5000" w:type="pct"/>
        <w:jc w:val="center"/>
        <w:tblInd w:w="0" w:type="dxa"/>
        <w:tblCellMar>
          <w:top w:w="0" w:type="dxa"/>
          <w:left w:w="0" w:type="dxa"/>
          <w:bottom w:w="0" w:type="dxa"/>
          <w:right w:w="0" w:type="dxa"/>
        </w:tblCellMar>
      </w:tblPr>
      <w:tblGrid>
        <w:gridCol w:w="6790"/>
        <w:gridCol w:w="431"/>
        <w:gridCol w:w="165"/>
        <w:gridCol w:w="890"/>
        <w:gridCol w:w="137"/>
        <w:gridCol w:w="431"/>
        <w:gridCol w:w="189"/>
        <w:gridCol w:w="1030"/>
        <w:gridCol w:w="142"/>
      </w:tblGrid>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April 30,</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19" w:type="dxa"/>
            <w:gridSpan w:val="2"/>
            <w:tcBorders/>
            <w:shd w:fill="auto" w:val="clear"/>
            <w:vAlign w:val="bottom"/>
          </w:tcPr>
          <w:p>
            <w:pPr>
              <w:pStyle w:val="TableContents"/>
              <w:spacing w:before="0" w:after="283"/>
              <w:jc w:val="center"/>
              <w:rPr>
                <w:b/>
              </w:rPr>
            </w:pPr>
            <w:r>
              <w:rPr>
                <w:b/>
              </w:rPr>
              <w:t>October 31,</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1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b/>
              </w:rPr>
            </w:pPr>
            <w:r>
              <w:rPr>
                <w:b/>
              </w:rPr>
              <w:t>Assets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Cash and cash equivalents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287</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1,133</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Accounts receivable, net of allowances of $2,741 (2006) and $2,688 (2005)</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30,162</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19,253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Inventories, net</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10,502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10,096</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Prepaid expenses and other 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5,242</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5,879</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Advances to suppliers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255</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1,141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Income tax receivable</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893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Deferred income taxes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2,651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2,651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Total 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49,099</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41,046</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Property, plant, and equipment, net</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17,666</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16,897</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Investment in Limoneira</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41,486</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45,634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Goodwill</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3,591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3,591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Other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2,383</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1,314</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 </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114,225</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108,842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b/>
              </w:rPr>
            </w:pPr>
            <w:r>
              <w:rPr>
                <w:b/>
              </w:rPr>
              <w:t>Liabilities and shareholders equity</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Current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Payable to growers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10,428</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1,753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Trade accounts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1,742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1,892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Accrued expenses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14,413</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12,482</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Income tax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42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Short-term borrowings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4,354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1,424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Dividend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4,564</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Current portion of long-term obligations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1,309</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1,313</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Total current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32,288</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23,428</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Long-term liabilities: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Long-term obligations, less current portion</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11,715</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11,719</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Deferred income taxes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6,944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8,589</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Total long-term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18,659</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20,308</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Commitments and contingencies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Shareholders equity:</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Common stock, $0.001 par value; 100,000 shares authorized; 14,292 (2006) and 14,362 (2005) issued and outstanding</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450" w:right="0" w:hanging="225"/>
              <w:rPr/>
            </w:pPr>
            <w:r>
              <w:rPr/>
              <w:t>Additional paid-in capital</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36,576</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37,240</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Notes receivable from shareholders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(2,461</w:t>
            </w:r>
          </w:p>
        </w:tc>
        <w:tc>
          <w:tcPr>
            <w:tcW w:w="137"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(2,636</w:t>
            </w:r>
          </w:p>
        </w:tc>
        <w:tc>
          <w:tcPr>
            <w:tcW w:w="142" w:type="dxa"/>
            <w:tcBorders/>
            <w:shd w:fill="auto" w:val="clear"/>
            <w:vAlign w:val="bottom"/>
          </w:tcPr>
          <w:p>
            <w:pPr>
              <w:pStyle w:val="TableContents"/>
              <w:spacing w:before="0" w:after="283"/>
              <w:rPr/>
            </w:pPr>
            <w:r>
              <w:rPr/>
              <w:t>)</w:t>
            </w:r>
          </w:p>
        </w:tc>
      </w:tr>
      <w:tr>
        <w:trPr/>
        <w:tc>
          <w:tcPr>
            <w:tcW w:w="6790" w:type="dxa"/>
            <w:tcBorders/>
            <w:shd w:fill="CCEEFF" w:val="clear"/>
            <w:vAlign w:val="bottom"/>
          </w:tcPr>
          <w:p>
            <w:pPr>
              <w:pStyle w:val="TableContents"/>
              <w:spacing w:before="0" w:after="0"/>
              <w:ind w:left="450" w:right="0" w:hanging="225"/>
              <w:rPr/>
            </w:pPr>
            <w:r>
              <w:rPr/>
              <w:t>Accumulated other comprehensive income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10,883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13,386</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450" w:right="0" w:hanging="225"/>
              <w:rPr/>
            </w:pPr>
            <w:r>
              <w:rPr/>
              <w:t>Retained earnings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18,266</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16,742</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Total shareholders equity</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63,278</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64,746</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114,225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108,842</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INCOME (UNAUDITED)</w:t>
        <w:br/>
        <w:t>(All amounts in thousands, except per share amounts)</w:t>
      </w:r>
    </w:p>
    <w:tbl>
      <w:tblPr>
        <w:tblW w:w="5000" w:type="pct"/>
        <w:jc w:val="center"/>
        <w:tblInd w:w="0" w:type="dxa"/>
        <w:tblCellMar>
          <w:top w:w="0" w:type="dxa"/>
          <w:left w:w="0" w:type="dxa"/>
          <w:bottom w:w="0" w:type="dxa"/>
          <w:right w:w="0" w:type="dxa"/>
        </w:tblCellMar>
      </w:tblPr>
      <w:tblGrid>
        <w:gridCol w:w="4269"/>
        <w:gridCol w:w="382"/>
        <w:gridCol w:w="168"/>
        <w:gridCol w:w="827"/>
        <w:gridCol w:w="111"/>
        <w:gridCol w:w="389"/>
        <w:gridCol w:w="168"/>
        <w:gridCol w:w="828"/>
        <w:gridCol w:w="104"/>
        <w:gridCol w:w="382"/>
        <w:gridCol w:w="151"/>
        <w:gridCol w:w="816"/>
        <w:gridCol w:w="124"/>
        <w:gridCol w:w="382"/>
        <w:gridCol w:w="151"/>
        <w:gridCol w:w="816"/>
        <w:gridCol w:w="137"/>
      </w:tblGrid>
      <w:tr>
        <w:trPr/>
        <w:tc>
          <w:tcPr>
            <w:tcW w:w="426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91"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40" w:type="dxa"/>
            <w:gridSpan w:val="6"/>
            <w:tcBorders/>
            <w:shd w:fill="auto" w:val="clear"/>
            <w:vAlign w:val="bottom"/>
          </w:tcPr>
          <w:p>
            <w:pPr>
              <w:pStyle w:val="TableContents"/>
              <w:spacing w:before="0" w:after="283"/>
              <w:jc w:val="center"/>
              <w:rPr>
                <w:b/>
              </w:rPr>
            </w:pPr>
            <w:r>
              <w:rPr>
                <w:b/>
              </w:rPr>
              <w:t>Six months ended</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9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4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9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225" w:right="0" w:hanging="225"/>
              <w:rPr/>
            </w:pPr>
            <w:r>
              <w:rPr/>
              <w:t>Net sales</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67,429</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60,206</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118,076</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107,877</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0"/>
              <w:ind w:left="225" w:right="0" w:hanging="225"/>
              <w:rPr/>
            </w:pPr>
            <w:r>
              <w:rPr/>
              <w:t>Cost of sales</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58,768</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53,851</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106,005</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99,570</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225" w:right="0" w:hanging="225"/>
              <w:rPr/>
            </w:pPr>
            <w:r>
              <w:rPr/>
              <w:t>Gross margin</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8,661</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6,355</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12,071</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8,307</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0"/>
              <w:ind w:left="225" w:right="0" w:hanging="225"/>
              <w:rPr/>
            </w:pPr>
            <w:r>
              <w:rPr/>
              <w:t>Selling, general and administrative</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5,063</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4,307</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9,507</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8,820</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225" w:right="0" w:hanging="225"/>
              <w:rPr/>
            </w:pPr>
            <w:r>
              <w:rPr/>
              <w:t>Operating income (loss)</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3,598</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2,048</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2,564</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(513</w:t>
            </w:r>
          </w:p>
        </w:tc>
        <w:tc>
          <w:tcPr>
            <w:tcW w:w="137" w:type="dxa"/>
            <w:tcBorders/>
            <w:shd w:fill="CCEEFF" w:val="clear"/>
            <w:vAlign w:val="bottom"/>
          </w:tcPr>
          <w:p>
            <w:pPr>
              <w:pStyle w:val="TableContents"/>
              <w:spacing w:before="0" w:after="283"/>
              <w:rPr/>
            </w:pPr>
            <w:r>
              <w:rPr/>
              <w:t>)</w:t>
            </w:r>
          </w:p>
        </w:tc>
      </w:tr>
      <w:tr>
        <w:trPr/>
        <w:tc>
          <w:tcPr>
            <w:tcW w:w="4269" w:type="dxa"/>
            <w:tcBorders/>
            <w:shd w:fill="auto" w:val="clear"/>
            <w:vAlign w:val="bottom"/>
          </w:tcPr>
          <w:p>
            <w:pPr>
              <w:pStyle w:val="TableContents"/>
              <w:spacing w:before="0" w:after="0"/>
              <w:ind w:left="225" w:right="0" w:hanging="225"/>
              <w:rPr/>
            </w:pPr>
            <w:r>
              <w:rPr/>
              <w:t>Other income (expense), net</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10</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1,909</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(65</w:t>
            </w:r>
          </w:p>
        </w:tc>
        <w:tc>
          <w:tcPr>
            <w:tcW w:w="124" w:type="dxa"/>
            <w:tcBorders/>
            <w:shd w:fill="auto" w:val="clear"/>
            <w:vAlign w:val="bottom"/>
          </w:tcPr>
          <w:p>
            <w:pPr>
              <w:pStyle w:val="TableContents"/>
              <w:spacing w:before="0" w:after="283"/>
              <w:rPr/>
            </w:pPr>
            <w:r>
              <w:rPr/>
              <w:t>)</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1,991</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225" w:right="0" w:hanging="225"/>
              <w:rPr/>
            </w:pPr>
            <w:r>
              <w:rPr/>
              <w:t>Income before provision for income taxes</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3,608</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3,957</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2,499</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1,478</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0"/>
              <w:ind w:left="225" w:right="0" w:hanging="225"/>
              <w:rPr/>
            </w:pPr>
            <w:r>
              <w:rPr/>
              <w:t>Provision for income taxes</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1,419</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1,490</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975</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558</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225" w:right="0" w:hanging="225"/>
              <w:rPr/>
            </w:pPr>
            <w:r>
              <w:rPr/>
              <w:t>Net income</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2,189</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2,467</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1,524</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920</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auto" w:val="clear"/>
            <w:vAlign w:val="bottom"/>
          </w:tcPr>
          <w:p>
            <w:pPr>
              <w:pStyle w:val="TableContents"/>
              <w:spacing w:before="0" w:after="0"/>
              <w:ind w:left="225" w:right="0" w:hanging="225"/>
              <w:rPr/>
            </w:pPr>
            <w:r>
              <w:rPr/>
              <w:t>Net income per share:</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450" w:right="0" w:hanging="225"/>
              <w:rPr/>
            </w:pPr>
            <w:r>
              <w:rPr/>
              <w:t>Basic</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0.15</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0.18</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0.11</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0.07</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auto" w:val="clear"/>
            <w:vAlign w:val="bottom"/>
          </w:tcPr>
          <w:p>
            <w:pPr>
              <w:pStyle w:val="TableContents"/>
              <w:spacing w:before="0" w:after="0"/>
              <w:ind w:left="450" w:right="0" w:hanging="225"/>
              <w:rPr/>
            </w:pPr>
            <w:r>
              <w:rPr/>
              <w:t>Diluted</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0.15</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0.18</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0.11</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0.07</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225" w:right="0" w:hanging="225"/>
              <w:rPr/>
            </w:pPr>
            <w:r>
              <w:rPr/>
              <w:t>Number of shares used in per share computation:</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bottom"/>
          </w:tcPr>
          <w:p>
            <w:pPr>
              <w:pStyle w:val="TableContents"/>
              <w:spacing w:before="0" w:after="0"/>
              <w:ind w:left="450" w:right="0" w:hanging="225"/>
              <w:rPr/>
            </w:pPr>
            <w:r>
              <w:rPr/>
              <w:t>Basic</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14,282</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13,507</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14,317</w:t>
            </w:r>
          </w:p>
        </w:tc>
        <w:tc>
          <w:tcPr>
            <w:tcW w:w="12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13,507</w:t>
            </w:r>
          </w:p>
        </w:tc>
        <w:tc>
          <w:tcPr>
            <w:tcW w:w="137" w:type="dxa"/>
            <w:tcBorders/>
            <w:shd w:fill="auto"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4269" w:type="dxa"/>
            <w:tcBorders/>
            <w:shd w:fill="CCEEFF" w:val="clear"/>
            <w:vAlign w:val="bottom"/>
          </w:tcPr>
          <w:p>
            <w:pPr>
              <w:pStyle w:val="TableContents"/>
              <w:spacing w:before="0" w:after="0"/>
              <w:ind w:left="450" w:right="0" w:hanging="225"/>
              <w:rPr/>
            </w:pPr>
            <w:r>
              <w:rPr/>
              <w:t>Diluted</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14,343</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13,580</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14,374</w:t>
            </w:r>
          </w:p>
        </w:tc>
        <w:tc>
          <w:tcPr>
            <w:tcW w:w="12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13,581</w:t>
            </w:r>
          </w:p>
        </w:tc>
        <w:tc>
          <w:tcPr>
            <w:tcW w:w="137" w:type="dxa"/>
            <w:tcBorders/>
            <w:shd w:fill="CCEEFF" w:val="clear"/>
            <w:vAlign w:val="bottom"/>
          </w:tcPr>
          <w:p>
            <w:pPr>
              <w:pStyle w:val="TableContents"/>
              <w:spacing w:before="0" w:after="283"/>
              <w:rPr/>
            </w:pPr>
            <w:r>
              <w:rPr/>
              <w:t> </w:t>
            </w:r>
          </w:p>
        </w:tc>
      </w:tr>
      <w:tr>
        <w:trPr/>
        <w:tc>
          <w:tcPr>
            <w:tcW w:w="4269"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COMPREHENSIVE INCOME (LOSS) (UNAUDITED)</w:t>
        <w:br/>
        <w:t>(All amounts in thousands)</w:t>
      </w:r>
    </w:p>
    <w:tbl>
      <w:tblPr>
        <w:tblW w:w="5000" w:type="pct"/>
        <w:jc w:val="center"/>
        <w:tblInd w:w="0" w:type="dxa"/>
        <w:tblCellMar>
          <w:top w:w="0" w:type="dxa"/>
          <w:left w:w="0" w:type="dxa"/>
          <w:bottom w:w="0" w:type="dxa"/>
          <w:right w:w="0" w:type="dxa"/>
        </w:tblCellMar>
      </w:tblPr>
      <w:tblGrid>
        <w:gridCol w:w="4316"/>
        <w:gridCol w:w="364"/>
        <w:gridCol w:w="190"/>
        <w:gridCol w:w="830"/>
        <w:gridCol w:w="150"/>
        <w:gridCol w:w="378"/>
        <w:gridCol w:w="190"/>
        <w:gridCol w:w="833"/>
        <w:gridCol w:w="104"/>
        <w:gridCol w:w="364"/>
        <w:gridCol w:w="180"/>
        <w:gridCol w:w="853"/>
        <w:gridCol w:w="143"/>
        <w:gridCol w:w="373"/>
        <w:gridCol w:w="180"/>
        <w:gridCol w:w="642"/>
        <w:gridCol w:w="115"/>
      </w:tblGrid>
      <w:tr>
        <w:trPr/>
        <w:tc>
          <w:tcPr>
            <w:tcW w:w="431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31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571"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371" w:type="dxa"/>
            <w:gridSpan w:val="6"/>
            <w:tcBorders/>
            <w:shd w:fill="auto" w:val="clear"/>
            <w:vAlign w:val="bottom"/>
          </w:tcPr>
          <w:p>
            <w:pPr>
              <w:pStyle w:val="TableContents"/>
              <w:spacing w:before="0" w:after="283"/>
              <w:jc w:val="center"/>
              <w:rPr>
                <w:b/>
              </w:rPr>
            </w:pPr>
            <w:r>
              <w:rPr>
                <w:b/>
              </w:rPr>
              <w:t>Six months ended</w:t>
            </w:r>
          </w:p>
        </w:tc>
        <w:tc>
          <w:tcPr>
            <w:tcW w:w="115" w:type="dxa"/>
            <w:tcBorders/>
            <w:shd w:fill="auto" w:val="clear"/>
            <w:vAlign w:val="bottom"/>
          </w:tcPr>
          <w:p>
            <w:pPr>
              <w:pStyle w:val="TableContents"/>
              <w:spacing w:before="0" w:after="283"/>
              <w:rPr/>
            </w:pPr>
            <w:r>
              <w:rPr/>
              <w:t> </w:t>
            </w:r>
          </w:p>
        </w:tc>
      </w:tr>
      <w:tr>
        <w:trPr/>
        <w:tc>
          <w:tcPr>
            <w:tcW w:w="431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57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37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15" w:type="dxa"/>
            <w:tcBorders/>
            <w:shd w:fill="auto" w:val="clear"/>
            <w:vAlign w:val="bottom"/>
          </w:tcPr>
          <w:p>
            <w:pPr>
              <w:pStyle w:val="TableContents"/>
              <w:spacing w:before="0" w:after="283"/>
              <w:rPr/>
            </w:pPr>
            <w:r>
              <w:rPr/>
              <w:t> </w:t>
            </w:r>
          </w:p>
        </w:tc>
      </w:tr>
      <w:tr>
        <w:trPr/>
        <w:tc>
          <w:tcPr>
            <w:tcW w:w="431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5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0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3"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5" w:type="dxa"/>
            <w:tcBorders/>
            <w:shd w:fill="auto" w:val="clear"/>
            <w:vAlign w:val="bottom"/>
          </w:tcPr>
          <w:p>
            <w:pPr>
              <w:pStyle w:val="TableContents"/>
              <w:spacing w:before="0" w:after="283"/>
              <w:rPr/>
            </w:pPr>
            <w:r>
              <w:rPr/>
              <w:t> </w:t>
            </w:r>
          </w:p>
        </w:tc>
      </w:tr>
      <w:tr>
        <w:trPr/>
        <w:tc>
          <w:tcPr>
            <w:tcW w:w="4316" w:type="dxa"/>
            <w:tcBorders/>
            <w:shd w:fill="CCEEFF" w:val="clear"/>
            <w:vAlign w:val="bottom"/>
          </w:tcPr>
          <w:p>
            <w:pPr>
              <w:pStyle w:val="TableContents"/>
              <w:spacing w:before="0" w:after="0"/>
              <w:ind w:left="225" w:right="0" w:hanging="225"/>
              <w:rPr/>
            </w:pPr>
            <w:r>
              <w:rPr/>
              <w:t>Net income</w:t>
            </w:r>
          </w:p>
        </w:tc>
        <w:tc>
          <w:tcPr>
            <w:tcW w:w="36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2,189</w:t>
            </w:r>
          </w:p>
        </w:tc>
        <w:tc>
          <w:tcPr>
            <w:tcW w:w="150"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2,467</w:t>
            </w:r>
          </w:p>
        </w:tc>
        <w:tc>
          <w:tcPr>
            <w:tcW w:w="104"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853" w:type="dxa"/>
            <w:tcBorders/>
            <w:shd w:fill="CCEEFF" w:val="clear"/>
            <w:vAlign w:val="bottom"/>
          </w:tcPr>
          <w:p>
            <w:pPr>
              <w:pStyle w:val="TableContents"/>
              <w:spacing w:before="0" w:after="283"/>
              <w:jc w:val="right"/>
              <w:rPr/>
            </w:pPr>
            <w:r>
              <w:rPr/>
              <w:t>1,524</w:t>
            </w:r>
          </w:p>
        </w:tc>
        <w:tc>
          <w:tcPr>
            <w:tcW w:w="143"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642" w:type="dxa"/>
            <w:tcBorders/>
            <w:shd w:fill="CCEEFF" w:val="clear"/>
            <w:vAlign w:val="bottom"/>
          </w:tcPr>
          <w:p>
            <w:pPr>
              <w:pStyle w:val="TableContents"/>
              <w:spacing w:before="0" w:after="283"/>
              <w:jc w:val="right"/>
              <w:rPr/>
            </w:pPr>
            <w:r>
              <w:rPr/>
              <w:t>920</w:t>
            </w:r>
          </w:p>
        </w:tc>
        <w:tc>
          <w:tcPr>
            <w:tcW w:w="115" w:type="dxa"/>
            <w:tcBorders/>
            <w:shd w:fill="CCEEFF" w:val="clear"/>
            <w:vAlign w:val="bottom"/>
          </w:tcPr>
          <w:p>
            <w:pPr>
              <w:pStyle w:val="TableContents"/>
              <w:spacing w:before="0" w:after="283"/>
              <w:rPr/>
            </w:pPr>
            <w:r>
              <w:rPr/>
              <w:t> </w:t>
            </w:r>
          </w:p>
        </w:tc>
      </w:tr>
      <w:tr>
        <w:trPr/>
        <w:tc>
          <w:tcPr>
            <w:tcW w:w="4316"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8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6" w:type="dxa"/>
            <w:tcBorders/>
            <w:shd w:fill="auto" w:val="clear"/>
            <w:vAlign w:val="bottom"/>
          </w:tcPr>
          <w:p>
            <w:pPr>
              <w:pStyle w:val="TableContents"/>
              <w:spacing w:before="0" w:after="0"/>
              <w:ind w:left="225" w:right="0" w:hanging="225"/>
              <w:rPr/>
            </w:pPr>
            <w:r>
              <w:rPr/>
              <w:t>Other comprehensive income (loss), before tax:</w:t>
            </w:r>
          </w:p>
        </w:tc>
        <w:tc>
          <w:tcPr>
            <w:tcW w:w="3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316" w:type="dxa"/>
            <w:tcBorders/>
            <w:shd w:fill="CCEEFF" w:val="clear"/>
            <w:vAlign w:val="bottom"/>
          </w:tcPr>
          <w:p>
            <w:pPr>
              <w:pStyle w:val="TableContents"/>
              <w:spacing w:before="0" w:after="0"/>
              <w:ind w:left="450" w:right="0" w:hanging="225"/>
              <w:rPr/>
            </w:pPr>
            <w:r>
              <w:rPr/>
              <w:t>Unrealized holding gains (losses) arising during period</w:t>
            </w:r>
          </w:p>
        </w:tc>
        <w:tc>
          <w:tcPr>
            <w:tcW w:w="36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1,902</w:t>
            </w:r>
          </w:p>
        </w:tc>
        <w:tc>
          <w:tcPr>
            <w:tcW w:w="150"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53" w:type="dxa"/>
            <w:tcBorders/>
            <w:shd w:fill="CCEEFF" w:val="clear"/>
            <w:vAlign w:val="bottom"/>
          </w:tcPr>
          <w:p>
            <w:pPr>
              <w:pStyle w:val="TableContents"/>
              <w:spacing w:before="0" w:after="283"/>
              <w:jc w:val="right"/>
              <w:rPr/>
            </w:pPr>
            <w:r>
              <w:rPr/>
              <w:t>(4,148</w:t>
            </w:r>
          </w:p>
        </w:tc>
        <w:tc>
          <w:tcPr>
            <w:tcW w:w="143"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r>
      <w:tr>
        <w:trPr/>
        <w:tc>
          <w:tcPr>
            <w:tcW w:w="4316" w:type="dxa"/>
            <w:tcBorders/>
            <w:shd w:fill="auto" w:val="clear"/>
            <w:vAlign w:val="bottom"/>
          </w:tcPr>
          <w:p>
            <w:pPr>
              <w:pStyle w:val="TableContents"/>
              <w:spacing w:before="0" w:after="0"/>
              <w:ind w:left="450" w:right="0" w:hanging="225"/>
              <w:rPr/>
            </w:pPr>
            <w:r>
              <w:rPr/>
              <w:t>Income tax (expense) benefit related to items of other comprehensive income (loss)</w:t>
            </w:r>
          </w:p>
        </w:tc>
        <w:tc>
          <w:tcPr>
            <w:tcW w:w="3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(754</w:t>
            </w:r>
          </w:p>
        </w:tc>
        <w:tc>
          <w:tcPr>
            <w:tcW w:w="150" w:type="dxa"/>
            <w:tcBorders/>
            <w:shd w:fill="auto" w:val="clear"/>
            <w:vAlign w:val="bottom"/>
          </w:tcPr>
          <w:p>
            <w:pPr>
              <w:pStyle w:val="TableContents"/>
              <w:spacing w:before="0" w:after="283"/>
              <w:rPr/>
            </w:pPr>
            <w:r>
              <w:rPr/>
              <w:t>)</w:t>
            </w:r>
          </w:p>
        </w:tc>
        <w:tc>
          <w:tcPr>
            <w:tcW w:w="37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1,645</w:t>
            </w:r>
          </w:p>
        </w:tc>
        <w:tc>
          <w:tcPr>
            <w:tcW w:w="143"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r>
      <w:tr>
        <w:trPr/>
        <w:tc>
          <w:tcPr>
            <w:tcW w:w="4316"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8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6" w:type="dxa"/>
            <w:tcBorders/>
            <w:shd w:fill="CCEEFF" w:val="clear"/>
            <w:vAlign w:val="bottom"/>
          </w:tcPr>
          <w:p>
            <w:pPr>
              <w:pStyle w:val="TableContents"/>
              <w:spacing w:before="0" w:after="0"/>
              <w:ind w:left="225" w:right="0" w:hanging="225"/>
              <w:rPr/>
            </w:pPr>
            <w:r>
              <w:rPr/>
              <w:t>Other comprehensive income (loss), net of tax</w:t>
            </w:r>
          </w:p>
        </w:tc>
        <w:tc>
          <w:tcPr>
            <w:tcW w:w="36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1,148</w:t>
            </w:r>
          </w:p>
        </w:tc>
        <w:tc>
          <w:tcPr>
            <w:tcW w:w="150"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53" w:type="dxa"/>
            <w:tcBorders/>
            <w:shd w:fill="CCEEFF" w:val="clear"/>
            <w:vAlign w:val="bottom"/>
          </w:tcPr>
          <w:p>
            <w:pPr>
              <w:pStyle w:val="TableContents"/>
              <w:spacing w:before="0" w:after="283"/>
              <w:jc w:val="right"/>
              <w:rPr/>
            </w:pPr>
            <w:r>
              <w:rPr/>
              <w:t>(2,503</w:t>
            </w:r>
          </w:p>
        </w:tc>
        <w:tc>
          <w:tcPr>
            <w:tcW w:w="143"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r>
      <w:tr>
        <w:trPr/>
        <w:tc>
          <w:tcPr>
            <w:tcW w:w="4316"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0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8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6" w:type="dxa"/>
            <w:tcBorders/>
            <w:shd w:fill="auto" w:val="clear"/>
            <w:vAlign w:val="bottom"/>
          </w:tcPr>
          <w:p>
            <w:pPr>
              <w:pStyle w:val="TableContents"/>
              <w:spacing w:before="0" w:after="0"/>
              <w:ind w:left="225" w:right="0" w:hanging="225"/>
              <w:rPr/>
            </w:pPr>
            <w:r>
              <w:rPr/>
              <w:t>Comprehensive income (loss)</w:t>
            </w:r>
          </w:p>
        </w:tc>
        <w:tc>
          <w:tcPr>
            <w:tcW w:w="3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3,337</w:t>
            </w:r>
          </w:p>
        </w:tc>
        <w:tc>
          <w:tcPr>
            <w:tcW w:w="15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2,467</w:t>
            </w:r>
          </w:p>
        </w:tc>
        <w:tc>
          <w:tcPr>
            <w:tcW w:w="10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53" w:type="dxa"/>
            <w:tcBorders/>
            <w:shd w:fill="auto" w:val="clear"/>
            <w:vAlign w:val="bottom"/>
          </w:tcPr>
          <w:p>
            <w:pPr>
              <w:pStyle w:val="TableContents"/>
              <w:spacing w:before="0" w:after="283"/>
              <w:jc w:val="right"/>
              <w:rPr/>
            </w:pPr>
            <w:r>
              <w:rPr/>
              <w:t>(979</w:t>
            </w:r>
          </w:p>
        </w:tc>
        <w:tc>
          <w:tcPr>
            <w:tcW w:w="143"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642" w:type="dxa"/>
            <w:tcBorders/>
            <w:shd w:fill="auto" w:val="clear"/>
            <w:vAlign w:val="bottom"/>
          </w:tcPr>
          <w:p>
            <w:pPr>
              <w:pStyle w:val="TableContents"/>
              <w:spacing w:before="0" w:after="283"/>
              <w:jc w:val="right"/>
              <w:rPr/>
            </w:pPr>
            <w:r>
              <w:rPr/>
              <w:t>920</w:t>
            </w:r>
          </w:p>
        </w:tc>
        <w:tc>
          <w:tcPr>
            <w:tcW w:w="115" w:type="dxa"/>
            <w:tcBorders/>
            <w:shd w:fill="auto" w:val="clear"/>
            <w:vAlign w:val="bottom"/>
          </w:tcPr>
          <w:p>
            <w:pPr>
              <w:pStyle w:val="TableContents"/>
              <w:spacing w:before="0" w:after="283"/>
              <w:rPr/>
            </w:pPr>
            <w:r>
              <w:rPr/>
              <w:t> </w:t>
            </w:r>
          </w:p>
        </w:tc>
      </w:tr>
      <w:tr>
        <w:trPr/>
        <w:tc>
          <w:tcPr>
            <w:tcW w:w="4316"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10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8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CONSOLIDATED CONDENSED STATEMENTS OF CASH FLOWS (UNAUDITED)</w:t>
      </w:r>
    </w:p>
    <w:tbl>
      <w:tblPr>
        <w:tblW w:w="5000" w:type="pct"/>
        <w:jc w:val="center"/>
        <w:tblInd w:w="0" w:type="dxa"/>
        <w:tblCellMar>
          <w:top w:w="0" w:type="dxa"/>
          <w:left w:w="0" w:type="dxa"/>
          <w:bottom w:w="0" w:type="dxa"/>
          <w:right w:w="0" w:type="dxa"/>
        </w:tblCellMar>
      </w:tblPr>
      <w:tblGrid>
        <w:gridCol w:w="6397"/>
        <w:gridCol w:w="408"/>
        <w:gridCol w:w="221"/>
        <w:gridCol w:w="1169"/>
        <w:gridCol w:w="173"/>
        <w:gridCol w:w="429"/>
        <w:gridCol w:w="221"/>
        <w:gridCol w:w="1042"/>
        <w:gridCol w:w="145"/>
      </w:tblGrid>
      <w:tr>
        <w:trPr/>
        <w:tc>
          <w:tcPr>
            <w:tcW w:w="639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325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145" w:type="dxa"/>
            <w:tcBorders/>
            <w:shd w:fill="auto"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3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b/>
              </w:rPr>
            </w:pPr>
            <w:r>
              <w:rPr>
                <w:b/>
              </w:rPr>
              <w:t>Cash Flows from Operating Activities: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Net income</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1,524</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920</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450" w:right="0" w:hanging="225"/>
              <w:rPr/>
            </w:pPr>
            <w:r>
              <w:rPr/>
              <w:t>Depreciation and amortization</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1,042</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1,643</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450" w:right="0" w:hanging="225"/>
              <w:rPr/>
            </w:pPr>
            <w:r>
              <w:rPr/>
              <w:t>Gain on sale of building</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2" w:type="dxa"/>
            <w:tcBorders/>
            <w:shd w:fill="CCEEFF" w:val="clear"/>
            <w:vAlign w:val="bottom"/>
          </w:tcPr>
          <w:p>
            <w:pPr>
              <w:pStyle w:val="TableContents"/>
              <w:spacing w:before="0" w:after="283"/>
              <w:jc w:val="right"/>
              <w:rPr/>
            </w:pPr>
            <w:r>
              <w:rPr/>
              <w:t>(1,725</w:t>
            </w:r>
          </w:p>
        </w:tc>
        <w:tc>
          <w:tcPr>
            <w:tcW w:w="145" w:type="dxa"/>
            <w:tcBorders/>
            <w:shd w:fill="CCEEFF" w:val="clear"/>
            <w:vAlign w:val="bottom"/>
          </w:tcPr>
          <w:p>
            <w:pPr>
              <w:pStyle w:val="TableContents"/>
              <w:spacing w:before="0" w:after="283"/>
              <w:rPr/>
            </w:pPr>
            <w:r>
              <w:rPr/>
              <w:t>)</w:t>
            </w:r>
          </w:p>
        </w:tc>
      </w:tr>
      <w:tr>
        <w:trPr/>
        <w:tc>
          <w:tcPr>
            <w:tcW w:w="6397" w:type="dxa"/>
            <w:tcBorders/>
            <w:shd w:fill="auto" w:val="clear"/>
            <w:vAlign w:val="bottom"/>
          </w:tcPr>
          <w:p>
            <w:pPr>
              <w:pStyle w:val="TableContents"/>
              <w:spacing w:before="0" w:after="0"/>
              <w:ind w:left="450" w:right="0" w:hanging="225"/>
              <w:rPr/>
            </w:pPr>
            <w:r>
              <w:rPr/>
              <w:t>Stock based compensation</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226</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25</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450" w:right="0" w:hanging="225"/>
              <w:rPr/>
            </w:pPr>
            <w:r>
              <w:rPr/>
              <w:t>Provision for losses on accounts receivable</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1</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Effect on cash of changes in operating assets and liabilities: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675" w:right="0" w:hanging="225"/>
              <w:rPr/>
            </w:pPr>
            <w:r>
              <w:rPr/>
              <w:t>Accounts receivable</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pPr>
            <w:r>
              <w:rPr/>
              <w:t>(10,910</w:t>
            </w:r>
          </w:p>
        </w:tc>
        <w:tc>
          <w:tcPr>
            <w:tcW w:w="173"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2" w:type="dxa"/>
            <w:tcBorders/>
            <w:shd w:fill="CCEEFF" w:val="clear"/>
            <w:vAlign w:val="bottom"/>
          </w:tcPr>
          <w:p>
            <w:pPr>
              <w:pStyle w:val="TableContents"/>
              <w:spacing w:before="0" w:after="283"/>
              <w:jc w:val="right"/>
              <w:rPr/>
            </w:pPr>
            <w:r>
              <w:rPr/>
              <w:t>(4,995</w:t>
            </w:r>
          </w:p>
        </w:tc>
        <w:tc>
          <w:tcPr>
            <w:tcW w:w="145" w:type="dxa"/>
            <w:tcBorders/>
            <w:shd w:fill="CCEEFF" w:val="clear"/>
            <w:vAlign w:val="bottom"/>
          </w:tcPr>
          <w:p>
            <w:pPr>
              <w:pStyle w:val="TableContents"/>
              <w:spacing w:before="0" w:after="283"/>
              <w:rPr/>
            </w:pPr>
            <w:r>
              <w:rPr/>
              <w:t>)</w:t>
            </w:r>
          </w:p>
        </w:tc>
      </w:tr>
      <w:tr>
        <w:trPr/>
        <w:tc>
          <w:tcPr>
            <w:tcW w:w="6397" w:type="dxa"/>
            <w:tcBorders/>
            <w:shd w:fill="auto" w:val="clear"/>
            <w:vAlign w:val="bottom"/>
          </w:tcPr>
          <w:p>
            <w:pPr>
              <w:pStyle w:val="TableContents"/>
              <w:spacing w:before="0" w:after="0"/>
              <w:ind w:left="675" w:right="0" w:hanging="225"/>
              <w:rPr/>
            </w:pPr>
            <w:r>
              <w:rPr/>
              <w:t>Inventories, net</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69" w:type="dxa"/>
            <w:tcBorders/>
            <w:shd w:fill="auto" w:val="clear"/>
            <w:vAlign w:val="bottom"/>
          </w:tcPr>
          <w:p>
            <w:pPr>
              <w:pStyle w:val="TableContents"/>
              <w:spacing w:before="0" w:after="283"/>
              <w:jc w:val="right"/>
              <w:rPr/>
            </w:pPr>
            <w:r>
              <w:rPr/>
              <w:t>(406</w:t>
            </w:r>
          </w:p>
        </w:tc>
        <w:tc>
          <w:tcPr>
            <w:tcW w:w="173"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2" w:type="dxa"/>
            <w:tcBorders/>
            <w:shd w:fill="auto" w:val="clear"/>
            <w:vAlign w:val="bottom"/>
          </w:tcPr>
          <w:p>
            <w:pPr>
              <w:pStyle w:val="TableContents"/>
              <w:spacing w:before="0" w:after="283"/>
              <w:jc w:val="right"/>
              <w:rPr/>
            </w:pPr>
            <w:r>
              <w:rPr/>
              <w:t>(1,792</w:t>
            </w:r>
          </w:p>
        </w:tc>
        <w:tc>
          <w:tcPr>
            <w:tcW w:w="145" w:type="dxa"/>
            <w:tcBorders/>
            <w:shd w:fill="auto" w:val="clear"/>
            <w:vAlign w:val="bottom"/>
          </w:tcPr>
          <w:p>
            <w:pPr>
              <w:pStyle w:val="TableContents"/>
              <w:spacing w:before="0" w:after="283"/>
              <w:rPr/>
            </w:pPr>
            <w:r>
              <w:rPr/>
              <w:t>)</w:t>
            </w:r>
          </w:p>
        </w:tc>
      </w:tr>
      <w:tr>
        <w:trPr/>
        <w:tc>
          <w:tcPr>
            <w:tcW w:w="6397" w:type="dxa"/>
            <w:tcBorders/>
            <w:shd w:fill="CCEEFF" w:val="clear"/>
            <w:vAlign w:val="bottom"/>
          </w:tcPr>
          <w:p>
            <w:pPr>
              <w:pStyle w:val="TableContents"/>
              <w:spacing w:before="0" w:after="0"/>
              <w:ind w:left="675" w:right="0" w:hanging="225"/>
              <w:rPr/>
            </w:pPr>
            <w:r>
              <w:rPr/>
              <w:t>Prepaid expenses and other assets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pPr>
            <w:r>
              <w:rPr/>
              <w:t>(491</w:t>
            </w:r>
          </w:p>
        </w:tc>
        <w:tc>
          <w:tcPr>
            <w:tcW w:w="173"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212</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675" w:right="0" w:hanging="225"/>
              <w:rPr/>
            </w:pPr>
            <w:r>
              <w:rPr/>
              <w:t>Advances to suppliers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886</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2,253</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675" w:right="0" w:hanging="225"/>
              <w:rPr/>
            </w:pPr>
            <w:r>
              <w:rPr/>
              <w:t>Income taxes receivable</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953</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589</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675" w:right="0" w:hanging="225"/>
              <w:rPr/>
            </w:pPr>
            <w:r>
              <w:rPr/>
              <w:t>Payable to growers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8,675</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4,281</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675" w:right="0" w:hanging="225"/>
              <w:rPr/>
            </w:pPr>
            <w:r>
              <w:rPr/>
              <w:t>Trade accounts payable and accrued expenses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1,781</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1,800</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675" w:right="0" w:hanging="225"/>
              <w:rPr/>
            </w:pPr>
            <w:r>
              <w:rPr/>
              <w:t>Income taxes payable</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42</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w:t>
            </w:r>
          </w:p>
        </w:tc>
        <w:tc>
          <w:tcPr>
            <w:tcW w:w="145" w:type="dxa"/>
            <w:tcBorders/>
            <w:shd w:fill="auto"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900" w:right="0" w:hanging="225"/>
              <w:rPr/>
            </w:pPr>
            <w:r>
              <w:rPr/>
              <w:t>Net cash provided by operating activities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3,323</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3,212</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b/>
              </w:rPr>
            </w:pPr>
            <w:r>
              <w:rPr>
                <w:b/>
              </w:rPr>
              <w:t>Cash Flows from Investing Activities: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pPr>
            <w:r>
              <w:rPr/>
              <w:t>Proceeds received from sale of building</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3,383</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Acquisitions of and deposits on property, plant, and equipment</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69" w:type="dxa"/>
            <w:tcBorders/>
            <w:shd w:fill="auto" w:val="clear"/>
            <w:vAlign w:val="bottom"/>
          </w:tcPr>
          <w:p>
            <w:pPr>
              <w:pStyle w:val="TableContents"/>
              <w:spacing w:before="0" w:after="283"/>
              <w:jc w:val="right"/>
              <w:rPr/>
            </w:pPr>
            <w:r>
              <w:rPr/>
              <w:t>(1,752</w:t>
            </w:r>
          </w:p>
        </w:tc>
        <w:tc>
          <w:tcPr>
            <w:tcW w:w="173"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2" w:type="dxa"/>
            <w:tcBorders/>
            <w:shd w:fill="auto" w:val="clear"/>
            <w:vAlign w:val="bottom"/>
          </w:tcPr>
          <w:p>
            <w:pPr>
              <w:pStyle w:val="TableContents"/>
              <w:spacing w:before="0" w:after="283"/>
              <w:jc w:val="right"/>
              <w:rPr/>
            </w:pPr>
            <w:r>
              <w:rPr/>
              <w:t>(1,024</w:t>
            </w:r>
          </w:p>
        </w:tc>
        <w:tc>
          <w:tcPr>
            <w:tcW w:w="145" w:type="dxa"/>
            <w:tcBorders/>
            <w:shd w:fill="auto" w:val="clear"/>
            <w:vAlign w:val="bottom"/>
          </w:tcPr>
          <w:p>
            <w:pPr>
              <w:pStyle w:val="TableContents"/>
              <w:spacing w:before="0" w:after="283"/>
              <w:rPr/>
            </w:pPr>
            <w:r>
              <w:rPr/>
              <w:t>)</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900" w:right="0" w:hanging="225"/>
              <w:rPr/>
            </w:pPr>
            <w:r>
              <w:rPr/>
              <w:t>Net cash provided by (used in) investing activities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pPr>
            <w:r>
              <w:rPr/>
              <w:t>(1,752</w:t>
            </w:r>
          </w:p>
        </w:tc>
        <w:tc>
          <w:tcPr>
            <w:tcW w:w="173"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2,359</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b/>
              </w:rPr>
            </w:pPr>
            <w:r>
              <w:rPr>
                <w:b/>
              </w:rPr>
              <w:t>Cash Flows from Financing Activities: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pPr>
            <w:r>
              <w:rPr/>
              <w:t>Payment of dividend to shareholders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pPr>
            <w:r>
              <w:rPr/>
              <w:t>(4,564</w:t>
            </w:r>
          </w:p>
        </w:tc>
        <w:tc>
          <w:tcPr>
            <w:tcW w:w="173"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2" w:type="dxa"/>
            <w:tcBorders/>
            <w:shd w:fill="CCEEFF" w:val="clear"/>
            <w:vAlign w:val="bottom"/>
          </w:tcPr>
          <w:p>
            <w:pPr>
              <w:pStyle w:val="TableContents"/>
              <w:spacing w:before="0" w:after="283"/>
              <w:jc w:val="right"/>
              <w:rPr/>
            </w:pPr>
            <w:r>
              <w:rPr/>
              <w:t>(4,052</w:t>
            </w:r>
          </w:p>
        </w:tc>
        <w:tc>
          <w:tcPr>
            <w:tcW w:w="145" w:type="dxa"/>
            <w:tcBorders/>
            <w:shd w:fill="CCEEFF" w:val="clear"/>
            <w:vAlign w:val="bottom"/>
          </w:tcPr>
          <w:p>
            <w:pPr>
              <w:pStyle w:val="TableContents"/>
              <w:spacing w:before="0" w:after="283"/>
              <w:rPr/>
            </w:pPr>
            <w:r>
              <w:rPr/>
              <w:t>)</w:t>
            </w:r>
          </w:p>
        </w:tc>
      </w:tr>
      <w:tr>
        <w:trPr/>
        <w:tc>
          <w:tcPr>
            <w:tcW w:w="6397" w:type="dxa"/>
            <w:tcBorders/>
            <w:shd w:fill="auto" w:val="clear"/>
            <w:vAlign w:val="bottom"/>
          </w:tcPr>
          <w:p>
            <w:pPr>
              <w:pStyle w:val="TableContents"/>
              <w:spacing w:before="0" w:after="0"/>
              <w:ind w:left="225" w:right="0" w:hanging="225"/>
              <w:rPr/>
            </w:pPr>
            <w:r>
              <w:rPr/>
              <w:t>Proceeds from (payments on) short-term borrowings, net</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2,930</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2" w:type="dxa"/>
            <w:tcBorders/>
            <w:shd w:fill="auto" w:val="clear"/>
            <w:vAlign w:val="bottom"/>
          </w:tcPr>
          <w:p>
            <w:pPr>
              <w:pStyle w:val="TableContents"/>
              <w:spacing w:before="0" w:after="283"/>
              <w:jc w:val="right"/>
              <w:rPr/>
            </w:pPr>
            <w:r>
              <w:rPr/>
              <w:t>(1,290</w:t>
            </w:r>
          </w:p>
        </w:tc>
        <w:tc>
          <w:tcPr>
            <w:tcW w:w="145" w:type="dxa"/>
            <w:tcBorders/>
            <w:shd w:fill="auto" w:val="clear"/>
            <w:vAlign w:val="bottom"/>
          </w:tcPr>
          <w:p>
            <w:pPr>
              <w:pStyle w:val="TableContents"/>
              <w:spacing w:before="0" w:after="283"/>
              <w:rPr/>
            </w:pPr>
            <w:r>
              <w:rPr/>
              <w:t>)</w:t>
            </w:r>
          </w:p>
        </w:tc>
      </w:tr>
      <w:tr>
        <w:trPr/>
        <w:tc>
          <w:tcPr>
            <w:tcW w:w="6397" w:type="dxa"/>
            <w:tcBorders/>
            <w:shd w:fill="CCEEFF" w:val="clear"/>
            <w:vAlign w:val="bottom"/>
          </w:tcPr>
          <w:p>
            <w:pPr>
              <w:pStyle w:val="TableContents"/>
              <w:spacing w:before="0" w:after="0"/>
              <w:ind w:left="225" w:right="0" w:hanging="225"/>
              <w:rPr/>
            </w:pPr>
            <w:r>
              <w:rPr/>
              <w:t>Exercise of stock options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250</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Retirement of common stock</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69" w:type="dxa"/>
            <w:tcBorders/>
            <w:shd w:fill="auto" w:val="clear"/>
            <w:vAlign w:val="bottom"/>
          </w:tcPr>
          <w:p>
            <w:pPr>
              <w:pStyle w:val="TableContents"/>
              <w:spacing w:before="0" w:after="283"/>
              <w:jc w:val="right"/>
              <w:rPr/>
            </w:pPr>
            <w:r>
              <w:rPr/>
              <w:t>(1,200</w:t>
            </w:r>
          </w:p>
        </w:tc>
        <w:tc>
          <w:tcPr>
            <w:tcW w:w="173"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pPr>
            <w:r>
              <w:rPr/>
              <w:t>Collection on notes receivable from shareholders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175</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212</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Payments on long-term obligations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69" w:type="dxa"/>
            <w:tcBorders/>
            <w:shd w:fill="auto" w:val="clear"/>
            <w:vAlign w:val="bottom"/>
          </w:tcPr>
          <w:p>
            <w:pPr>
              <w:pStyle w:val="TableContents"/>
              <w:spacing w:before="0" w:after="283"/>
              <w:jc w:val="right"/>
              <w:rPr/>
            </w:pPr>
            <w:r>
              <w:rPr/>
              <w:t>(8</w:t>
            </w:r>
          </w:p>
        </w:tc>
        <w:tc>
          <w:tcPr>
            <w:tcW w:w="173"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2" w:type="dxa"/>
            <w:tcBorders/>
            <w:shd w:fill="auto" w:val="clear"/>
            <w:vAlign w:val="bottom"/>
          </w:tcPr>
          <w:p>
            <w:pPr>
              <w:pStyle w:val="TableContents"/>
              <w:spacing w:before="0" w:after="283"/>
              <w:jc w:val="right"/>
              <w:rPr/>
            </w:pPr>
            <w:r>
              <w:rPr/>
              <w:t>(19</w:t>
            </w:r>
          </w:p>
        </w:tc>
        <w:tc>
          <w:tcPr>
            <w:tcW w:w="145" w:type="dxa"/>
            <w:tcBorders/>
            <w:shd w:fill="auto" w:val="clear"/>
            <w:vAlign w:val="bottom"/>
          </w:tcPr>
          <w:p>
            <w:pPr>
              <w:pStyle w:val="TableContents"/>
              <w:spacing w:before="0" w:after="283"/>
              <w:rPr/>
            </w:pPr>
            <w:r>
              <w:rPr/>
              <w:t>)</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900" w:right="0" w:hanging="225"/>
              <w:rPr/>
            </w:pPr>
            <w:r>
              <w:rPr/>
              <w:t>Net cash used in financing activities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pPr>
            <w:r>
              <w:rPr/>
              <w:t>(2,417</w:t>
            </w:r>
          </w:p>
        </w:tc>
        <w:tc>
          <w:tcPr>
            <w:tcW w:w="173"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2" w:type="dxa"/>
            <w:tcBorders/>
            <w:shd w:fill="CCEEFF" w:val="clear"/>
            <w:vAlign w:val="bottom"/>
          </w:tcPr>
          <w:p>
            <w:pPr>
              <w:pStyle w:val="TableContents"/>
              <w:spacing w:before="0" w:after="283"/>
              <w:jc w:val="right"/>
              <w:rPr/>
            </w:pPr>
            <w:r>
              <w:rPr/>
              <w:t>(5,149</w:t>
            </w:r>
          </w:p>
        </w:tc>
        <w:tc>
          <w:tcPr>
            <w:tcW w:w="145" w:type="dxa"/>
            <w:tcBorders/>
            <w:shd w:fill="CCEEFF" w:val="clear"/>
            <w:vAlign w:val="bottom"/>
          </w:tcPr>
          <w:p>
            <w:pPr>
              <w:pStyle w:val="TableContents"/>
              <w:spacing w:before="0" w:after="283"/>
              <w:rPr/>
            </w:pPr>
            <w:r>
              <w:rPr/>
              <w:t>)</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Net increase (decrease) in cash and cash equivalents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69" w:type="dxa"/>
            <w:tcBorders/>
            <w:shd w:fill="auto" w:val="clear"/>
            <w:vAlign w:val="bottom"/>
          </w:tcPr>
          <w:p>
            <w:pPr>
              <w:pStyle w:val="TableContents"/>
              <w:spacing w:before="0" w:after="283"/>
              <w:jc w:val="right"/>
              <w:rPr/>
            </w:pPr>
            <w:r>
              <w:rPr/>
              <w:t>(846</w:t>
            </w:r>
          </w:p>
        </w:tc>
        <w:tc>
          <w:tcPr>
            <w:tcW w:w="173"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422</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pPr>
            <w:r>
              <w:rPr/>
              <w:t>Cash and cash equivalents, beginning of period</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1,133</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pPr>
            <w:r>
              <w:rPr/>
              <w:t>636</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Cash and cash equivalents, end of period</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287</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1,058</w:t>
            </w:r>
          </w:p>
        </w:tc>
        <w:tc>
          <w:tcPr>
            <w:tcW w:w="145" w:type="dxa"/>
            <w:tcBorders/>
            <w:shd w:fill="auto"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b/>
              </w:rPr>
            </w:pPr>
            <w:r>
              <w:rPr>
                <w:b/>
              </w:rPr>
              <w:t>Supplemental Information </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450" w:right="0" w:hanging="225"/>
              <w:rPr/>
            </w:pPr>
            <w:r>
              <w:rPr/>
              <w:t>Cash paid during the period for:</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675" w:right="0" w:hanging="225"/>
              <w:rPr/>
            </w:pPr>
            <w:r>
              <w:rPr/>
              <w:t>Interest</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520</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042" w:type="dxa"/>
            <w:tcBorders/>
            <w:shd w:fill="CCEEFF" w:val="clear"/>
            <w:vAlign w:val="bottom"/>
          </w:tcPr>
          <w:p>
            <w:pPr>
              <w:pStyle w:val="TableContents"/>
              <w:spacing w:before="0" w:after="283"/>
              <w:jc w:val="right"/>
              <w:rPr/>
            </w:pPr>
            <w:r>
              <w:rPr/>
              <w:t>45</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auto" w:val="clear"/>
            <w:vAlign w:val="bottom"/>
          </w:tcPr>
          <w:p>
            <w:pPr>
              <w:pStyle w:val="TableContents"/>
              <w:spacing w:before="0" w:after="0"/>
              <w:ind w:left="675" w:right="0" w:hanging="225"/>
              <w:rPr/>
            </w:pPr>
            <w:r>
              <w:rPr/>
              <w:t>Income taxes</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2</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17</w:t>
            </w:r>
          </w:p>
        </w:tc>
        <w:tc>
          <w:tcPr>
            <w:tcW w:w="145" w:type="dxa"/>
            <w:tcBorders/>
            <w:shd w:fill="auto"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b/>
              </w:rPr>
            </w:pPr>
            <w:r>
              <w:rPr>
                <w:b/>
              </w:rPr>
              <w:t>Noncash Investing and Financing Activities: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bottom"/>
          </w:tcPr>
          <w:p>
            <w:pPr>
              <w:pStyle w:val="TableContents"/>
              <w:spacing w:before="0" w:after="0"/>
              <w:ind w:left="225" w:right="0" w:hanging="225"/>
              <w:rPr/>
            </w:pPr>
            <w:r>
              <w:rPr/>
              <w:t>Tax benefit related to stock option exercise</w:t>
            </w:r>
          </w:p>
        </w:tc>
        <w:tc>
          <w:tcPr>
            <w:tcW w:w="40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60</w:t>
            </w:r>
          </w:p>
        </w:tc>
        <w:tc>
          <w:tcPr>
            <w:tcW w:w="173"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2" w:type="dxa"/>
            <w:tcBorders/>
            <w:shd w:fill="auto" w:val="clear"/>
            <w:vAlign w:val="bottom"/>
          </w:tcPr>
          <w:p>
            <w:pPr>
              <w:pStyle w:val="TableContents"/>
              <w:spacing w:before="0" w:after="283"/>
              <w:jc w:val="right"/>
              <w:rPr/>
            </w:pPr>
            <w:r>
              <w:rPr/>
              <w:t></w:t>
            </w:r>
          </w:p>
        </w:tc>
        <w:tc>
          <w:tcPr>
            <w:tcW w:w="145" w:type="dxa"/>
            <w:tcBorders/>
            <w:shd w:fill="auto"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97" w:type="dxa"/>
            <w:tcBorders/>
            <w:shd w:fill="CCEEFF" w:val="clear"/>
            <w:vAlign w:val="bottom"/>
          </w:tcPr>
          <w:p>
            <w:pPr>
              <w:pStyle w:val="TableContents"/>
              <w:spacing w:before="0" w:after="0"/>
              <w:ind w:left="225" w:right="0" w:hanging="225"/>
              <w:rPr/>
            </w:pPr>
            <w:r>
              <w:rPr/>
              <w:t>Unrealized holding losses</w:t>
            </w:r>
          </w:p>
        </w:tc>
        <w:tc>
          <w:tcPr>
            <w:tcW w:w="40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4,148</w:t>
            </w:r>
          </w:p>
        </w:tc>
        <w:tc>
          <w:tcPr>
            <w:tcW w:w="173"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042"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r>
      <w:tr>
        <w:trPr/>
        <w:tc>
          <w:tcPr>
            <w:tcW w:w="6397"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9" w:name="107"/>
      <w:bookmarkEnd w:id="9"/>
      <w:r>
        <w:rPr>
          <w:rFonts w:ascii="Times New Roman;Times;serif" w:hAnsi="Times New Roman;Times;serif"/>
          <w:b/>
          <w:sz w:val="17"/>
        </w:rPr>
        <w:t>NOTES TO CONSOLIDATED CONDENSED FINANCIAL STATEMENTS (UNAUDITED)</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During the second quarter of fiscal 2006, we combined our California avocados and international avocados and perishable food products reporting segments. As a result, we now report our operations in two different business segments: (1) fresh products and (2) processed products. See footnote 2 for further explanation. </w:t>
      </w:r>
    </w:p>
    <w:p>
      <w:pPr>
        <w:pStyle w:val="TextBody"/>
        <w:spacing w:before="120" w:after="283"/>
        <w:jc w:val="left"/>
        <w:rPr/>
      </w:pPr>
      <w:r>
        <w:rPr/>
        <w:t>     </w:t>
      </w:r>
      <w:r>
        <w:rPr>
          <w:rFonts w:ascii="Times New Roman;Times;serif" w:hAnsi="Times New Roman;Times;serif"/>
          <w:sz w:val="17"/>
        </w:rPr>
        <w:t xml:space="preserve">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2005.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2005, the Financial Accounting Standards Board (FASB) issued FASB Staff Position (FSP) FAS 115-1/124-1, </w:t>
      </w:r>
      <w:r>
        <w:rPr>
          <w:rFonts w:ascii="Times New Roman;Times;serif" w:hAnsi="Times New Roman;Times;serif"/>
          <w:i/>
          <w:sz w:val="17"/>
        </w:rPr>
        <w:t>The Meaning of Other-Than-Temporary Impairment and Its Application to Certain Investments</w:t>
      </w:r>
      <w:r>
        <w:rPr>
          <w:rFonts w:ascii="Times New Roman;Times;serif" w:hAnsi="Times New Roman;Times;serif"/>
          <w:sz w:val="17"/>
        </w:rPr>
        <w:t xml:space="preserve">. This FSP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SFAS No. 115, </w:t>
      </w:r>
      <w:r>
        <w:rPr>
          <w:rFonts w:ascii="Times New Roman;Times;serif" w:hAnsi="Times New Roman;Times;serif"/>
          <w:i/>
          <w:sz w:val="17"/>
        </w:rPr>
        <w:t>Accounting for Certain Investments in Debt and Equity Securities</w:t>
      </w:r>
      <w:r>
        <w:rPr>
          <w:rFonts w:ascii="Times New Roman;Times;serif" w:hAnsi="Times New Roman;Times;serif"/>
          <w:sz w:val="17"/>
        </w:rPr>
        <w:t xml:space="preserve">, SFAS No. 124, </w:t>
      </w:r>
      <w:r>
        <w:rPr>
          <w:rFonts w:ascii="Times New Roman;Times;serif" w:hAnsi="Times New Roman;Times;serif"/>
          <w:i/>
          <w:sz w:val="17"/>
        </w:rPr>
        <w:t>Accounting for Certain Investments Held by Not-for-Profit Organizations</w:t>
      </w:r>
      <w:r>
        <w:rPr>
          <w:rFonts w:ascii="Times New Roman;Times;serif" w:hAnsi="Times New Roman;Times;serif"/>
          <w:sz w:val="17"/>
        </w:rPr>
        <w:t xml:space="preserve">, and Accounting Principles Board (APB) Opinion No. 18, </w:t>
      </w:r>
      <w:r>
        <w:rPr>
          <w:rFonts w:ascii="Times New Roman;Times;serif" w:hAnsi="Times New Roman;Times;serif"/>
          <w:i/>
          <w:sz w:val="17"/>
        </w:rPr>
        <w:t>The Equity Method of Accounting for Investments in Common Stock</w:t>
      </w:r>
      <w:r>
        <w:rPr>
          <w:rFonts w:ascii="Times New Roman;Times;serif" w:hAnsi="Times New Roman;Times;serif"/>
          <w:sz w:val="17"/>
        </w:rPr>
        <w:t xml:space="preserve">. This FSP is effective for reporting periods beginning after December 15, 2005. We do not expect that the adoption of this FSP will have a material impact on its financial position or results of operations. </w:t>
      </w:r>
    </w:p>
    <w:p>
      <w:pPr>
        <w:pStyle w:val="TextBody"/>
        <w:spacing w:before="120" w:after="283"/>
        <w:jc w:val="left"/>
        <w:rPr/>
      </w:pPr>
      <w:r>
        <w:rPr/>
        <w:t>     </w:t>
      </w:r>
      <w:r>
        <w:rPr>
          <w:rFonts w:ascii="Times New Roman;Times;serif" w:hAnsi="Times New Roman;Times;serif"/>
          <w:sz w:val="17"/>
        </w:rPr>
        <w:t xml:space="preserve">In May 2005, the FASB issued SFAS 154, </w:t>
      </w:r>
      <w:r>
        <w:rPr>
          <w:rFonts w:ascii="Times New Roman;Times;serif" w:hAnsi="Times New Roman;Times;serif"/>
          <w:i/>
          <w:sz w:val="17"/>
        </w:rPr>
        <w:t>Accounting changes and Error Corrections</w:t>
      </w:r>
      <w:r>
        <w:rPr>
          <w:rFonts w:ascii="Times New Roman;Times;serif" w:hAnsi="Times New Roman;Times;serif"/>
          <w:sz w:val="17"/>
        </w:rPr>
        <w:t xml:space="preserve">, which replaces APB Opinion No. 20, </w:t>
      </w:r>
      <w:r>
        <w:rPr>
          <w:rFonts w:ascii="Times New Roman;Times;serif" w:hAnsi="Times New Roman;Times;serif"/>
          <w:i/>
          <w:sz w:val="17"/>
        </w:rPr>
        <w:t>Accounting Changes</w:t>
      </w:r>
      <w:r>
        <w:rPr>
          <w:rFonts w:ascii="Times New Roman;Times;serif" w:hAnsi="Times New Roman;Times;serif"/>
          <w:sz w:val="17"/>
        </w:rPr>
        <w:t xml:space="preserve">, and SFAS No. 3, </w:t>
      </w:r>
      <w:r>
        <w:rPr>
          <w:rFonts w:ascii="Times New Roman;Times;serif" w:hAnsi="Times New Roman;Times;serif"/>
          <w:i/>
          <w:sz w:val="17"/>
        </w:rPr>
        <w:t>Reporting Accounting Changes in Interim Financial Statements</w:t>
      </w:r>
      <w:r>
        <w:rPr>
          <w:rFonts w:ascii="Times New Roman;Times;serif" w:hAnsi="Times New Roman;Times;serif"/>
          <w:sz w:val="17"/>
        </w:rPr>
        <w:t xml:space="preserve">. SFAS No. 154 applies to all voluntary changes in accounting principles and requires retrospective application (a term defined by the statement) to prior periods financial statements, unless it is impracticable to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determine the effect of a change. It also applies to changes required by an accounting pronouncement that does not include specific transition provisions. SFAS No. 154 is effective for accounting changes and corrections of errors made in fiscal years beginning after December 15, 2005. We will adopt SFAS No. 154 as of the beginning of fiscal 2007 and do not expect that the adoption of SFAS No. 154 will have a material impact on our financial condition of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Stock 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2004, the FASB issued SFAS No. 123(R), </w:t>
      </w:r>
      <w:r>
        <w:rPr>
          <w:rFonts w:ascii="Times New Roman;Times;serif" w:hAnsi="Times New Roman;Times;serif"/>
          <w:i/>
          <w:sz w:val="17"/>
        </w:rPr>
        <w:t>Share-Based Payment</w:t>
      </w:r>
      <w:r>
        <w:rPr>
          <w:rFonts w:ascii="Times New Roman;Times;serif" w:hAnsi="Times New Roman;Times;serif"/>
          <w:sz w:val="17"/>
        </w:rPr>
        <w:t xml:space="preserve">. This pronouncement amends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and supersedes APB Opinion No. 25, </w:t>
      </w:r>
      <w:r>
        <w:rPr>
          <w:rFonts w:ascii="Times New Roman;Times;serif" w:hAnsi="Times New Roman;Times;serif"/>
          <w:i/>
          <w:sz w:val="17"/>
        </w:rPr>
        <w:t>Accounting for Stock Issued to Employees</w:t>
      </w:r>
      <w:r>
        <w:rPr>
          <w:rFonts w:ascii="Times New Roman;Times;serif" w:hAnsi="Times New Roman;Times;serif"/>
          <w:sz w:val="17"/>
        </w:rPr>
        <w:t xml:space="preserve">. SFAS No. 123(R) requires that companies account for awards of equity instruments issued to employees under the fair value method of accounting and recognize such amounts in their statements of operations. We adopted SFAS No. 123(R) on November 1, 2005 using the modified prospective method and, accordingly, have not restated the consolidated statements of operations for prior interim periods or fiscal years. Under SFAS No. 123(R), we are required to measure compensation cost for all stock-based awards at fair value on the date of grant and recognize compensation expense in our consolidated statements of operations over the service period that the awards are expected to vest. </w:t>
      </w:r>
    </w:p>
    <w:p>
      <w:pPr>
        <w:pStyle w:val="TextBody"/>
        <w:spacing w:before="120" w:after="283"/>
        <w:jc w:val="left"/>
        <w:rPr/>
      </w:pPr>
      <w:r>
        <w:rPr/>
        <w:t>     </w:t>
      </w:r>
      <w:r>
        <w:rPr>
          <w:rFonts w:ascii="Times New Roman;Times;serif" w:hAnsi="Times New Roman;Times;serif"/>
          <w:sz w:val="17"/>
        </w:rPr>
        <w:t xml:space="preserve">Prior to the adoption of SFAS No. 123(R), we accounted for employee stock-based compensation using the intrinsic value method in accordance with APB Opinion No. 25, as permitted by SFAS No. 123 and SFAS No. 148, </w:t>
      </w:r>
      <w:r>
        <w:rPr>
          <w:rFonts w:ascii="Times New Roman;Times;serif" w:hAnsi="Times New Roman;Times;serif"/>
          <w:i/>
          <w:sz w:val="17"/>
        </w:rPr>
        <w:t>Accounting for Stock-Based Compensation  Transition and Disclosure</w:t>
      </w:r>
      <w:r>
        <w:rPr>
          <w:rFonts w:ascii="Times New Roman;Times;serif" w:hAnsi="Times New Roman;Times;serif"/>
          <w:sz w:val="17"/>
        </w:rPr>
        <w:t xml:space="preserve">. Under the intrinsic value method, the difference between the market price on the date of grant and the exercise price is charged to the statement of operations over the vesting period. Prior to the adoption of SFAS No. 123(R), we recognized compensation cost only for stock options issued with exercise prices set below market prices on the date of grant and provided the necessary pro forma disclosures required under SFAS No. 123. </w:t>
      </w:r>
    </w:p>
    <w:p>
      <w:pPr>
        <w:pStyle w:val="TextBody"/>
        <w:spacing w:before="120" w:after="283"/>
        <w:jc w:val="left"/>
        <w:rPr/>
      </w:pPr>
      <w:r>
        <w:rPr/>
        <w:t>     </w:t>
      </w:r>
      <w:r>
        <w:rPr>
          <w:rFonts w:ascii="Times New Roman;Times;serif" w:hAnsi="Times New Roman;Times;serif"/>
          <w:sz w:val="17"/>
        </w:rPr>
        <w:t xml:space="preserve">During the three and six month periods ended April 30, 2005, we recognized $13,000 and $25,000 of compensation expense with respect to stock option awards pursuant to APB 25, which was charged to the consolidated statement of operations. For the three and six months ended April 30, 2005, had stock-based compensation been accounted for based on the estimated grant date fair values, as defined by SFAS No. 123, the Companys net income and net income per share would have been the following pro forma amounts (in thousands, except per share amounts): </w:t>
      </w:r>
    </w:p>
    <w:tbl>
      <w:tblPr>
        <w:tblW w:w="5000" w:type="pct"/>
        <w:jc w:val="center"/>
        <w:tblInd w:w="0" w:type="dxa"/>
        <w:tblCellMar>
          <w:top w:w="0" w:type="dxa"/>
          <w:left w:w="0" w:type="dxa"/>
          <w:bottom w:w="0" w:type="dxa"/>
          <w:right w:w="0" w:type="dxa"/>
        </w:tblCellMar>
      </w:tblPr>
      <w:tblGrid>
        <w:gridCol w:w="5162"/>
        <w:gridCol w:w="323"/>
        <w:gridCol w:w="427"/>
        <w:gridCol w:w="1764"/>
        <w:gridCol w:w="137"/>
        <w:gridCol w:w="323"/>
        <w:gridCol w:w="440"/>
        <w:gridCol w:w="1486"/>
        <w:gridCol w:w="143"/>
      </w:tblGrid>
      <w:tr>
        <w:trPr/>
        <w:tc>
          <w:tcPr>
            <w:tcW w:w="516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6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191" w:type="dxa"/>
            <w:gridSpan w:val="2"/>
            <w:tcBorders/>
            <w:shd w:fill="auto" w:val="clear"/>
            <w:vAlign w:val="bottom"/>
          </w:tcPr>
          <w:p>
            <w:pPr>
              <w:pStyle w:val="TableContents"/>
              <w:spacing w:before="0" w:after="283"/>
              <w:jc w:val="center"/>
              <w:rPr>
                <w:b/>
              </w:rPr>
            </w:pPr>
            <w:r>
              <w:rPr>
                <w:b/>
              </w:rPr>
              <w:t>Three months ended</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26" w:type="dxa"/>
            <w:gridSpan w:val="2"/>
            <w:tcBorders/>
            <w:shd w:fill="auto" w:val="clear"/>
            <w:vAlign w:val="bottom"/>
          </w:tcPr>
          <w:p>
            <w:pPr>
              <w:pStyle w:val="TableContents"/>
              <w:spacing w:before="0" w:after="283"/>
              <w:jc w:val="center"/>
              <w:rPr>
                <w:b/>
              </w:rPr>
            </w:pPr>
            <w:r>
              <w:rPr>
                <w:b/>
              </w:rPr>
              <w:t>Six months ended</w:t>
            </w:r>
          </w:p>
        </w:tc>
        <w:tc>
          <w:tcPr>
            <w:tcW w:w="143" w:type="dxa"/>
            <w:tcBorders/>
            <w:shd w:fill="auto"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1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43" w:type="dxa"/>
            <w:tcBorders/>
            <w:shd w:fill="auto"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1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9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3"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Net Income:</w:t>
            </w:r>
          </w:p>
        </w:tc>
        <w:tc>
          <w:tcPr>
            <w:tcW w:w="3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76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As reported</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left"/>
              <w:rPr/>
            </w:pPr>
            <w:r>
              <w:rPr/>
              <w:t>$</w:t>
            </w:r>
          </w:p>
        </w:tc>
        <w:tc>
          <w:tcPr>
            <w:tcW w:w="1764" w:type="dxa"/>
            <w:tcBorders/>
            <w:shd w:fill="auto" w:val="clear"/>
            <w:vAlign w:val="bottom"/>
          </w:tcPr>
          <w:p>
            <w:pPr>
              <w:pStyle w:val="TableContents"/>
              <w:spacing w:before="0" w:after="283"/>
              <w:jc w:val="right"/>
              <w:rPr/>
            </w:pPr>
            <w:r>
              <w:rPr/>
              <w:t>2,467</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left"/>
              <w:rPr/>
            </w:pPr>
            <w:r>
              <w:rPr/>
              <w:t>$</w:t>
            </w:r>
          </w:p>
        </w:tc>
        <w:tc>
          <w:tcPr>
            <w:tcW w:w="1486" w:type="dxa"/>
            <w:tcBorders/>
            <w:shd w:fill="auto" w:val="clear"/>
            <w:vAlign w:val="bottom"/>
          </w:tcPr>
          <w:p>
            <w:pPr>
              <w:pStyle w:val="TableContents"/>
              <w:spacing w:before="0" w:after="283"/>
              <w:jc w:val="right"/>
              <w:rPr/>
            </w:pPr>
            <w:r>
              <w:rPr/>
              <w:t>920</w:t>
            </w:r>
          </w:p>
        </w:tc>
        <w:tc>
          <w:tcPr>
            <w:tcW w:w="143"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Add: Total stock-based compensation expense determined under APB 25 and related interpretations, net of tax effects</w:t>
            </w:r>
          </w:p>
        </w:tc>
        <w:tc>
          <w:tcPr>
            <w:tcW w:w="3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764" w:type="dxa"/>
            <w:tcBorders/>
            <w:shd w:fill="CCEEFF" w:val="clear"/>
            <w:vAlign w:val="bottom"/>
          </w:tcPr>
          <w:p>
            <w:pPr>
              <w:pStyle w:val="TableContents"/>
              <w:spacing w:before="0" w:after="283"/>
              <w:jc w:val="right"/>
              <w:rPr/>
            </w:pPr>
            <w:r>
              <w:rPr/>
              <w:t>8</w:t>
            </w:r>
          </w:p>
        </w:tc>
        <w:tc>
          <w:tcPr>
            <w:tcW w:w="13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pPr>
            <w:r>
              <w:rPr/>
              <w:t>16</w:t>
            </w:r>
          </w:p>
        </w:tc>
        <w:tc>
          <w:tcPr>
            <w:tcW w:w="143"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Deduct: Total stock based compensation expense determined under fair value based method for all awards, net of tax effects</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left"/>
              <w:rPr/>
            </w:pPr>
            <w:r>
              <w:rPr/>
              <w:t> </w:t>
            </w:r>
          </w:p>
        </w:tc>
        <w:tc>
          <w:tcPr>
            <w:tcW w:w="1764" w:type="dxa"/>
            <w:tcBorders/>
            <w:shd w:fill="auto" w:val="clear"/>
            <w:vAlign w:val="bottom"/>
          </w:tcPr>
          <w:p>
            <w:pPr>
              <w:pStyle w:val="TableContents"/>
              <w:spacing w:before="0" w:after="283"/>
              <w:jc w:val="right"/>
              <w:rPr/>
            </w:pPr>
            <w:r>
              <w:rPr/>
              <w:t>(8</w:t>
            </w:r>
          </w:p>
        </w:tc>
        <w:tc>
          <w:tcPr>
            <w:tcW w:w="137" w:type="dxa"/>
            <w:tcBorders/>
            <w:shd w:fill="auto" w:val="clear"/>
            <w:vAlign w:val="bottom"/>
          </w:tcPr>
          <w:p>
            <w:pPr>
              <w:pStyle w:val="TableContents"/>
              <w:spacing w:before="0" w:after="283"/>
              <w:rPr/>
            </w:pPr>
            <w:r>
              <w:rPr/>
              <w:t>)</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left"/>
              <w:rPr/>
            </w:pPr>
            <w:r>
              <w:rPr/>
              <w:t> </w:t>
            </w:r>
          </w:p>
        </w:tc>
        <w:tc>
          <w:tcPr>
            <w:tcW w:w="1486" w:type="dxa"/>
            <w:tcBorders/>
            <w:shd w:fill="auto" w:val="clear"/>
            <w:vAlign w:val="bottom"/>
          </w:tcPr>
          <w:p>
            <w:pPr>
              <w:pStyle w:val="TableContents"/>
              <w:spacing w:before="0" w:after="283"/>
              <w:jc w:val="right"/>
              <w:rPr/>
            </w:pPr>
            <w:r>
              <w:rPr/>
              <w:t>(16</w:t>
            </w:r>
          </w:p>
        </w:tc>
        <w:tc>
          <w:tcPr>
            <w:tcW w:w="143" w:type="dxa"/>
            <w:tcBorders/>
            <w:shd w:fill="auto" w:val="clear"/>
            <w:vAlign w:val="bottom"/>
          </w:tcPr>
          <w:p>
            <w:pPr>
              <w:pStyle w:val="TableContents"/>
              <w:spacing w:before="0" w:after="283"/>
              <w:rPr/>
            </w:pPr>
            <w:r>
              <w:rPr/>
              <w:t>)</w:t>
            </w:r>
          </w:p>
        </w:tc>
      </w:tr>
      <w:tr>
        <w:trPr/>
        <w:tc>
          <w:tcPr>
            <w:tcW w:w="5162" w:type="dxa"/>
            <w:tcBorders/>
            <w:shd w:fill="auto" w:val="clear"/>
            <w:vAlign w:val="center"/>
          </w:tcPr>
          <w:p>
            <w:pPr>
              <w:pStyle w:val="TableContents"/>
              <w:spacing w:before="0" w:after="0"/>
              <w:ind w:left="225" w:right="0" w:hanging="225"/>
              <w:rPr/>
            </w:pPr>
            <w:r>
              <w:rPr/>
              <w:t> </w:t>
            </w:r>
          </w:p>
        </w:tc>
        <w:tc>
          <w:tcPr>
            <w:tcW w:w="323" w:type="dxa"/>
            <w:tcBorders/>
            <w:shd w:fill="auto" w:val="clear"/>
            <w:vAlign w:val="center"/>
          </w:tcPr>
          <w:p>
            <w:pPr>
              <w:pStyle w:val="TableContents"/>
              <w:spacing w:before="0" w:after="283"/>
              <w:rPr/>
            </w:pPr>
            <w:r>
              <w:rPr/>
              <w:t> </w:t>
            </w:r>
          </w:p>
        </w:tc>
        <w:tc>
          <w:tcPr>
            <w:tcW w:w="21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9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Pro forma</w:t>
            </w:r>
          </w:p>
        </w:tc>
        <w:tc>
          <w:tcPr>
            <w:tcW w:w="3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left"/>
              <w:rPr/>
            </w:pPr>
            <w:r>
              <w:rPr/>
              <w:t>$</w:t>
            </w:r>
          </w:p>
        </w:tc>
        <w:tc>
          <w:tcPr>
            <w:tcW w:w="1764" w:type="dxa"/>
            <w:tcBorders/>
            <w:shd w:fill="CCEEFF" w:val="clear"/>
            <w:vAlign w:val="bottom"/>
          </w:tcPr>
          <w:p>
            <w:pPr>
              <w:pStyle w:val="TableContents"/>
              <w:spacing w:before="0" w:after="283"/>
              <w:jc w:val="right"/>
              <w:rPr/>
            </w:pPr>
            <w:r>
              <w:rPr/>
              <w:t>2,467</w:t>
            </w:r>
          </w:p>
        </w:tc>
        <w:tc>
          <w:tcPr>
            <w:tcW w:w="13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left"/>
              <w:rPr/>
            </w:pPr>
            <w:r>
              <w:rPr/>
              <w:t>$</w:t>
            </w:r>
          </w:p>
        </w:tc>
        <w:tc>
          <w:tcPr>
            <w:tcW w:w="1486" w:type="dxa"/>
            <w:tcBorders/>
            <w:shd w:fill="CCEEFF" w:val="clear"/>
            <w:vAlign w:val="bottom"/>
          </w:tcPr>
          <w:p>
            <w:pPr>
              <w:pStyle w:val="TableContents"/>
              <w:spacing w:before="0" w:after="283"/>
              <w:jc w:val="right"/>
              <w:rPr/>
            </w:pPr>
            <w:r>
              <w:rPr/>
              <w:t>920</w:t>
            </w:r>
          </w:p>
        </w:tc>
        <w:tc>
          <w:tcPr>
            <w:tcW w:w="143" w:type="dxa"/>
            <w:tcBorders/>
            <w:shd w:fill="CCEEFF" w:val="clear"/>
            <w:vAlign w:val="bottom"/>
          </w:tcPr>
          <w:p>
            <w:pPr>
              <w:pStyle w:val="TableContents"/>
              <w:spacing w:before="0" w:after="283"/>
              <w:rPr/>
            </w:pPr>
            <w:r>
              <w:rPr/>
              <w:t> </w:t>
            </w:r>
          </w:p>
        </w:tc>
      </w:tr>
      <w:tr>
        <w:trPr/>
        <w:tc>
          <w:tcPr>
            <w:tcW w:w="5162" w:type="dxa"/>
            <w:tcBorders/>
            <w:shd w:fill="auto" w:val="clear"/>
            <w:vAlign w:val="center"/>
          </w:tcPr>
          <w:p>
            <w:pPr>
              <w:pStyle w:val="TableContents"/>
              <w:spacing w:before="0" w:after="0"/>
              <w:ind w:left="225" w:right="0" w:hanging="225"/>
              <w:rPr/>
            </w:pPr>
            <w:r>
              <w:rPr/>
              <w:t> </w:t>
            </w:r>
          </w:p>
        </w:tc>
        <w:tc>
          <w:tcPr>
            <w:tcW w:w="323" w:type="dxa"/>
            <w:tcBorders/>
            <w:shd w:fill="auto" w:val="clear"/>
            <w:vAlign w:val="center"/>
          </w:tcPr>
          <w:p>
            <w:pPr>
              <w:pStyle w:val="TableContents"/>
              <w:spacing w:before="0" w:after="283"/>
              <w:rPr/>
            </w:pPr>
            <w:r>
              <w:rPr/>
              <w:t> </w:t>
            </w:r>
          </w:p>
        </w:tc>
        <w:tc>
          <w:tcPr>
            <w:tcW w:w="21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19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 </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6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Net income per share, as reported:</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6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Basic</w:t>
            </w:r>
          </w:p>
        </w:tc>
        <w:tc>
          <w:tcPr>
            <w:tcW w:w="3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left"/>
              <w:rPr/>
            </w:pPr>
            <w:r>
              <w:rPr/>
              <w:t>$</w:t>
            </w:r>
          </w:p>
        </w:tc>
        <w:tc>
          <w:tcPr>
            <w:tcW w:w="1764" w:type="dxa"/>
            <w:tcBorders/>
            <w:shd w:fill="CCEEFF" w:val="clear"/>
            <w:vAlign w:val="bottom"/>
          </w:tcPr>
          <w:p>
            <w:pPr>
              <w:pStyle w:val="TableContents"/>
              <w:spacing w:before="0" w:after="283"/>
              <w:jc w:val="right"/>
              <w:rPr/>
            </w:pPr>
            <w:r>
              <w:rPr/>
              <w:t>0.18</w:t>
            </w:r>
          </w:p>
        </w:tc>
        <w:tc>
          <w:tcPr>
            <w:tcW w:w="13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left"/>
              <w:rPr/>
            </w:pPr>
            <w:r>
              <w:rPr/>
              <w:t>$</w:t>
            </w:r>
          </w:p>
        </w:tc>
        <w:tc>
          <w:tcPr>
            <w:tcW w:w="1486" w:type="dxa"/>
            <w:tcBorders/>
            <w:shd w:fill="CCEEFF" w:val="clear"/>
            <w:vAlign w:val="bottom"/>
          </w:tcPr>
          <w:p>
            <w:pPr>
              <w:pStyle w:val="TableContents"/>
              <w:spacing w:before="0" w:after="283"/>
              <w:jc w:val="right"/>
              <w:rPr/>
            </w:pPr>
            <w:r>
              <w:rPr/>
              <w:t>0.07</w:t>
            </w:r>
          </w:p>
        </w:tc>
        <w:tc>
          <w:tcPr>
            <w:tcW w:w="143"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Diluted</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left"/>
              <w:rPr/>
            </w:pPr>
            <w:r>
              <w:rPr/>
              <w:t>$</w:t>
            </w:r>
          </w:p>
        </w:tc>
        <w:tc>
          <w:tcPr>
            <w:tcW w:w="1764" w:type="dxa"/>
            <w:tcBorders/>
            <w:shd w:fill="auto" w:val="clear"/>
            <w:vAlign w:val="bottom"/>
          </w:tcPr>
          <w:p>
            <w:pPr>
              <w:pStyle w:val="TableContents"/>
              <w:spacing w:before="0" w:after="283"/>
              <w:jc w:val="right"/>
              <w:rPr/>
            </w:pPr>
            <w:r>
              <w:rPr/>
              <w:t>0.18</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left"/>
              <w:rPr/>
            </w:pPr>
            <w:r>
              <w:rPr/>
              <w:t>$</w:t>
            </w:r>
          </w:p>
        </w:tc>
        <w:tc>
          <w:tcPr>
            <w:tcW w:w="1486" w:type="dxa"/>
            <w:tcBorders/>
            <w:shd w:fill="auto" w:val="clear"/>
            <w:vAlign w:val="bottom"/>
          </w:tcPr>
          <w:p>
            <w:pPr>
              <w:pStyle w:val="TableContents"/>
              <w:spacing w:before="0" w:after="283"/>
              <w:jc w:val="right"/>
              <w:rPr/>
            </w:pPr>
            <w:r>
              <w:rPr/>
              <w:t>0.07</w:t>
            </w:r>
          </w:p>
        </w:tc>
        <w:tc>
          <w:tcPr>
            <w:tcW w:w="143"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Net income per share, pro forma:</w:t>
            </w:r>
          </w:p>
        </w:tc>
        <w:tc>
          <w:tcPr>
            <w:tcW w:w="3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76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5162" w:type="dxa"/>
            <w:tcBorders/>
            <w:shd w:fill="auto" w:val="clear"/>
            <w:vAlign w:val="bottom"/>
          </w:tcPr>
          <w:p>
            <w:pPr>
              <w:pStyle w:val="TableContents"/>
              <w:spacing w:before="0" w:after="0"/>
              <w:ind w:left="225" w:right="0" w:hanging="225"/>
              <w:rPr/>
            </w:pPr>
            <w:r>
              <w:rPr/>
              <w:t>Basic</w:t>
            </w:r>
          </w:p>
        </w:tc>
        <w:tc>
          <w:tcPr>
            <w:tcW w:w="32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left"/>
              <w:rPr/>
            </w:pPr>
            <w:r>
              <w:rPr/>
              <w:t>$</w:t>
            </w:r>
          </w:p>
        </w:tc>
        <w:tc>
          <w:tcPr>
            <w:tcW w:w="1764" w:type="dxa"/>
            <w:tcBorders/>
            <w:shd w:fill="auto" w:val="clear"/>
            <w:vAlign w:val="bottom"/>
          </w:tcPr>
          <w:p>
            <w:pPr>
              <w:pStyle w:val="TableContents"/>
              <w:spacing w:before="0" w:after="283"/>
              <w:jc w:val="right"/>
              <w:rPr/>
            </w:pPr>
            <w:r>
              <w:rPr/>
              <w:t>0.18</w:t>
            </w:r>
          </w:p>
        </w:tc>
        <w:tc>
          <w:tcPr>
            <w:tcW w:w="13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left"/>
              <w:rPr/>
            </w:pPr>
            <w:r>
              <w:rPr/>
              <w:t>$</w:t>
            </w:r>
          </w:p>
        </w:tc>
        <w:tc>
          <w:tcPr>
            <w:tcW w:w="1486" w:type="dxa"/>
            <w:tcBorders/>
            <w:shd w:fill="auto" w:val="clear"/>
            <w:vAlign w:val="bottom"/>
          </w:tcPr>
          <w:p>
            <w:pPr>
              <w:pStyle w:val="TableContents"/>
              <w:spacing w:before="0" w:after="283"/>
              <w:jc w:val="right"/>
              <w:rPr/>
            </w:pPr>
            <w:r>
              <w:rPr/>
              <w:t>0.07</w:t>
            </w:r>
          </w:p>
        </w:tc>
        <w:tc>
          <w:tcPr>
            <w:tcW w:w="143" w:type="dxa"/>
            <w:tcBorders/>
            <w:shd w:fill="auto" w:val="clear"/>
            <w:vAlign w:val="bottom"/>
          </w:tcPr>
          <w:p>
            <w:pPr>
              <w:pStyle w:val="TableContents"/>
              <w:spacing w:before="0" w:after="283"/>
              <w:rPr/>
            </w:pPr>
            <w:r>
              <w:rPr/>
              <w:t> </w:t>
            </w:r>
          </w:p>
        </w:tc>
      </w:tr>
      <w:tr>
        <w:trPr/>
        <w:tc>
          <w:tcPr>
            <w:tcW w:w="5162" w:type="dxa"/>
            <w:tcBorders/>
            <w:shd w:fill="CCEEFF" w:val="clear"/>
            <w:vAlign w:val="bottom"/>
          </w:tcPr>
          <w:p>
            <w:pPr>
              <w:pStyle w:val="TableContents"/>
              <w:spacing w:before="0" w:after="0"/>
              <w:ind w:left="225" w:right="0" w:hanging="225"/>
              <w:rPr/>
            </w:pPr>
            <w:r>
              <w:rPr/>
              <w:t>Diluted</w:t>
            </w:r>
          </w:p>
        </w:tc>
        <w:tc>
          <w:tcPr>
            <w:tcW w:w="323"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left"/>
              <w:rPr/>
            </w:pPr>
            <w:r>
              <w:rPr/>
              <w:t>$</w:t>
            </w:r>
          </w:p>
        </w:tc>
        <w:tc>
          <w:tcPr>
            <w:tcW w:w="1764" w:type="dxa"/>
            <w:tcBorders/>
            <w:shd w:fill="CCEEFF" w:val="clear"/>
            <w:vAlign w:val="bottom"/>
          </w:tcPr>
          <w:p>
            <w:pPr>
              <w:pStyle w:val="TableContents"/>
              <w:spacing w:before="0" w:after="283"/>
              <w:jc w:val="right"/>
              <w:rPr/>
            </w:pPr>
            <w:r>
              <w:rPr/>
              <w:t>0.18</w:t>
            </w:r>
          </w:p>
        </w:tc>
        <w:tc>
          <w:tcPr>
            <w:tcW w:w="13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left"/>
              <w:rPr/>
            </w:pPr>
            <w:r>
              <w:rPr/>
              <w:t>$</w:t>
            </w:r>
          </w:p>
        </w:tc>
        <w:tc>
          <w:tcPr>
            <w:tcW w:w="1486" w:type="dxa"/>
            <w:tcBorders/>
            <w:shd w:fill="CCEEFF" w:val="clear"/>
            <w:vAlign w:val="bottom"/>
          </w:tcPr>
          <w:p>
            <w:pPr>
              <w:pStyle w:val="TableContents"/>
              <w:spacing w:before="0" w:after="283"/>
              <w:jc w:val="right"/>
              <w:rPr/>
            </w:pPr>
            <w:r>
              <w:rPr/>
              <w:t>0.07</w:t>
            </w:r>
          </w:p>
        </w:tc>
        <w:tc>
          <w:tcPr>
            <w:tcW w:w="143"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however, these stock option agreements were modified to shorten the option terms, as defined. Such modifications were contemplated primarily as a result of Section 409A of the tax code and did not result in a significant change in fair value. </w:t>
      </w:r>
    </w:p>
    <w:p>
      <w:pPr>
        <w:pStyle w:val="TextBody"/>
        <w:spacing w:before="120" w:after="283"/>
        <w:jc w:val="left"/>
        <w:rPr/>
      </w:pPr>
      <w:r>
        <w:rPr/>
        <w:t>     </w:t>
      </w:r>
      <w:r>
        <w:rPr>
          <w:rFonts w:ascii="Times New Roman;Times;serif" w:hAnsi="Times New Roman;Times;serif"/>
          <w:sz w:val="17"/>
        </w:rPr>
        <w:t xml:space="preserve">Under SFAS No. 123(R), we now record in our consolidated statements of operations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 </w:t>
      </w:r>
    </w:p>
    <w:p>
      <w:pPr>
        <w:pStyle w:val="TextBody"/>
        <w:spacing w:before="120" w:after="283"/>
        <w:jc w:val="left"/>
        <w:rPr/>
      </w:pPr>
      <w:r>
        <w:rPr/>
        <w:t>     </w:t>
      </w:r>
      <w:r>
        <w:rPr>
          <w:rFonts w:ascii="Times New Roman;Times;serif" w:hAnsi="Times New Roman;Times;serif"/>
          <w:sz w:val="17"/>
        </w:rPr>
        <w:t xml:space="preserve">In April 2006, the price of our common stock reached $11/per share. Therefore, all 400,000 options related to our stock option grant that took place in August 2005 will now vest in August 2006 (for those persons still employed). The achievement of this market condition resulted in a decrease in the initial, estimated derived service period. As a result, we recorded an additional $85,000 stock-based compensation expense charge during the second quarter ended April 30, 2006. Further, we expect stock compensation expense to approximate $104,000 per month through August 2006 related to this stock option grant. During the three and six months ended April 30, 2006, we recognized total stock-based compensation expense of $154,000 and $226,000 for stock options in our consolidated statement of operations. </w:t>
      </w:r>
    </w:p>
    <w:p>
      <w:pPr>
        <w:pStyle w:val="TextBody"/>
        <w:spacing w:before="120" w:after="283"/>
        <w:jc w:val="left"/>
        <w:rPr/>
      </w:pPr>
      <w:r>
        <w:rPr/>
        <w:t>     </w:t>
      </w:r>
      <w:r>
        <w:rPr>
          <w:rFonts w:ascii="Times New Roman;Times;serif" w:hAnsi="Times New Roman;Times;serif"/>
          <w:sz w:val="17"/>
        </w:rPr>
        <w:t xml:space="preserve">Consistent with the valuation method for the disclosure-only provisions of SFAS No. 123, we are using the Black-Scholes-Merton and binomial option models to value compensation expense associated with stock-based awards under SFAS No. 123(R). In addition,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 </w:t>
      </w:r>
    </w:p>
    <w:p>
      <w:pPr>
        <w:pStyle w:val="TextBody"/>
        <w:spacing w:before="120" w:after="283"/>
        <w:jc w:val="left"/>
        <w:rPr/>
      </w:pPr>
      <w:r>
        <w:rPr/>
        <w:t>     </w:t>
      </w:r>
      <w:r>
        <w:rPr>
          <w:rFonts w:ascii="Times New Roman;Times;serif" w:hAnsi="Times New Roman;Times;serif"/>
          <w:sz w:val="17"/>
        </w:rPr>
        <w:t xml:space="preserve">There were no options granted during the three and six months periods ended April 30, 2006 and April 30, 2005. </w:t>
      </w:r>
    </w:p>
    <w:p>
      <w:pPr>
        <w:pStyle w:val="TextBody"/>
        <w:spacing w:before="120" w:after="283"/>
        <w:jc w:val="left"/>
        <w:rPr/>
      </w:pPr>
      <w:r>
        <w:rPr/>
        <w:t>     </w:t>
      </w:r>
      <w:r>
        <w:rPr>
          <w:rFonts w:ascii="Times New Roman;Times;serif" w:hAnsi="Times New Roman;Times;serif"/>
          <w:sz w:val="17"/>
        </w:rPr>
        <w:t xml:space="preserve">The Black-Scholes-Merton and binomial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and employees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second quarter of fiscal 2006, we examined our California avocados and international avocados and perishable food products reporting segments. We concluded that these two reporting segments have similar economic characteristics, production processes, customers and distribution methods. Therefore, in accordance with the aggregation criteria of FASB Statement No. 131, </w:t>
      </w:r>
      <w:r>
        <w:rPr>
          <w:rFonts w:ascii="Times New Roman;Times;serif" w:hAnsi="Times New Roman;Times;serif"/>
          <w:i/>
          <w:sz w:val="17"/>
        </w:rPr>
        <w:t>Disclosures about Segments of an Enterprise and Related Information</w:t>
      </w:r>
      <w:r>
        <w:rPr>
          <w:rFonts w:ascii="Times New Roman;Times;serif" w:hAnsi="Times New Roman;Times;serif"/>
          <w:sz w:val="17"/>
        </w:rPr>
        <w:t xml:space="preserve">, we combined these two operating segments into one reportable segment, fresh products. As a result, we now report our operations in two different business segments: (1) fresh products and (2) processed products. These two business segments are presented based on how information is used by our president to measure performance and allocate resources. The fresh products segment includes all operations that involve the distribution of avocados grown both inside and outside of California, as well as the distribution of other non-processed, perishable food products. The processed products segment represents all operations related to the purchase, manufacturing, and distribution of processed avocado products. Additionally, selling, general and administrative expenses and other income, net are no longer charged directly, nor allocated to, a specific product line. These items are now evaluated by our president only in aggregate. We do not allocate assets, or specifically identify them to, our operating segments. Prior period amounts have been reclassified to conform to the current period presentation. </w:t>
      </w:r>
    </w:p>
    <w:tbl>
      <w:tblPr>
        <w:tblW w:w="5000" w:type="pct"/>
        <w:jc w:val="center"/>
        <w:tblInd w:w="0" w:type="dxa"/>
        <w:tblCellMar>
          <w:top w:w="0" w:type="dxa"/>
          <w:left w:w="0" w:type="dxa"/>
          <w:bottom w:w="0" w:type="dxa"/>
          <w:right w:w="0" w:type="dxa"/>
        </w:tblCellMar>
      </w:tblPr>
      <w:tblGrid>
        <w:gridCol w:w="3606"/>
        <w:gridCol w:w="341"/>
        <w:gridCol w:w="167"/>
        <w:gridCol w:w="916"/>
        <w:gridCol w:w="105"/>
        <w:gridCol w:w="341"/>
        <w:gridCol w:w="194"/>
        <w:gridCol w:w="955"/>
        <w:gridCol w:w="105"/>
        <w:gridCol w:w="341"/>
        <w:gridCol w:w="258"/>
        <w:gridCol w:w="1205"/>
        <w:gridCol w:w="132"/>
        <w:gridCol w:w="341"/>
        <w:gridCol w:w="167"/>
        <w:gridCol w:w="916"/>
        <w:gridCol w:w="115"/>
      </w:tblGrid>
      <w:tr>
        <w:trPr/>
        <w:tc>
          <w:tcPr>
            <w:tcW w:w="360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Fresh</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49" w:type="dxa"/>
            <w:gridSpan w:val="2"/>
            <w:tcBorders/>
            <w:shd w:fill="auto" w:val="clear"/>
            <w:vAlign w:val="bottom"/>
          </w:tcPr>
          <w:p>
            <w:pPr>
              <w:pStyle w:val="TableContents"/>
              <w:spacing w:before="0" w:after="283"/>
              <w:jc w:val="center"/>
              <w:rPr>
                <w:b/>
              </w:rPr>
            </w:pPr>
            <w:r>
              <w:rPr>
                <w:b/>
              </w:rPr>
              <w:t>Processed</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63" w:type="dxa"/>
            <w:gridSpan w:val="2"/>
            <w:tcBorders/>
            <w:shd w:fill="auto" w:val="clear"/>
            <w:vAlign w:val="bottom"/>
          </w:tcPr>
          <w:p>
            <w:pPr>
              <w:pStyle w:val="TableContents"/>
              <w:spacing w:before="0" w:after="283"/>
              <w:jc w:val="center"/>
              <w:rPr>
                <w:b/>
              </w:rPr>
            </w:pPr>
            <w:r>
              <w:rPr>
                <w:b/>
              </w:rPr>
              <w:t>Inter-segment</w:t>
            </w:r>
          </w:p>
        </w:tc>
        <w:tc>
          <w:tcPr>
            <w:tcW w:w="1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5"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143" w:type="dxa"/>
            <w:gridSpan w:val="14"/>
            <w:tcBorders/>
            <w:shd w:fill="auto" w:val="clear"/>
            <w:vAlign w:val="bottom"/>
          </w:tcPr>
          <w:p>
            <w:pPr>
              <w:pStyle w:val="TableContents"/>
              <w:spacing w:before="0" w:after="283"/>
              <w:jc w:val="center"/>
              <w:rPr>
                <w:b/>
              </w:rPr>
            </w:pPr>
            <w:r>
              <w:rPr>
                <w:b/>
              </w:rPr>
              <w:t>(All amounts are presented in thousands)</w:t>
            </w:r>
          </w:p>
        </w:tc>
        <w:tc>
          <w:tcPr>
            <w:tcW w:w="115" w:type="dxa"/>
            <w:tcBorders/>
            <w:shd w:fill="auto" w:val="clear"/>
            <w:vAlign w:val="bottom"/>
          </w:tcPr>
          <w:p>
            <w:pPr>
              <w:pStyle w:val="TableContents"/>
              <w:spacing w:before="0" w:after="283"/>
              <w:rPr/>
            </w:pPr>
            <w:r>
              <w:rPr/>
              <w:t> </w:t>
            </w:r>
          </w:p>
        </w:tc>
      </w:tr>
      <w:tr>
        <w:trPr/>
        <w:tc>
          <w:tcPr>
            <w:tcW w:w="3606" w:type="dxa"/>
            <w:tcBorders/>
            <w:shd w:fill="CCEEFF" w:val="clear"/>
            <w:vAlign w:val="bottom"/>
          </w:tcPr>
          <w:p>
            <w:pPr>
              <w:pStyle w:val="TableContents"/>
              <w:spacing w:before="0" w:after="0"/>
              <w:ind w:left="225" w:right="0" w:hanging="225"/>
              <w:rPr>
                <w:b/>
              </w:rPr>
            </w:pPr>
            <w:r>
              <w:rPr>
                <w:b/>
              </w:rPr>
              <w:t>Six months ended April 30, 2006</w:t>
            </w:r>
          </w:p>
        </w:tc>
        <w:tc>
          <w:tcPr>
            <w:tcW w:w="34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0"/>
              <w:ind w:left="225" w:right="0" w:hanging="225"/>
              <w:rPr/>
            </w:pPr>
            <w:r>
              <w:rPr/>
              <w:t>Net sales</w:t>
            </w:r>
          </w:p>
        </w:tc>
        <w:tc>
          <w:tcPr>
            <w:tcW w:w="34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106,964</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955" w:type="dxa"/>
            <w:tcBorders/>
            <w:shd w:fill="auto" w:val="clear"/>
            <w:vAlign w:val="bottom"/>
          </w:tcPr>
          <w:p>
            <w:pPr>
              <w:pStyle w:val="TableContents"/>
              <w:spacing w:before="0" w:after="283"/>
              <w:jc w:val="right"/>
              <w:rPr/>
            </w:pPr>
            <w:r>
              <w:rPr/>
              <w:t>19,992</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205" w:type="dxa"/>
            <w:tcBorders/>
            <w:shd w:fill="auto" w:val="clear"/>
            <w:vAlign w:val="bottom"/>
          </w:tcPr>
          <w:p>
            <w:pPr>
              <w:pStyle w:val="TableContents"/>
              <w:spacing w:before="0" w:after="283"/>
              <w:jc w:val="right"/>
              <w:rPr/>
            </w:pPr>
            <w:r>
              <w:rPr/>
              <w:t>(8,880</w:t>
            </w:r>
          </w:p>
        </w:tc>
        <w:tc>
          <w:tcPr>
            <w:tcW w:w="132" w:type="dxa"/>
            <w:tcBorders/>
            <w:shd w:fill="auto" w:val="clear"/>
            <w:vAlign w:val="bottom"/>
          </w:tcPr>
          <w:p>
            <w:pPr>
              <w:pStyle w:val="TableContents"/>
              <w:spacing w:before="0" w:after="283"/>
              <w:rPr/>
            </w:pPr>
            <w:r>
              <w:rPr/>
              <w:t>)</w:t>
            </w:r>
          </w:p>
        </w:tc>
        <w:tc>
          <w:tcPr>
            <w:tcW w:w="34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118,076</w:t>
            </w:r>
          </w:p>
        </w:tc>
        <w:tc>
          <w:tcPr>
            <w:tcW w:w="115" w:type="dxa"/>
            <w:tcBorders/>
            <w:shd w:fill="auto" w:val="clear"/>
            <w:vAlign w:val="bottom"/>
          </w:tcPr>
          <w:p>
            <w:pPr>
              <w:pStyle w:val="TableContents"/>
              <w:spacing w:before="0" w:after="283"/>
              <w:rPr/>
            </w:pPr>
            <w:r>
              <w:rPr/>
              <w:t> </w:t>
            </w:r>
          </w:p>
        </w:tc>
      </w:tr>
      <w:tr>
        <w:trPr/>
        <w:tc>
          <w:tcPr>
            <w:tcW w:w="3606" w:type="dxa"/>
            <w:tcBorders/>
            <w:shd w:fill="CCEEFF" w:val="clear"/>
            <w:vAlign w:val="bottom"/>
          </w:tcPr>
          <w:p>
            <w:pPr>
              <w:pStyle w:val="TableContents"/>
              <w:spacing w:before="0" w:after="0"/>
              <w:ind w:left="225" w:right="0" w:hanging="225"/>
              <w:rPr/>
            </w:pPr>
            <w:r>
              <w:rPr/>
              <w:t>Cost of sales</w:t>
            </w:r>
          </w:p>
        </w:tc>
        <w:tc>
          <w:tcPr>
            <w:tcW w:w="34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99,783</w:t>
            </w:r>
          </w:p>
        </w:tc>
        <w:tc>
          <w:tcPr>
            <w:tcW w:w="10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15,102</w:t>
            </w:r>
          </w:p>
        </w:tc>
        <w:tc>
          <w:tcPr>
            <w:tcW w:w="10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(8,880</w:t>
            </w:r>
          </w:p>
        </w:tc>
        <w:tc>
          <w:tcPr>
            <w:tcW w:w="132"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106,005</w:t>
            </w:r>
          </w:p>
        </w:tc>
        <w:tc>
          <w:tcPr>
            <w:tcW w:w="115" w:type="dxa"/>
            <w:tcBorders/>
            <w:shd w:fill="CCEEFF" w:val="clear"/>
            <w:vAlign w:val="bottom"/>
          </w:tcPr>
          <w:p>
            <w:pPr>
              <w:pStyle w:val="TableContents"/>
              <w:spacing w:before="0" w:after="283"/>
              <w:rPr/>
            </w:pPr>
            <w:r>
              <w:rPr/>
              <w:t> </w:t>
            </w:r>
          </w:p>
        </w:tc>
      </w:tr>
      <w:tr>
        <w:trPr/>
        <w:tc>
          <w:tcPr>
            <w:tcW w:w="3606" w:type="dxa"/>
            <w:tcBorders/>
            <w:shd w:fill="auto" w:val="clear"/>
            <w:vAlign w:val="center"/>
          </w:tcPr>
          <w:p>
            <w:pPr>
              <w:pStyle w:val="TableContents"/>
              <w:spacing w:before="0" w:after="0"/>
              <w:ind w:left="225" w:right="0" w:hanging="225"/>
              <w:rPr/>
            </w:pPr>
            <w:r>
              <w:rPr/>
              <w:t> </w:t>
            </w:r>
          </w:p>
        </w:tc>
        <w:tc>
          <w:tcPr>
            <w:tcW w:w="341"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4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606" w:type="dxa"/>
            <w:tcBorders/>
            <w:shd w:fill="auto" w:val="clear"/>
            <w:vAlign w:val="bottom"/>
          </w:tcPr>
          <w:p>
            <w:pPr>
              <w:pStyle w:val="TableContents"/>
              <w:spacing w:before="0" w:after="0"/>
              <w:ind w:left="225" w:right="0" w:hanging="225"/>
              <w:rPr/>
            </w:pPr>
            <w:r>
              <w:rPr/>
              <w:t>Gross margin</w:t>
            </w:r>
          </w:p>
        </w:tc>
        <w:tc>
          <w:tcPr>
            <w:tcW w:w="34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7,181</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955" w:type="dxa"/>
            <w:tcBorders/>
            <w:shd w:fill="auto" w:val="clear"/>
            <w:vAlign w:val="bottom"/>
          </w:tcPr>
          <w:p>
            <w:pPr>
              <w:pStyle w:val="TableContents"/>
              <w:spacing w:before="0" w:after="283"/>
              <w:jc w:val="right"/>
              <w:rPr/>
            </w:pPr>
            <w:r>
              <w:rPr/>
              <w:t>4,890</w:t>
            </w:r>
          </w:p>
        </w:tc>
        <w:tc>
          <w:tcPr>
            <w:tcW w:w="10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12,071</w:t>
            </w:r>
          </w:p>
        </w:tc>
        <w:tc>
          <w:tcPr>
            <w:tcW w:w="115" w:type="dxa"/>
            <w:tcBorders/>
            <w:shd w:fill="auto" w:val="clear"/>
            <w:vAlign w:val="bottom"/>
          </w:tcPr>
          <w:p>
            <w:pPr>
              <w:pStyle w:val="TableContents"/>
              <w:spacing w:before="0" w:after="283"/>
              <w:rPr/>
            </w:pPr>
            <w:r>
              <w:rPr/>
              <w:t> </w:t>
            </w:r>
          </w:p>
        </w:tc>
      </w:tr>
      <w:tr>
        <w:trPr/>
        <w:tc>
          <w:tcPr>
            <w:tcW w:w="3606" w:type="dxa"/>
            <w:tcBorders/>
            <w:shd w:fill="auto" w:val="clear"/>
            <w:vAlign w:val="center"/>
          </w:tcPr>
          <w:p>
            <w:pPr>
              <w:pStyle w:val="TableContents"/>
              <w:spacing w:before="0" w:after="0"/>
              <w:ind w:left="225" w:right="0" w:hanging="225"/>
              <w:rPr/>
            </w:pPr>
            <w:r>
              <w:rPr/>
              <w:t> </w:t>
            </w:r>
          </w:p>
        </w:tc>
        <w:tc>
          <w:tcPr>
            <w:tcW w:w="341"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6"/>
        <w:gridCol w:w="344"/>
        <w:gridCol w:w="166"/>
        <w:gridCol w:w="909"/>
        <w:gridCol w:w="105"/>
        <w:gridCol w:w="344"/>
        <w:gridCol w:w="193"/>
        <w:gridCol w:w="947"/>
        <w:gridCol w:w="105"/>
        <w:gridCol w:w="344"/>
        <w:gridCol w:w="229"/>
        <w:gridCol w:w="1219"/>
        <w:gridCol w:w="132"/>
        <w:gridCol w:w="344"/>
        <w:gridCol w:w="166"/>
        <w:gridCol w:w="909"/>
        <w:gridCol w:w="113"/>
      </w:tblGrid>
      <w:tr>
        <w:trPr/>
        <w:tc>
          <w:tcPr>
            <w:tcW w:w="363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jc w:val="center"/>
              <w:rPr>
                <w:b/>
              </w:rPr>
            </w:pPr>
            <w:r>
              <w:rPr>
                <w:b/>
              </w:rPr>
              <w:t>Fresh</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283"/>
              <w:jc w:val="center"/>
              <w:rPr>
                <w:b/>
              </w:rPr>
            </w:pPr>
            <w:r>
              <w:rPr>
                <w:b/>
              </w:rPr>
              <w:t>Processed</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48" w:type="dxa"/>
            <w:gridSpan w:val="2"/>
            <w:tcBorders/>
            <w:shd w:fill="auto" w:val="clear"/>
            <w:vAlign w:val="bottom"/>
          </w:tcPr>
          <w:p>
            <w:pPr>
              <w:pStyle w:val="TableContents"/>
              <w:spacing w:before="0" w:after="283"/>
              <w:jc w:val="center"/>
              <w:rPr>
                <w:b/>
              </w:rPr>
            </w:pPr>
            <w:r>
              <w:rPr>
                <w:b/>
              </w:rPr>
              <w:t>Inter-segment</w:t>
            </w:r>
          </w:p>
        </w:tc>
        <w:tc>
          <w:tcPr>
            <w:tcW w:w="132"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2"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112" w:type="dxa"/>
            <w:gridSpan w:val="14"/>
            <w:tcBorders/>
            <w:shd w:fill="auto" w:val="clear"/>
            <w:vAlign w:val="bottom"/>
          </w:tcPr>
          <w:p>
            <w:pPr>
              <w:pStyle w:val="TableContents"/>
              <w:spacing w:before="0" w:after="283"/>
              <w:jc w:val="center"/>
              <w:rPr>
                <w:b/>
              </w:rPr>
            </w:pPr>
            <w:r>
              <w:rPr>
                <w:b/>
              </w:rPr>
              <w:t>(All amounts are presented in thousands)</w:t>
            </w:r>
          </w:p>
        </w:tc>
        <w:tc>
          <w:tcPr>
            <w:tcW w:w="113" w:type="dxa"/>
            <w:tcBorders/>
            <w:shd w:fill="auto" w:val="clear"/>
            <w:vAlign w:val="bottom"/>
          </w:tcPr>
          <w:p>
            <w:pPr>
              <w:pStyle w:val="TableContents"/>
              <w:spacing w:before="0" w:after="283"/>
              <w:rPr/>
            </w:pPr>
            <w:r>
              <w:rPr/>
              <w:t> </w:t>
            </w:r>
          </w:p>
        </w:tc>
      </w:tr>
      <w:tr>
        <w:trPr/>
        <w:tc>
          <w:tcPr>
            <w:tcW w:w="3636" w:type="dxa"/>
            <w:tcBorders/>
            <w:shd w:fill="CCEEFF" w:val="clear"/>
            <w:vAlign w:val="bottom"/>
          </w:tcPr>
          <w:p>
            <w:pPr>
              <w:pStyle w:val="TableContents"/>
              <w:spacing w:before="0" w:after="0"/>
              <w:ind w:left="225" w:right="0" w:hanging="225"/>
              <w:rPr>
                <w:b/>
              </w:rPr>
            </w:pPr>
            <w:r>
              <w:rPr>
                <w:b/>
              </w:rPr>
              <w:t>Six months ended April 30, 2005</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pPr>
            <w:r>
              <w:rPr/>
              <w:t>Net sales</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102,583</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15,457</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19" w:type="dxa"/>
            <w:tcBorders/>
            <w:shd w:fill="auto" w:val="clear"/>
            <w:vAlign w:val="bottom"/>
          </w:tcPr>
          <w:p>
            <w:pPr>
              <w:pStyle w:val="TableContents"/>
              <w:spacing w:before="0" w:after="283"/>
              <w:jc w:val="right"/>
              <w:rPr/>
            </w:pPr>
            <w:r>
              <w:rPr/>
              <w:t>(10,163</w:t>
            </w:r>
          </w:p>
        </w:tc>
        <w:tc>
          <w:tcPr>
            <w:tcW w:w="132" w:type="dxa"/>
            <w:tcBorders/>
            <w:shd w:fill="auto" w:val="clear"/>
            <w:vAlign w:val="bottom"/>
          </w:tcPr>
          <w:p>
            <w:pPr>
              <w:pStyle w:val="TableContents"/>
              <w:spacing w:before="0" w:after="283"/>
              <w:rPr/>
            </w:pPr>
            <w:r>
              <w:rPr/>
              <w:t>)</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107,877</w:t>
            </w:r>
          </w:p>
        </w:tc>
        <w:tc>
          <w:tcPr>
            <w:tcW w:w="113" w:type="dxa"/>
            <w:tcBorders/>
            <w:shd w:fill="auto" w:val="clear"/>
            <w:vAlign w:val="bottom"/>
          </w:tcPr>
          <w:p>
            <w:pPr>
              <w:pStyle w:val="TableContents"/>
              <w:spacing w:before="0" w:after="283"/>
              <w:rPr/>
            </w:pPr>
            <w:r>
              <w:rPr/>
              <w:t> </w:t>
            </w:r>
          </w:p>
        </w:tc>
      </w:tr>
      <w:tr>
        <w:trPr/>
        <w:tc>
          <w:tcPr>
            <w:tcW w:w="3636" w:type="dxa"/>
            <w:tcBorders/>
            <w:shd w:fill="CCEEFF" w:val="clear"/>
            <w:vAlign w:val="bottom"/>
          </w:tcPr>
          <w:p>
            <w:pPr>
              <w:pStyle w:val="TableContents"/>
              <w:spacing w:before="0" w:after="0"/>
              <w:ind w:left="225" w:right="0" w:hanging="225"/>
              <w:rPr/>
            </w:pPr>
            <w:r>
              <w:rPr/>
              <w:t>Cost of sales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96,314</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13,419</w:t>
            </w:r>
          </w:p>
        </w:tc>
        <w:tc>
          <w:tcPr>
            <w:tcW w:w="10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219" w:type="dxa"/>
            <w:tcBorders/>
            <w:shd w:fill="CCEEFF" w:val="clear"/>
            <w:vAlign w:val="bottom"/>
          </w:tcPr>
          <w:p>
            <w:pPr>
              <w:pStyle w:val="TableContents"/>
              <w:spacing w:before="0" w:after="283"/>
              <w:jc w:val="right"/>
              <w:rPr/>
            </w:pPr>
            <w:r>
              <w:rPr/>
              <w:t>(10,163</w:t>
            </w:r>
          </w:p>
        </w:tc>
        <w:tc>
          <w:tcPr>
            <w:tcW w:w="132" w:type="dxa"/>
            <w:tcBorders/>
            <w:shd w:fill="CCEEFF" w:val="clear"/>
            <w:vAlign w:val="bottom"/>
          </w:tcPr>
          <w:p>
            <w:pPr>
              <w:pStyle w:val="TableContents"/>
              <w:spacing w:before="0" w:after="283"/>
              <w:rPr/>
            </w:pPr>
            <w:r>
              <w:rPr/>
              <w:t>)</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99,570</w:t>
            </w:r>
          </w:p>
        </w:tc>
        <w:tc>
          <w:tcPr>
            <w:tcW w:w="113" w:type="dxa"/>
            <w:tcBorders/>
            <w:shd w:fill="CCEEFF" w:val="clear"/>
            <w:vAlign w:val="bottom"/>
          </w:tcPr>
          <w:p>
            <w:pPr>
              <w:pStyle w:val="TableContents"/>
              <w:spacing w:before="0" w:after="283"/>
              <w:rPr/>
            </w:pPr>
            <w:r>
              <w:rPr/>
              <w:t> </w:t>
            </w:r>
          </w:p>
        </w:tc>
      </w:tr>
      <w:tr>
        <w:trPr/>
        <w:tc>
          <w:tcPr>
            <w:tcW w:w="3636"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1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pPr>
            <w:r>
              <w:rPr/>
              <w:t>Gross margin</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6,269</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2,038</w:t>
            </w:r>
          </w:p>
        </w:tc>
        <w:tc>
          <w:tcPr>
            <w:tcW w:w="10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9" w:type="dxa"/>
            <w:tcBorders/>
            <w:shd w:fill="auto" w:val="clear"/>
            <w:vAlign w:val="bottom"/>
          </w:tcPr>
          <w:p>
            <w:pPr>
              <w:pStyle w:val="TableContents"/>
              <w:spacing w:before="0" w:after="283"/>
              <w:jc w:val="right"/>
              <w:rPr/>
            </w:pPr>
            <w:r>
              <w:rPr/>
              <w:t>8,307</w:t>
            </w:r>
          </w:p>
        </w:tc>
        <w:tc>
          <w:tcPr>
            <w:tcW w:w="113" w:type="dxa"/>
            <w:tcBorders/>
            <w:shd w:fill="auto" w:val="clear"/>
            <w:vAlign w:val="bottom"/>
          </w:tcPr>
          <w:p>
            <w:pPr>
              <w:pStyle w:val="TableContents"/>
              <w:spacing w:before="0" w:after="283"/>
              <w:rPr/>
            </w:pPr>
            <w:r>
              <w:rPr/>
              <w:t> </w:t>
            </w:r>
          </w:p>
        </w:tc>
      </w:tr>
      <w:tr>
        <w:trPr/>
        <w:tc>
          <w:tcPr>
            <w:tcW w:w="3636"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1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1219"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81"/>
        <w:gridCol w:w="348"/>
        <w:gridCol w:w="182"/>
        <w:gridCol w:w="896"/>
        <w:gridCol w:w="106"/>
        <w:gridCol w:w="348"/>
        <w:gridCol w:w="194"/>
        <w:gridCol w:w="953"/>
        <w:gridCol w:w="106"/>
        <w:gridCol w:w="347"/>
        <w:gridCol w:w="258"/>
        <w:gridCol w:w="1199"/>
        <w:gridCol w:w="133"/>
        <w:gridCol w:w="348"/>
        <w:gridCol w:w="167"/>
        <w:gridCol w:w="823"/>
        <w:gridCol w:w="116"/>
      </w:tblGrid>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78" w:type="dxa"/>
            <w:gridSpan w:val="2"/>
            <w:tcBorders/>
            <w:shd w:fill="auto" w:val="clear"/>
            <w:vAlign w:val="bottom"/>
          </w:tcPr>
          <w:p>
            <w:pPr>
              <w:pStyle w:val="TableContents"/>
              <w:spacing w:before="0" w:after="283"/>
              <w:jc w:val="center"/>
              <w:rPr>
                <w:b/>
              </w:rPr>
            </w:pPr>
            <w:r>
              <w:rPr>
                <w:b/>
              </w:rPr>
              <w:t>Fresh</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jc w:val="center"/>
              <w:rPr>
                <w:b/>
              </w:rPr>
            </w:pPr>
            <w:r>
              <w:rPr>
                <w:b/>
              </w:rPr>
              <w:t>Processed</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57" w:type="dxa"/>
            <w:gridSpan w:val="2"/>
            <w:tcBorders/>
            <w:shd w:fill="auto" w:val="clear"/>
            <w:vAlign w:val="bottom"/>
          </w:tcPr>
          <w:p>
            <w:pPr>
              <w:pStyle w:val="TableContents"/>
              <w:spacing w:before="0" w:after="283"/>
              <w:jc w:val="center"/>
              <w:rPr>
                <w:b/>
              </w:rPr>
            </w:pPr>
            <w:r>
              <w:rPr>
                <w:b/>
              </w:rPr>
              <w:t>Inter-segment</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6060" w:type="dxa"/>
            <w:gridSpan w:val="14"/>
            <w:tcBorders/>
            <w:shd w:fill="auto" w:val="clear"/>
            <w:vAlign w:val="bottom"/>
          </w:tcPr>
          <w:p>
            <w:pPr>
              <w:pStyle w:val="TableContents"/>
              <w:spacing w:before="0" w:after="283"/>
              <w:jc w:val="center"/>
              <w:rPr>
                <w:b/>
              </w:rPr>
            </w:pPr>
            <w:r>
              <w:rPr>
                <w:b/>
              </w:rPr>
              <w:t>(All amounts are presented in thousands)</w:t>
            </w:r>
          </w:p>
        </w:tc>
        <w:tc>
          <w:tcPr>
            <w:tcW w:w="116" w:type="dxa"/>
            <w:tcBorders/>
            <w:shd w:fill="auto" w:val="clear"/>
            <w:vAlign w:val="bottom"/>
          </w:tcPr>
          <w:p>
            <w:pPr>
              <w:pStyle w:val="TableContents"/>
              <w:spacing w:before="0" w:after="283"/>
              <w:rPr/>
            </w:pPr>
            <w:r>
              <w:rPr/>
              <w:t> </w:t>
            </w:r>
          </w:p>
        </w:tc>
      </w:tr>
      <w:tr>
        <w:trPr/>
        <w:tc>
          <w:tcPr>
            <w:tcW w:w="3681" w:type="dxa"/>
            <w:tcBorders/>
            <w:shd w:fill="CCEEFF" w:val="clear"/>
            <w:vAlign w:val="bottom"/>
          </w:tcPr>
          <w:p>
            <w:pPr>
              <w:pStyle w:val="TableContents"/>
              <w:spacing w:before="0" w:after="0"/>
              <w:ind w:left="225" w:right="0" w:hanging="225"/>
              <w:rPr>
                <w:b/>
              </w:rPr>
            </w:pPr>
            <w:r>
              <w:rPr>
                <w:b/>
              </w:rPr>
              <w:t>Three months ended April 30, 2006</w:t>
            </w:r>
          </w:p>
        </w:tc>
        <w:tc>
          <w:tcPr>
            <w:tcW w:w="3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0"/>
              <w:ind w:left="225" w:right="0" w:hanging="225"/>
              <w:rPr/>
            </w:pPr>
            <w:r>
              <w:rPr/>
              <w:t>Net sales</w:t>
            </w:r>
          </w:p>
        </w:tc>
        <w:tc>
          <w:tcPr>
            <w:tcW w:w="3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60,722</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953" w:type="dxa"/>
            <w:tcBorders/>
            <w:shd w:fill="auto" w:val="clear"/>
            <w:vAlign w:val="bottom"/>
          </w:tcPr>
          <w:p>
            <w:pPr>
              <w:pStyle w:val="TableContents"/>
              <w:spacing w:before="0" w:after="283"/>
              <w:jc w:val="right"/>
              <w:rPr/>
            </w:pPr>
            <w:r>
              <w:rPr/>
              <w:t>10,712</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199" w:type="dxa"/>
            <w:tcBorders/>
            <w:shd w:fill="auto" w:val="clear"/>
            <w:vAlign w:val="bottom"/>
          </w:tcPr>
          <w:p>
            <w:pPr>
              <w:pStyle w:val="TableContents"/>
              <w:spacing w:before="0" w:after="283"/>
              <w:jc w:val="right"/>
              <w:rPr/>
            </w:pPr>
            <w:r>
              <w:rPr/>
              <w:t>(4,005</w:t>
            </w:r>
          </w:p>
        </w:tc>
        <w:tc>
          <w:tcPr>
            <w:tcW w:w="133"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67,429</w:t>
            </w:r>
          </w:p>
        </w:tc>
        <w:tc>
          <w:tcPr>
            <w:tcW w:w="116" w:type="dxa"/>
            <w:tcBorders/>
            <w:shd w:fill="auto" w:val="clear"/>
            <w:vAlign w:val="bottom"/>
          </w:tcPr>
          <w:p>
            <w:pPr>
              <w:pStyle w:val="TableContents"/>
              <w:spacing w:before="0" w:after="283"/>
              <w:rPr/>
            </w:pPr>
            <w:r>
              <w:rPr/>
              <w:t> </w:t>
            </w:r>
          </w:p>
        </w:tc>
      </w:tr>
      <w:tr>
        <w:trPr/>
        <w:tc>
          <w:tcPr>
            <w:tcW w:w="3681" w:type="dxa"/>
            <w:tcBorders/>
            <w:shd w:fill="CCEEFF" w:val="clear"/>
            <w:vAlign w:val="bottom"/>
          </w:tcPr>
          <w:p>
            <w:pPr>
              <w:pStyle w:val="TableContents"/>
              <w:spacing w:before="0" w:after="0"/>
              <w:ind w:left="225" w:right="0" w:hanging="225"/>
              <w:rPr/>
            </w:pPr>
            <w:r>
              <w:rPr/>
              <w:t>Cost of sales</w:t>
            </w:r>
          </w:p>
        </w:tc>
        <w:tc>
          <w:tcPr>
            <w:tcW w:w="3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55,056</w:t>
            </w:r>
          </w:p>
        </w:tc>
        <w:tc>
          <w:tcPr>
            <w:tcW w:w="106"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7,717</w:t>
            </w:r>
          </w:p>
        </w:tc>
        <w:tc>
          <w:tcPr>
            <w:tcW w:w="10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 </w:t>
            </w:r>
          </w:p>
        </w:tc>
        <w:tc>
          <w:tcPr>
            <w:tcW w:w="1199" w:type="dxa"/>
            <w:tcBorders/>
            <w:shd w:fill="CCEEFF" w:val="clear"/>
            <w:vAlign w:val="bottom"/>
          </w:tcPr>
          <w:p>
            <w:pPr>
              <w:pStyle w:val="TableContents"/>
              <w:spacing w:before="0" w:after="283"/>
              <w:jc w:val="right"/>
              <w:rPr/>
            </w:pPr>
            <w:r>
              <w:rPr/>
              <w:t>(4,005</w:t>
            </w:r>
          </w:p>
        </w:tc>
        <w:tc>
          <w:tcPr>
            <w:tcW w:w="133"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58,768</w:t>
            </w:r>
          </w:p>
        </w:tc>
        <w:tc>
          <w:tcPr>
            <w:tcW w:w="116" w:type="dxa"/>
            <w:tcBorders/>
            <w:shd w:fill="CCEEFF" w:val="clear"/>
            <w:vAlign w:val="bottom"/>
          </w:tcPr>
          <w:p>
            <w:pPr>
              <w:pStyle w:val="TableContents"/>
              <w:spacing w:before="0" w:after="283"/>
              <w:rPr/>
            </w:pPr>
            <w:r>
              <w:rPr/>
              <w:t> </w:t>
            </w:r>
          </w:p>
        </w:tc>
      </w:tr>
      <w:tr>
        <w:trPr/>
        <w:tc>
          <w:tcPr>
            <w:tcW w:w="368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0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3681" w:type="dxa"/>
            <w:tcBorders/>
            <w:shd w:fill="auto" w:val="clear"/>
            <w:vAlign w:val="bottom"/>
          </w:tcPr>
          <w:p>
            <w:pPr>
              <w:pStyle w:val="TableContents"/>
              <w:spacing w:before="0" w:after="0"/>
              <w:ind w:left="225" w:right="0" w:hanging="225"/>
              <w:rPr/>
            </w:pPr>
            <w:r>
              <w:rPr/>
              <w:t>Gross margin</w:t>
            </w:r>
          </w:p>
        </w:tc>
        <w:tc>
          <w:tcPr>
            <w:tcW w:w="3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5,666</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953" w:type="dxa"/>
            <w:tcBorders/>
            <w:shd w:fill="auto" w:val="clear"/>
            <w:vAlign w:val="bottom"/>
          </w:tcPr>
          <w:p>
            <w:pPr>
              <w:pStyle w:val="TableContents"/>
              <w:spacing w:before="0" w:after="283"/>
              <w:jc w:val="right"/>
              <w:rPr/>
            </w:pPr>
            <w:r>
              <w:rPr/>
              <w:t>2,995</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8,661</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0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199"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81"/>
        <w:gridCol w:w="348"/>
        <w:gridCol w:w="182"/>
        <w:gridCol w:w="896"/>
        <w:gridCol w:w="106"/>
        <w:gridCol w:w="348"/>
        <w:gridCol w:w="217"/>
        <w:gridCol w:w="930"/>
        <w:gridCol w:w="106"/>
        <w:gridCol w:w="347"/>
        <w:gridCol w:w="258"/>
        <w:gridCol w:w="1199"/>
        <w:gridCol w:w="133"/>
        <w:gridCol w:w="348"/>
        <w:gridCol w:w="167"/>
        <w:gridCol w:w="823"/>
        <w:gridCol w:w="116"/>
      </w:tblGrid>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78" w:type="dxa"/>
            <w:gridSpan w:val="2"/>
            <w:tcBorders/>
            <w:shd w:fill="auto" w:val="clear"/>
            <w:vAlign w:val="bottom"/>
          </w:tcPr>
          <w:p>
            <w:pPr>
              <w:pStyle w:val="TableContents"/>
              <w:spacing w:before="0" w:after="283"/>
              <w:jc w:val="center"/>
              <w:rPr>
                <w:b/>
              </w:rPr>
            </w:pPr>
            <w:r>
              <w:rPr>
                <w:b/>
              </w:rPr>
              <w:t>Fresh</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283"/>
              <w:jc w:val="center"/>
              <w:rPr>
                <w:b/>
              </w:rPr>
            </w:pPr>
            <w:r>
              <w:rPr>
                <w:b/>
              </w:rPr>
              <w:t>Processed</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57" w:type="dxa"/>
            <w:gridSpan w:val="2"/>
            <w:tcBorders/>
            <w:shd w:fill="auto" w:val="clear"/>
            <w:vAlign w:val="bottom"/>
          </w:tcPr>
          <w:p>
            <w:pPr>
              <w:pStyle w:val="TableContents"/>
              <w:spacing w:before="0" w:after="283"/>
              <w:jc w:val="center"/>
              <w:rPr>
                <w:b/>
              </w:rPr>
            </w:pPr>
            <w:r>
              <w:rPr>
                <w:b/>
              </w:rPr>
              <w:t>Inter-segment</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6060" w:type="dxa"/>
            <w:gridSpan w:val="14"/>
            <w:tcBorders/>
            <w:shd w:fill="auto" w:val="clear"/>
            <w:vAlign w:val="bottom"/>
          </w:tcPr>
          <w:p>
            <w:pPr>
              <w:pStyle w:val="TableContents"/>
              <w:spacing w:before="0" w:after="283"/>
              <w:jc w:val="center"/>
              <w:rPr>
                <w:b/>
              </w:rPr>
            </w:pPr>
            <w:r>
              <w:rPr>
                <w:b/>
              </w:rPr>
              <w:t>(All amounts are presented in thousands)</w:t>
            </w:r>
          </w:p>
        </w:tc>
        <w:tc>
          <w:tcPr>
            <w:tcW w:w="116" w:type="dxa"/>
            <w:tcBorders/>
            <w:shd w:fill="auto" w:val="clear"/>
            <w:vAlign w:val="bottom"/>
          </w:tcPr>
          <w:p>
            <w:pPr>
              <w:pStyle w:val="TableContents"/>
              <w:spacing w:before="0" w:after="283"/>
              <w:rPr/>
            </w:pPr>
            <w:r>
              <w:rPr/>
              <w:t> </w:t>
            </w:r>
          </w:p>
        </w:tc>
      </w:tr>
      <w:tr>
        <w:trPr/>
        <w:tc>
          <w:tcPr>
            <w:tcW w:w="3681" w:type="dxa"/>
            <w:tcBorders/>
            <w:shd w:fill="CCEEFF" w:val="clear"/>
            <w:vAlign w:val="bottom"/>
          </w:tcPr>
          <w:p>
            <w:pPr>
              <w:pStyle w:val="TableContents"/>
              <w:spacing w:before="0" w:after="0"/>
              <w:ind w:left="225" w:right="0" w:hanging="225"/>
              <w:rPr>
                <w:b/>
              </w:rPr>
            </w:pPr>
            <w:r>
              <w:rPr>
                <w:b/>
              </w:rPr>
              <w:t>Three months ended April 30, 2005</w:t>
            </w:r>
          </w:p>
        </w:tc>
        <w:tc>
          <w:tcPr>
            <w:tcW w:w="3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0"/>
              <w:ind w:left="225" w:right="0" w:hanging="225"/>
              <w:rPr/>
            </w:pPr>
            <w:r>
              <w:rPr/>
              <w:t>Net sales</w:t>
            </w:r>
          </w:p>
        </w:tc>
        <w:tc>
          <w:tcPr>
            <w:tcW w:w="3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57,519</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7,955</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199" w:type="dxa"/>
            <w:tcBorders/>
            <w:shd w:fill="auto" w:val="clear"/>
            <w:vAlign w:val="bottom"/>
          </w:tcPr>
          <w:p>
            <w:pPr>
              <w:pStyle w:val="TableContents"/>
              <w:spacing w:before="0" w:after="283"/>
              <w:jc w:val="right"/>
              <w:rPr/>
            </w:pPr>
            <w:r>
              <w:rPr/>
              <w:t>(5,268</w:t>
            </w:r>
          </w:p>
        </w:tc>
        <w:tc>
          <w:tcPr>
            <w:tcW w:w="133"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60,206</w:t>
            </w:r>
          </w:p>
        </w:tc>
        <w:tc>
          <w:tcPr>
            <w:tcW w:w="116" w:type="dxa"/>
            <w:tcBorders/>
            <w:shd w:fill="auto" w:val="clear"/>
            <w:vAlign w:val="bottom"/>
          </w:tcPr>
          <w:p>
            <w:pPr>
              <w:pStyle w:val="TableContents"/>
              <w:spacing w:before="0" w:after="283"/>
              <w:rPr/>
            </w:pPr>
            <w:r>
              <w:rPr/>
              <w:t> </w:t>
            </w:r>
          </w:p>
        </w:tc>
      </w:tr>
      <w:tr>
        <w:trPr/>
        <w:tc>
          <w:tcPr>
            <w:tcW w:w="3681" w:type="dxa"/>
            <w:tcBorders/>
            <w:shd w:fill="CCEEFF" w:val="clear"/>
            <w:vAlign w:val="bottom"/>
          </w:tcPr>
          <w:p>
            <w:pPr>
              <w:pStyle w:val="TableContents"/>
              <w:spacing w:before="0" w:after="0"/>
              <w:ind w:left="225" w:right="0" w:hanging="225"/>
              <w:rPr/>
            </w:pPr>
            <w:r>
              <w:rPr/>
              <w:t>Cost of sales</w:t>
            </w:r>
          </w:p>
        </w:tc>
        <w:tc>
          <w:tcPr>
            <w:tcW w:w="3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52,694</w:t>
            </w:r>
          </w:p>
        </w:tc>
        <w:tc>
          <w:tcPr>
            <w:tcW w:w="106"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pPr>
            <w:r>
              <w:rPr/>
              <w:t>6,425</w:t>
            </w:r>
          </w:p>
        </w:tc>
        <w:tc>
          <w:tcPr>
            <w:tcW w:w="10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 </w:t>
            </w:r>
          </w:p>
        </w:tc>
        <w:tc>
          <w:tcPr>
            <w:tcW w:w="1199" w:type="dxa"/>
            <w:tcBorders/>
            <w:shd w:fill="CCEEFF" w:val="clear"/>
            <w:vAlign w:val="bottom"/>
          </w:tcPr>
          <w:p>
            <w:pPr>
              <w:pStyle w:val="TableContents"/>
              <w:spacing w:before="0" w:after="283"/>
              <w:jc w:val="right"/>
              <w:rPr/>
            </w:pPr>
            <w:r>
              <w:rPr/>
              <w:t>(5,268</w:t>
            </w:r>
          </w:p>
        </w:tc>
        <w:tc>
          <w:tcPr>
            <w:tcW w:w="133"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53,851</w:t>
            </w:r>
          </w:p>
        </w:tc>
        <w:tc>
          <w:tcPr>
            <w:tcW w:w="116" w:type="dxa"/>
            <w:tcBorders/>
            <w:shd w:fill="CCEEFF" w:val="clear"/>
            <w:vAlign w:val="bottom"/>
          </w:tcPr>
          <w:p>
            <w:pPr>
              <w:pStyle w:val="TableContents"/>
              <w:spacing w:before="0" w:after="283"/>
              <w:rPr/>
            </w:pPr>
            <w:r>
              <w:rPr/>
              <w:t> </w:t>
            </w:r>
          </w:p>
        </w:tc>
      </w:tr>
      <w:tr>
        <w:trPr/>
        <w:tc>
          <w:tcPr>
            <w:tcW w:w="368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0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3681" w:type="dxa"/>
            <w:tcBorders/>
            <w:shd w:fill="auto" w:val="clear"/>
            <w:vAlign w:val="bottom"/>
          </w:tcPr>
          <w:p>
            <w:pPr>
              <w:pStyle w:val="TableContents"/>
              <w:spacing w:before="0" w:after="0"/>
              <w:ind w:left="225" w:right="0" w:hanging="225"/>
              <w:rPr/>
            </w:pPr>
            <w:r>
              <w:rPr/>
              <w:t>Gross margin</w:t>
            </w:r>
          </w:p>
        </w:tc>
        <w:tc>
          <w:tcPr>
            <w:tcW w:w="3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4,825</w:t>
            </w:r>
          </w:p>
        </w:tc>
        <w:tc>
          <w:tcPr>
            <w:tcW w:w="10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1,530</w:t>
            </w:r>
          </w:p>
        </w:tc>
        <w:tc>
          <w:tcPr>
            <w:tcW w:w="10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6,355</w:t>
            </w:r>
          </w:p>
        </w:tc>
        <w:tc>
          <w:tcPr>
            <w:tcW w:w="116" w:type="dxa"/>
            <w:tcBorders/>
            <w:shd w:fill="auto" w:val="clear"/>
            <w:vAlign w:val="bottom"/>
          </w:tcPr>
          <w:p>
            <w:pPr>
              <w:pStyle w:val="TableContents"/>
              <w:spacing w:before="0" w:after="283"/>
              <w:rPr/>
            </w:pPr>
            <w:r>
              <w:rPr/>
              <w:t> </w:t>
            </w:r>
          </w:p>
        </w:tc>
      </w:tr>
      <w:tr>
        <w:trPr/>
        <w:tc>
          <w:tcPr>
            <w:tcW w:w="3681"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0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199"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sales by product category, by segment (in thousands): </w:t>
      </w:r>
    </w:p>
    <w:tbl>
      <w:tblPr>
        <w:tblW w:w="5000" w:type="pct"/>
        <w:jc w:val="center"/>
        <w:tblInd w:w="0" w:type="dxa"/>
        <w:tblCellMar>
          <w:top w:w="0" w:type="dxa"/>
          <w:left w:w="0" w:type="dxa"/>
          <w:bottom w:w="0" w:type="dxa"/>
          <w:right w:w="0" w:type="dxa"/>
        </w:tblCellMar>
      </w:tblPr>
      <w:tblGrid>
        <w:gridCol w:w="1875"/>
        <w:gridCol w:w="225"/>
        <w:gridCol w:w="159"/>
        <w:gridCol w:w="885"/>
        <w:gridCol w:w="118"/>
        <w:gridCol w:w="230"/>
        <w:gridCol w:w="175"/>
        <w:gridCol w:w="860"/>
        <w:gridCol w:w="118"/>
        <w:gridCol w:w="230"/>
        <w:gridCol w:w="159"/>
        <w:gridCol w:w="888"/>
        <w:gridCol w:w="110"/>
        <w:gridCol w:w="225"/>
        <w:gridCol w:w="159"/>
        <w:gridCol w:w="885"/>
        <w:gridCol w:w="118"/>
        <w:gridCol w:w="230"/>
        <w:gridCol w:w="175"/>
        <w:gridCol w:w="860"/>
        <w:gridCol w:w="118"/>
        <w:gridCol w:w="230"/>
        <w:gridCol w:w="159"/>
        <w:gridCol w:w="888"/>
        <w:gridCol w:w="126"/>
      </w:tblGrid>
      <w:tr>
        <w:trPr/>
        <w:tc>
          <w:tcPr>
            <w:tcW w:w="187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87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82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 2006</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82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 2005</w:t>
            </w:r>
          </w:p>
        </w:tc>
        <w:tc>
          <w:tcPr>
            <w:tcW w:w="126" w:type="dxa"/>
            <w:tcBorders/>
            <w:shd w:fill="auto" w:val="clear"/>
            <w:vAlign w:val="bottom"/>
          </w:tcPr>
          <w:p>
            <w:pPr>
              <w:pStyle w:val="TableContents"/>
              <w:spacing w:before="0" w:after="283"/>
              <w:rPr/>
            </w:pPr>
            <w:r>
              <w:rPr/>
              <w:t> </w:t>
            </w:r>
          </w:p>
        </w:tc>
      </w:tr>
      <w:tr>
        <w:trPr/>
        <w:tc>
          <w:tcPr>
            <w:tcW w:w="187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44" w:type="dxa"/>
            <w:gridSpan w:val="2"/>
            <w:tcBorders/>
            <w:shd w:fill="auto" w:val="clear"/>
            <w:vAlign w:val="bottom"/>
          </w:tcPr>
          <w:p>
            <w:pPr>
              <w:pStyle w:val="TableContents"/>
              <w:spacing w:before="0" w:after="283"/>
              <w:jc w:val="center"/>
              <w:rPr>
                <w:b/>
              </w:rPr>
            </w:pPr>
            <w:r>
              <w:rPr>
                <w:b/>
              </w:rPr>
              <w:t>Fresh</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spacing w:before="0" w:after="283"/>
              <w:jc w:val="center"/>
              <w:rPr>
                <w:b/>
              </w:rPr>
            </w:pPr>
            <w:r>
              <w:rPr>
                <w:b/>
              </w:rPr>
              <w:t>Processed</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44" w:type="dxa"/>
            <w:gridSpan w:val="2"/>
            <w:tcBorders/>
            <w:shd w:fill="auto" w:val="clear"/>
            <w:vAlign w:val="bottom"/>
          </w:tcPr>
          <w:p>
            <w:pPr>
              <w:pStyle w:val="TableContents"/>
              <w:spacing w:before="0" w:after="283"/>
              <w:jc w:val="center"/>
              <w:rPr>
                <w:b/>
              </w:rPr>
            </w:pPr>
            <w:r>
              <w:rPr>
                <w:b/>
              </w:rPr>
              <w:t>Fresh</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spacing w:before="0" w:after="283"/>
              <w:jc w:val="center"/>
              <w:rPr>
                <w:b/>
              </w:rPr>
            </w:pPr>
            <w:r>
              <w:rPr>
                <w:b/>
              </w:rPr>
              <w:t>Processed</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47"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187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225" w:right="0" w:hanging="225"/>
              <w:rPr/>
            </w:pPr>
            <w:r>
              <w:rPr/>
              <w:t>Third-party sales: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875" w:type="dxa"/>
            <w:tcBorders/>
            <w:shd w:fill="auto" w:val="clear"/>
            <w:vAlign w:val="bottom"/>
          </w:tcPr>
          <w:p>
            <w:pPr>
              <w:pStyle w:val="TableContents"/>
              <w:spacing w:before="0" w:after="0"/>
              <w:ind w:left="450" w:right="0" w:hanging="225"/>
              <w:rPr/>
            </w:pPr>
            <w:r>
              <w:rPr/>
              <w:t>California avocados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44,707</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44,707</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30,075</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30,075</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450" w:right="0" w:hanging="225"/>
              <w:rPr/>
            </w:pPr>
            <w:r>
              <w:rPr/>
              <w:t>Imported avocados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35,000</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35,000</w:t>
            </w:r>
          </w:p>
        </w:tc>
        <w:tc>
          <w:tcPr>
            <w:tcW w:w="1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42,036</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42,036</w:t>
            </w:r>
          </w:p>
        </w:tc>
        <w:tc>
          <w:tcPr>
            <w:tcW w:w="126" w:type="dxa"/>
            <w:tcBorders/>
            <w:shd w:fill="CCEEFF" w:val="clear"/>
            <w:vAlign w:val="bottom"/>
          </w:tcPr>
          <w:p>
            <w:pPr>
              <w:pStyle w:val="TableContents"/>
              <w:spacing w:before="0" w:after="283"/>
              <w:rPr/>
            </w:pPr>
            <w:r>
              <w:rPr/>
              <w:t> </w:t>
            </w:r>
          </w:p>
        </w:tc>
      </w:tr>
      <w:tr>
        <w:trPr/>
        <w:tc>
          <w:tcPr>
            <w:tcW w:w="1875" w:type="dxa"/>
            <w:tcBorders/>
            <w:shd w:fill="auto" w:val="clear"/>
            <w:vAlign w:val="bottom"/>
          </w:tcPr>
          <w:p>
            <w:pPr>
              <w:pStyle w:val="TableContents"/>
              <w:spacing w:before="0" w:after="0"/>
              <w:ind w:left="450" w:right="0" w:hanging="225"/>
              <w:rPr/>
            </w:pPr>
            <w:r>
              <w:rPr/>
              <w:t>Papayas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2,591</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2,591</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3,423</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3,423</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450" w:right="0" w:hanging="225"/>
              <w:rPr/>
            </w:pPr>
            <w:r>
              <w:rPr/>
              <w:t>Specialties and Tropicals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5,042</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5,042</w:t>
            </w:r>
          </w:p>
        </w:tc>
        <w:tc>
          <w:tcPr>
            <w:tcW w:w="1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8,484</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8,484</w:t>
            </w:r>
          </w:p>
        </w:tc>
        <w:tc>
          <w:tcPr>
            <w:tcW w:w="126" w:type="dxa"/>
            <w:tcBorders/>
            <w:shd w:fill="CCEEFF" w:val="clear"/>
            <w:vAlign w:val="bottom"/>
          </w:tcPr>
          <w:p>
            <w:pPr>
              <w:pStyle w:val="TableContents"/>
              <w:spacing w:before="0" w:after="283"/>
              <w:rPr/>
            </w:pPr>
            <w:r>
              <w:rPr/>
              <w:t> </w:t>
            </w:r>
          </w:p>
        </w:tc>
      </w:tr>
      <w:tr>
        <w:trPr/>
        <w:tc>
          <w:tcPr>
            <w:tcW w:w="1875" w:type="dxa"/>
            <w:tcBorders/>
            <w:shd w:fill="auto" w:val="clear"/>
            <w:vAlign w:val="bottom"/>
          </w:tcPr>
          <w:p>
            <w:pPr>
              <w:pStyle w:val="TableContents"/>
              <w:spacing w:before="0" w:after="0"/>
              <w:ind w:left="450" w:right="0" w:hanging="225"/>
              <w:rPr/>
            </w:pPr>
            <w:r>
              <w:rPr/>
              <w:t>Processed  food service</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15,699</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15,699</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12,754</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12,754</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450" w:right="0" w:hanging="225"/>
              <w:rPr/>
            </w:pPr>
            <w:r>
              <w:rPr/>
              <w:t>Processed  retail and club</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4,677</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4,677</w:t>
            </w:r>
          </w:p>
        </w:tc>
        <w:tc>
          <w:tcPr>
            <w:tcW w:w="1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2,740</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2,740</w:t>
            </w:r>
          </w:p>
        </w:tc>
        <w:tc>
          <w:tcPr>
            <w:tcW w:w="126" w:type="dxa"/>
            <w:tcBorders/>
            <w:shd w:fill="CCEEFF" w:val="clear"/>
            <w:vAlign w:val="bottom"/>
          </w:tcPr>
          <w:p>
            <w:pPr>
              <w:pStyle w:val="TableContents"/>
              <w:spacing w:before="0" w:after="283"/>
              <w:rPr/>
            </w:pPr>
            <w:r>
              <w:rPr/>
              <w:t> </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75" w:type="dxa"/>
            <w:tcBorders/>
            <w:shd w:fill="auto" w:val="clear"/>
            <w:vAlign w:val="bottom"/>
          </w:tcPr>
          <w:p>
            <w:pPr>
              <w:pStyle w:val="TableContents"/>
              <w:spacing w:before="0" w:after="0"/>
              <w:ind w:left="225" w:right="0" w:hanging="225"/>
              <w:rPr/>
            </w:pPr>
            <w:r>
              <w:rPr/>
              <w:t>Total fruit and product sales to third-parties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87,340</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20,376</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107,716</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84,018</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15,494</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99,512</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225" w:right="0" w:hanging="225"/>
              <w:rPr/>
            </w:pPr>
            <w:r>
              <w:rPr/>
              <w:t>Freight and other charges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13,673</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286</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13,959</w:t>
            </w:r>
          </w:p>
        </w:tc>
        <w:tc>
          <w:tcPr>
            <w:tcW w:w="1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11,536</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18</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11,554</w:t>
            </w:r>
          </w:p>
        </w:tc>
        <w:tc>
          <w:tcPr>
            <w:tcW w:w="126" w:type="dxa"/>
            <w:tcBorders/>
            <w:shd w:fill="CCEEFF" w:val="clear"/>
            <w:vAlign w:val="bottom"/>
          </w:tcPr>
          <w:p>
            <w:pPr>
              <w:pStyle w:val="TableContents"/>
              <w:spacing w:before="0" w:after="283"/>
              <w:rPr/>
            </w:pPr>
            <w:r>
              <w:rPr/>
              <w:t> </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75" w:type="dxa"/>
            <w:tcBorders/>
            <w:shd w:fill="auto" w:val="clear"/>
            <w:vAlign w:val="bottom"/>
          </w:tcPr>
          <w:p>
            <w:pPr>
              <w:pStyle w:val="TableContents"/>
              <w:spacing w:before="0" w:after="0"/>
              <w:ind w:left="225" w:right="0" w:hanging="225"/>
              <w:rPr/>
            </w:pPr>
            <w:r>
              <w:rPr/>
              <w:t>Total third-party sales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101,013</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20,662</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121,675</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95,554</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15,512</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111,066</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225" w:right="0" w:hanging="225"/>
              <w:rPr/>
            </w:pPr>
            <w:r>
              <w:rPr/>
              <w:t>Less sales incentives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pPr>
            <w:r>
              <w:rPr/>
              <w:t>(40</w:t>
            </w:r>
          </w:p>
        </w:tc>
        <w:tc>
          <w:tcPr>
            <w:tcW w:w="118"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(3,599</w:t>
            </w:r>
          </w:p>
        </w:tc>
        <w:tc>
          <w:tcPr>
            <w:tcW w:w="118"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888" w:type="dxa"/>
            <w:tcBorders/>
            <w:shd w:fill="CCEEFF" w:val="clear"/>
            <w:vAlign w:val="bottom"/>
          </w:tcPr>
          <w:p>
            <w:pPr>
              <w:pStyle w:val="TableContents"/>
              <w:spacing w:before="0" w:after="283"/>
              <w:jc w:val="right"/>
              <w:rPr/>
            </w:pPr>
            <w:r>
              <w:rPr/>
              <w:t>(3,599</w:t>
            </w:r>
          </w:p>
        </w:tc>
        <w:tc>
          <w:tcPr>
            <w:tcW w:w="110"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885" w:type="dxa"/>
            <w:tcBorders/>
            <w:shd w:fill="CCEEFF" w:val="clear"/>
            <w:vAlign w:val="bottom"/>
          </w:tcPr>
          <w:p>
            <w:pPr>
              <w:pStyle w:val="TableContents"/>
              <w:spacing w:before="0" w:after="283"/>
              <w:jc w:val="right"/>
              <w:rPr/>
            </w:pPr>
            <w:r>
              <w:rPr/>
              <w:t>(41</w:t>
            </w:r>
          </w:p>
        </w:tc>
        <w:tc>
          <w:tcPr>
            <w:tcW w:w="118"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(3,148</w:t>
            </w:r>
          </w:p>
        </w:tc>
        <w:tc>
          <w:tcPr>
            <w:tcW w:w="118"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888" w:type="dxa"/>
            <w:tcBorders/>
            <w:shd w:fill="CCEEFF" w:val="clear"/>
            <w:vAlign w:val="bottom"/>
          </w:tcPr>
          <w:p>
            <w:pPr>
              <w:pStyle w:val="TableContents"/>
              <w:spacing w:before="0" w:after="283"/>
              <w:jc w:val="right"/>
              <w:rPr/>
            </w:pPr>
            <w:r>
              <w:rPr/>
              <w:t>(3,189</w:t>
            </w:r>
          </w:p>
        </w:tc>
        <w:tc>
          <w:tcPr>
            <w:tcW w:w="126" w:type="dxa"/>
            <w:tcBorders/>
            <w:shd w:fill="CCEEFF" w:val="clear"/>
            <w:vAlign w:val="bottom"/>
          </w:tcPr>
          <w:p>
            <w:pPr>
              <w:pStyle w:val="TableContents"/>
              <w:spacing w:before="0" w:after="283"/>
              <w:rPr/>
            </w:pPr>
            <w:r>
              <w:rPr/>
              <w:t>)</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75" w:type="dxa"/>
            <w:tcBorders/>
            <w:shd w:fill="auto" w:val="clear"/>
            <w:vAlign w:val="bottom"/>
          </w:tcPr>
          <w:p>
            <w:pPr>
              <w:pStyle w:val="TableContents"/>
              <w:spacing w:before="0" w:after="0"/>
              <w:ind w:left="225" w:right="0" w:hanging="225"/>
              <w:rPr/>
            </w:pPr>
            <w:r>
              <w:rPr/>
              <w:t>Total net sales to third-parties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100,973</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17,103</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118,076</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95,513</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12,364</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107,877</w:t>
            </w:r>
          </w:p>
        </w:tc>
        <w:tc>
          <w:tcPr>
            <w:tcW w:w="126" w:type="dxa"/>
            <w:tcBorders/>
            <w:shd w:fill="auto" w:val="clear"/>
            <w:vAlign w:val="bottom"/>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225" w:right="0" w:hanging="225"/>
              <w:rPr/>
            </w:pPr>
            <w:r>
              <w:rPr/>
              <w:t>Intercompany sales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5,991</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2,889</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8,880</w:t>
            </w:r>
          </w:p>
        </w:tc>
        <w:tc>
          <w:tcPr>
            <w:tcW w:w="11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7,070</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3,093</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10,163</w:t>
            </w:r>
          </w:p>
        </w:tc>
        <w:tc>
          <w:tcPr>
            <w:tcW w:w="126" w:type="dxa"/>
            <w:tcBorders/>
            <w:shd w:fill="CCEEFF" w:val="clear"/>
            <w:vAlign w:val="bottom"/>
          </w:tcPr>
          <w:p>
            <w:pPr>
              <w:pStyle w:val="TableContents"/>
              <w:spacing w:before="0" w:after="283"/>
              <w:rPr/>
            </w:pPr>
            <w:r>
              <w:rPr/>
              <w:t> </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75" w:type="dxa"/>
            <w:tcBorders/>
            <w:shd w:fill="auto" w:val="clear"/>
            <w:vAlign w:val="bottom"/>
          </w:tcPr>
          <w:p>
            <w:pPr>
              <w:pStyle w:val="TableContents"/>
              <w:spacing w:before="0" w:after="0"/>
              <w:ind w:left="225" w:right="0" w:hanging="225"/>
              <w:rPr/>
            </w:pPr>
            <w:r>
              <w:rPr/>
              <w:t>Net sales before eliminations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106,964</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19,992</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126,956</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5" w:type="dxa"/>
            <w:tcBorders/>
            <w:shd w:fill="auto" w:val="clear"/>
            <w:vAlign w:val="bottom"/>
          </w:tcPr>
          <w:p>
            <w:pPr>
              <w:pStyle w:val="TableContents"/>
              <w:spacing w:before="0" w:after="283"/>
              <w:jc w:val="right"/>
              <w:rPr/>
            </w:pPr>
            <w:r>
              <w:rPr/>
              <w:t>102,583</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15,457</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118,040</w:t>
            </w:r>
          </w:p>
        </w:tc>
        <w:tc>
          <w:tcPr>
            <w:tcW w:w="126" w:type="dxa"/>
            <w:tcBorders/>
            <w:shd w:fill="auto" w:val="clear"/>
            <w:vAlign w:val="bottom"/>
          </w:tcPr>
          <w:p>
            <w:pPr>
              <w:pStyle w:val="TableContents"/>
              <w:spacing w:before="0" w:after="283"/>
              <w:rPr/>
            </w:pPr>
            <w:r>
              <w:rPr/>
              <w:t> </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888"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0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888"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1875" w:type="dxa"/>
            <w:tcBorders/>
            <w:shd w:fill="CCEEFF" w:val="clear"/>
            <w:vAlign w:val="bottom"/>
          </w:tcPr>
          <w:p>
            <w:pPr>
              <w:pStyle w:val="TableContents"/>
              <w:spacing w:before="0" w:after="0"/>
              <w:ind w:left="225" w:right="0" w:hanging="225"/>
              <w:rPr/>
            </w:pPr>
            <w:r>
              <w:rPr/>
              <w:t>Intercompany sales eliminations</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888" w:type="dxa"/>
            <w:tcBorders/>
            <w:shd w:fill="CCEEFF" w:val="clear"/>
            <w:vAlign w:val="bottom"/>
          </w:tcPr>
          <w:p>
            <w:pPr>
              <w:pStyle w:val="TableContents"/>
              <w:spacing w:before="0" w:after="283"/>
              <w:jc w:val="right"/>
              <w:rPr/>
            </w:pPr>
            <w:r>
              <w:rPr/>
              <w:t>(8,880</w:t>
            </w:r>
          </w:p>
        </w:tc>
        <w:tc>
          <w:tcPr>
            <w:tcW w:w="110"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888" w:type="dxa"/>
            <w:tcBorders/>
            <w:shd w:fill="CCEEFF" w:val="clear"/>
            <w:vAlign w:val="bottom"/>
          </w:tcPr>
          <w:p>
            <w:pPr>
              <w:pStyle w:val="TableContents"/>
              <w:spacing w:before="0" w:after="283"/>
              <w:jc w:val="right"/>
              <w:rPr/>
            </w:pPr>
            <w:r>
              <w:rPr/>
              <w:t>(10,163</w:t>
            </w:r>
          </w:p>
        </w:tc>
        <w:tc>
          <w:tcPr>
            <w:tcW w:w="126" w:type="dxa"/>
            <w:tcBorders/>
            <w:shd w:fill="CCEEFF" w:val="clear"/>
            <w:vAlign w:val="bottom"/>
          </w:tcPr>
          <w:p>
            <w:pPr>
              <w:pStyle w:val="TableContents"/>
              <w:spacing w:before="0" w:after="283"/>
              <w:rPr/>
            </w:pPr>
            <w:r>
              <w:rPr/>
              <w:t>)</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885"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885"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75" w:type="dxa"/>
            <w:tcBorders/>
            <w:shd w:fill="auto" w:val="clear"/>
            <w:vAlign w:val="bottom"/>
          </w:tcPr>
          <w:p>
            <w:pPr>
              <w:pStyle w:val="TableContents"/>
              <w:spacing w:before="0" w:after="0"/>
              <w:ind w:left="225" w:right="0" w:hanging="225"/>
              <w:rPr/>
            </w:pPr>
            <w:r>
              <w:rPr/>
              <w:t>Consolidated net sales</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118,076</w:t>
            </w:r>
          </w:p>
        </w:tc>
        <w:tc>
          <w:tcPr>
            <w:tcW w:w="11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107,877</w:t>
            </w:r>
          </w:p>
        </w:tc>
        <w:tc>
          <w:tcPr>
            <w:tcW w:w="126" w:type="dxa"/>
            <w:tcBorders/>
            <w:shd w:fill="auto" w:val="clear"/>
            <w:vAlign w:val="bottom"/>
          </w:tcPr>
          <w:p>
            <w:pPr>
              <w:pStyle w:val="TableContents"/>
              <w:spacing w:before="0" w:after="283"/>
              <w:rPr/>
            </w:pPr>
            <w:r>
              <w:rPr/>
              <w:t> </w:t>
            </w:r>
          </w:p>
        </w:tc>
      </w:tr>
      <w:tr>
        <w:trPr/>
        <w:tc>
          <w:tcPr>
            <w:tcW w:w="1875" w:type="dxa"/>
            <w:tcBorders/>
            <w:shd w:fill="auto" w:val="clear"/>
            <w:vAlign w:val="center"/>
          </w:tcPr>
          <w:p>
            <w:pPr>
              <w:pStyle w:val="TableContents"/>
              <w:spacing w:before="0" w:after="0"/>
              <w:ind w:left="225" w:right="0" w:hanging="225"/>
              <w:rPr/>
            </w:pPr>
            <w:r>
              <w:rPr/>
              <w:t> </w:t>
            </w:r>
          </w:p>
        </w:tc>
        <w:tc>
          <w:tcPr>
            <w:tcW w:w="225"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885"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885"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737"/>
        <w:gridCol w:w="194"/>
        <w:gridCol w:w="182"/>
        <w:gridCol w:w="895"/>
        <w:gridCol w:w="133"/>
        <w:gridCol w:w="210"/>
        <w:gridCol w:w="182"/>
        <w:gridCol w:w="895"/>
        <w:gridCol w:w="133"/>
        <w:gridCol w:w="210"/>
        <w:gridCol w:w="182"/>
        <w:gridCol w:w="901"/>
        <w:gridCol w:w="108"/>
        <w:gridCol w:w="194"/>
        <w:gridCol w:w="185"/>
        <w:gridCol w:w="908"/>
        <w:gridCol w:w="135"/>
        <w:gridCol w:w="210"/>
        <w:gridCol w:w="185"/>
        <w:gridCol w:w="857"/>
        <w:gridCol w:w="135"/>
        <w:gridCol w:w="210"/>
        <w:gridCol w:w="185"/>
        <w:gridCol w:w="913"/>
        <w:gridCol w:w="126"/>
      </w:tblGrid>
      <w:tr>
        <w:trPr/>
        <w:tc>
          <w:tcPr>
            <w:tcW w:w="173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73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92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 2006</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92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 2005</w:t>
            </w:r>
          </w:p>
        </w:tc>
        <w:tc>
          <w:tcPr>
            <w:tcW w:w="126" w:type="dxa"/>
            <w:tcBorders/>
            <w:shd w:fill="auto" w:val="clear"/>
            <w:vAlign w:val="bottom"/>
          </w:tcPr>
          <w:p>
            <w:pPr>
              <w:pStyle w:val="TableContents"/>
              <w:spacing w:before="0" w:after="283"/>
              <w:rPr/>
            </w:pPr>
            <w:r>
              <w:rPr/>
              <w:t> </w:t>
            </w:r>
          </w:p>
        </w:tc>
      </w:tr>
      <w:tr>
        <w:trPr/>
        <w:tc>
          <w:tcPr>
            <w:tcW w:w="173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77" w:type="dxa"/>
            <w:gridSpan w:val="2"/>
            <w:tcBorders/>
            <w:shd w:fill="auto" w:val="clear"/>
            <w:vAlign w:val="bottom"/>
          </w:tcPr>
          <w:p>
            <w:pPr>
              <w:pStyle w:val="TableContents"/>
              <w:spacing w:before="0" w:after="283"/>
              <w:jc w:val="center"/>
              <w:rPr>
                <w:b/>
              </w:rPr>
            </w:pPr>
            <w:r>
              <w:rPr>
                <w:b/>
              </w:rPr>
              <w:t>Fresh</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77" w:type="dxa"/>
            <w:gridSpan w:val="2"/>
            <w:tcBorders/>
            <w:shd w:fill="auto" w:val="clear"/>
            <w:vAlign w:val="bottom"/>
          </w:tcPr>
          <w:p>
            <w:pPr>
              <w:pStyle w:val="TableContents"/>
              <w:spacing w:before="0" w:after="283"/>
              <w:jc w:val="center"/>
              <w:rPr>
                <w:b/>
              </w:rPr>
            </w:pPr>
            <w:r>
              <w:rPr>
                <w:b/>
              </w:rPr>
              <w:t>Processed</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93" w:type="dxa"/>
            <w:gridSpan w:val="2"/>
            <w:tcBorders/>
            <w:shd w:fill="auto" w:val="clear"/>
            <w:vAlign w:val="bottom"/>
          </w:tcPr>
          <w:p>
            <w:pPr>
              <w:pStyle w:val="TableContents"/>
              <w:spacing w:before="0" w:after="283"/>
              <w:jc w:val="center"/>
              <w:rPr>
                <w:b/>
              </w:rPr>
            </w:pPr>
            <w:r>
              <w:rPr>
                <w:b/>
              </w:rPr>
              <w:t>Fresh</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42" w:type="dxa"/>
            <w:gridSpan w:val="2"/>
            <w:tcBorders/>
            <w:shd w:fill="auto" w:val="clear"/>
            <w:vAlign w:val="bottom"/>
          </w:tcPr>
          <w:p>
            <w:pPr>
              <w:pStyle w:val="TableContents"/>
              <w:spacing w:before="0" w:after="283"/>
              <w:jc w:val="center"/>
              <w:rPr>
                <w:b/>
              </w:rPr>
            </w:pPr>
            <w:r>
              <w:rPr>
                <w:b/>
              </w:rPr>
              <w:t>Processed</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173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7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7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225" w:right="0" w:hanging="225"/>
              <w:rPr/>
            </w:pPr>
            <w:r>
              <w:rPr/>
              <w:t>Third-party sales: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737" w:type="dxa"/>
            <w:tcBorders/>
            <w:shd w:fill="auto" w:val="clear"/>
            <w:vAlign w:val="bottom"/>
          </w:tcPr>
          <w:p>
            <w:pPr>
              <w:pStyle w:val="TableContents"/>
              <w:spacing w:before="0" w:after="0"/>
              <w:ind w:left="450" w:right="0" w:hanging="225"/>
              <w:rPr/>
            </w:pPr>
            <w:r>
              <w:rPr/>
              <w:t>California avocados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5" w:type="dxa"/>
            <w:tcBorders/>
            <w:shd w:fill="auto" w:val="clear"/>
            <w:vAlign w:val="bottom"/>
          </w:tcPr>
          <w:p>
            <w:pPr>
              <w:pStyle w:val="TableContents"/>
              <w:spacing w:before="0" w:after="283"/>
              <w:jc w:val="right"/>
              <w:rPr/>
            </w:pPr>
            <w:r>
              <w:rPr/>
              <w:t>35,049</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5"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35,049</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22,530</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22,530</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450" w:right="0" w:hanging="225"/>
              <w:rPr/>
            </w:pPr>
            <w:r>
              <w:rPr/>
              <w:t>Imported avocados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11,413</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11,413</w:t>
            </w:r>
          </w:p>
        </w:tc>
        <w:tc>
          <w:tcPr>
            <w:tcW w:w="10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17,962</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17,962</w:t>
            </w:r>
          </w:p>
        </w:tc>
        <w:tc>
          <w:tcPr>
            <w:tcW w:w="126" w:type="dxa"/>
            <w:tcBorders/>
            <w:shd w:fill="CCEEFF" w:val="clear"/>
            <w:vAlign w:val="bottom"/>
          </w:tcPr>
          <w:p>
            <w:pPr>
              <w:pStyle w:val="TableContents"/>
              <w:spacing w:before="0" w:after="283"/>
              <w:rPr/>
            </w:pPr>
            <w:r>
              <w:rPr/>
              <w:t> </w:t>
            </w:r>
          </w:p>
        </w:tc>
      </w:tr>
      <w:tr>
        <w:trPr/>
        <w:tc>
          <w:tcPr>
            <w:tcW w:w="1737" w:type="dxa"/>
            <w:tcBorders/>
            <w:shd w:fill="auto" w:val="clear"/>
            <w:vAlign w:val="bottom"/>
          </w:tcPr>
          <w:p>
            <w:pPr>
              <w:pStyle w:val="TableContents"/>
              <w:spacing w:before="0" w:after="0"/>
              <w:ind w:left="450" w:right="0" w:hanging="225"/>
              <w:rPr/>
            </w:pPr>
            <w:r>
              <w:rPr/>
              <w:t>Papayas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1,324</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1,324</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1,603</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1,603</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450" w:right="0" w:hanging="225"/>
              <w:rPr/>
            </w:pPr>
            <w:r>
              <w:rPr/>
              <w:t>Specialties and Tropicals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2,637</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2,637</w:t>
            </w:r>
          </w:p>
        </w:tc>
        <w:tc>
          <w:tcPr>
            <w:tcW w:w="10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5,035</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5,035</w:t>
            </w:r>
          </w:p>
        </w:tc>
        <w:tc>
          <w:tcPr>
            <w:tcW w:w="126" w:type="dxa"/>
            <w:tcBorders/>
            <w:shd w:fill="CCEEFF" w:val="clear"/>
            <w:vAlign w:val="bottom"/>
          </w:tcPr>
          <w:p>
            <w:pPr>
              <w:pStyle w:val="TableContents"/>
              <w:spacing w:before="0" w:after="283"/>
              <w:rPr/>
            </w:pPr>
            <w:r>
              <w:rPr/>
              <w:t> </w:t>
            </w:r>
          </w:p>
        </w:tc>
      </w:tr>
      <w:tr>
        <w:trPr/>
        <w:tc>
          <w:tcPr>
            <w:tcW w:w="1737" w:type="dxa"/>
            <w:tcBorders/>
            <w:shd w:fill="auto" w:val="clear"/>
            <w:vAlign w:val="bottom"/>
          </w:tcPr>
          <w:p>
            <w:pPr>
              <w:pStyle w:val="TableContents"/>
              <w:spacing w:before="0" w:after="0"/>
              <w:ind w:left="450" w:right="0" w:hanging="225"/>
              <w:rPr/>
            </w:pPr>
            <w:r>
              <w:rPr/>
              <w:t>Processed  food service</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8,364</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8,364</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6,729</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6,729</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450" w:right="0" w:hanging="225"/>
              <w:rPr/>
            </w:pPr>
            <w:r>
              <w:rPr/>
              <w:t>Processed  retail and club</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2,346</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2,346</w:t>
            </w:r>
          </w:p>
        </w:tc>
        <w:tc>
          <w:tcPr>
            <w:tcW w:w="10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1,334</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1,334</w:t>
            </w:r>
          </w:p>
        </w:tc>
        <w:tc>
          <w:tcPr>
            <w:tcW w:w="126" w:type="dxa"/>
            <w:tcBorders/>
            <w:shd w:fill="CCEEFF" w:val="clear"/>
            <w:vAlign w:val="bottom"/>
          </w:tcPr>
          <w:p>
            <w:pPr>
              <w:pStyle w:val="TableContents"/>
              <w:spacing w:before="0" w:after="283"/>
              <w:rPr/>
            </w:pPr>
            <w:r>
              <w:rPr/>
              <w:t> </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737" w:type="dxa"/>
            <w:tcBorders/>
            <w:shd w:fill="auto" w:val="clear"/>
            <w:vAlign w:val="bottom"/>
          </w:tcPr>
          <w:p>
            <w:pPr>
              <w:pStyle w:val="TableContents"/>
              <w:spacing w:before="0" w:after="0"/>
              <w:ind w:left="225" w:right="0" w:hanging="225"/>
              <w:rPr/>
            </w:pPr>
            <w:r>
              <w:rPr/>
              <w:t>Total fruit and product sales to third-parties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50,423</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10,710</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61,133</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47,130</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8,063</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55,193</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225" w:right="0" w:hanging="225"/>
              <w:rPr/>
            </w:pPr>
            <w:r>
              <w:rPr/>
              <w:t>Freight and other charges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7,826</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150</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7,976</w:t>
            </w:r>
          </w:p>
        </w:tc>
        <w:tc>
          <w:tcPr>
            <w:tcW w:w="10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6,470</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82</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6,552</w:t>
            </w:r>
          </w:p>
        </w:tc>
        <w:tc>
          <w:tcPr>
            <w:tcW w:w="126" w:type="dxa"/>
            <w:tcBorders/>
            <w:shd w:fill="CCEEFF" w:val="clear"/>
            <w:vAlign w:val="bottom"/>
          </w:tcPr>
          <w:p>
            <w:pPr>
              <w:pStyle w:val="TableContents"/>
              <w:spacing w:before="0" w:after="283"/>
              <w:rPr/>
            </w:pPr>
            <w:r>
              <w:rPr/>
              <w:t> </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737" w:type="dxa"/>
            <w:tcBorders/>
            <w:shd w:fill="auto" w:val="clear"/>
            <w:vAlign w:val="bottom"/>
          </w:tcPr>
          <w:p>
            <w:pPr>
              <w:pStyle w:val="TableContents"/>
              <w:spacing w:before="0" w:after="0"/>
              <w:ind w:left="225" w:right="0" w:hanging="225"/>
              <w:rPr/>
            </w:pPr>
            <w:r>
              <w:rPr/>
              <w:t>Total third-party sales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58,249</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10,860</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69,109</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53,600</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8,145</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61,745</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225" w:right="0" w:hanging="225"/>
              <w:rPr/>
            </w:pPr>
            <w:r>
              <w:rPr/>
              <w:t>Less sales incentives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95" w:type="dxa"/>
            <w:tcBorders/>
            <w:shd w:fill="CCEEFF" w:val="clear"/>
            <w:vAlign w:val="bottom"/>
          </w:tcPr>
          <w:p>
            <w:pPr>
              <w:pStyle w:val="TableContents"/>
              <w:spacing w:before="0" w:after="283"/>
              <w:jc w:val="right"/>
              <w:rPr/>
            </w:pPr>
            <w:r>
              <w:rPr/>
              <w:t>(34</w:t>
            </w:r>
          </w:p>
        </w:tc>
        <w:tc>
          <w:tcPr>
            <w:tcW w:w="133" w:type="dxa"/>
            <w:tcBorders/>
            <w:shd w:fill="CCEEFF" w:val="clear"/>
            <w:vAlign w:val="bottom"/>
          </w:tcPr>
          <w:p>
            <w:pPr>
              <w:pStyle w:val="TableContents"/>
              <w:spacing w:before="0" w:after="283"/>
              <w:rPr/>
            </w:pPr>
            <w:r>
              <w:rPr/>
              <w:t>)</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95" w:type="dxa"/>
            <w:tcBorders/>
            <w:shd w:fill="CCEEFF" w:val="clear"/>
            <w:vAlign w:val="bottom"/>
          </w:tcPr>
          <w:p>
            <w:pPr>
              <w:pStyle w:val="TableContents"/>
              <w:spacing w:before="0" w:after="283"/>
              <w:jc w:val="right"/>
              <w:rPr/>
            </w:pPr>
            <w:r>
              <w:rPr/>
              <w:t>(1,646</w:t>
            </w:r>
          </w:p>
        </w:tc>
        <w:tc>
          <w:tcPr>
            <w:tcW w:w="133" w:type="dxa"/>
            <w:tcBorders/>
            <w:shd w:fill="CCEEFF" w:val="clear"/>
            <w:vAlign w:val="bottom"/>
          </w:tcPr>
          <w:p>
            <w:pPr>
              <w:pStyle w:val="TableContents"/>
              <w:spacing w:before="0" w:after="283"/>
              <w:rPr/>
            </w:pPr>
            <w:r>
              <w:rPr/>
              <w:t>)</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pPr>
            <w:r>
              <w:rPr/>
              <w:t>(1,680</w:t>
            </w:r>
          </w:p>
        </w:tc>
        <w:tc>
          <w:tcPr>
            <w:tcW w:w="108"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(24</w:t>
            </w:r>
          </w:p>
        </w:tc>
        <w:tc>
          <w:tcPr>
            <w:tcW w:w="135" w:type="dxa"/>
            <w:tcBorders/>
            <w:shd w:fill="CCEEFF" w:val="clear"/>
            <w:vAlign w:val="bottom"/>
          </w:tcPr>
          <w:p>
            <w:pPr>
              <w:pStyle w:val="TableContents"/>
              <w:spacing w:before="0" w:after="283"/>
              <w:rPr/>
            </w:pPr>
            <w:r>
              <w:rPr/>
              <w:t>)</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857" w:type="dxa"/>
            <w:tcBorders/>
            <w:shd w:fill="CCEEFF" w:val="clear"/>
            <w:vAlign w:val="bottom"/>
          </w:tcPr>
          <w:p>
            <w:pPr>
              <w:pStyle w:val="TableContents"/>
              <w:spacing w:before="0" w:after="283"/>
              <w:jc w:val="right"/>
              <w:rPr/>
            </w:pPr>
            <w:r>
              <w:rPr/>
              <w:t>(1,515</w:t>
            </w:r>
          </w:p>
        </w:tc>
        <w:tc>
          <w:tcPr>
            <w:tcW w:w="135" w:type="dxa"/>
            <w:tcBorders/>
            <w:shd w:fill="CCEEFF" w:val="clear"/>
            <w:vAlign w:val="bottom"/>
          </w:tcPr>
          <w:p>
            <w:pPr>
              <w:pStyle w:val="TableContents"/>
              <w:spacing w:before="0" w:after="283"/>
              <w:rPr/>
            </w:pPr>
            <w:r>
              <w:rPr/>
              <w:t>)</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(1,539</w:t>
            </w:r>
          </w:p>
        </w:tc>
        <w:tc>
          <w:tcPr>
            <w:tcW w:w="126" w:type="dxa"/>
            <w:tcBorders/>
            <w:shd w:fill="CCEEFF" w:val="clear"/>
            <w:vAlign w:val="bottom"/>
          </w:tcPr>
          <w:p>
            <w:pPr>
              <w:pStyle w:val="TableContents"/>
              <w:spacing w:before="0" w:after="283"/>
              <w:rPr/>
            </w:pPr>
            <w:r>
              <w:rPr/>
              <w:t>)</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737" w:type="dxa"/>
            <w:tcBorders/>
            <w:shd w:fill="auto" w:val="clear"/>
            <w:vAlign w:val="bottom"/>
          </w:tcPr>
          <w:p>
            <w:pPr>
              <w:pStyle w:val="TableContents"/>
              <w:spacing w:before="0" w:after="0"/>
              <w:ind w:left="225" w:right="0" w:hanging="225"/>
              <w:rPr/>
            </w:pPr>
            <w:r>
              <w:rPr/>
              <w:t>Total net sales to third-parties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58,215</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9,214</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67,429</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53,576</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jc w:val="right"/>
              <w:rPr/>
            </w:pPr>
            <w:r>
              <w:rPr/>
              <w:t>6,630</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60,206</w:t>
            </w:r>
          </w:p>
        </w:tc>
        <w:tc>
          <w:tcPr>
            <w:tcW w:w="126" w:type="dxa"/>
            <w:tcBorders/>
            <w:shd w:fill="auto" w:val="clear"/>
            <w:vAlign w:val="bottom"/>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225" w:right="0" w:hanging="225"/>
              <w:rPr/>
            </w:pPr>
            <w:r>
              <w:rPr/>
              <w:t>Intercompany sales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2,507</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1,498</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4,005</w:t>
            </w:r>
          </w:p>
        </w:tc>
        <w:tc>
          <w:tcPr>
            <w:tcW w:w="10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3,943</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1,325</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5,268</w:t>
            </w:r>
          </w:p>
        </w:tc>
        <w:tc>
          <w:tcPr>
            <w:tcW w:w="126" w:type="dxa"/>
            <w:tcBorders/>
            <w:shd w:fill="CCEEFF" w:val="clear"/>
            <w:vAlign w:val="bottom"/>
          </w:tcPr>
          <w:p>
            <w:pPr>
              <w:pStyle w:val="TableContents"/>
              <w:spacing w:before="0" w:after="283"/>
              <w:rPr/>
            </w:pPr>
            <w:r>
              <w:rPr/>
              <w:t> </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0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737" w:type="dxa"/>
            <w:tcBorders/>
            <w:shd w:fill="auto" w:val="clear"/>
            <w:vAlign w:val="bottom"/>
          </w:tcPr>
          <w:p>
            <w:pPr>
              <w:pStyle w:val="TableContents"/>
              <w:spacing w:before="0" w:after="0"/>
              <w:ind w:left="225" w:right="0" w:hanging="225"/>
              <w:rPr/>
            </w:pPr>
            <w:r>
              <w:rPr/>
              <w:t>Net sales before eliminations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5" w:type="dxa"/>
            <w:tcBorders/>
            <w:shd w:fill="auto" w:val="clear"/>
            <w:vAlign w:val="bottom"/>
          </w:tcPr>
          <w:p>
            <w:pPr>
              <w:pStyle w:val="TableContents"/>
              <w:spacing w:before="0" w:after="283"/>
              <w:jc w:val="right"/>
              <w:rPr/>
            </w:pPr>
            <w:r>
              <w:rPr/>
              <w:t>60,722</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95" w:type="dxa"/>
            <w:tcBorders/>
            <w:shd w:fill="auto" w:val="clear"/>
            <w:vAlign w:val="bottom"/>
          </w:tcPr>
          <w:p>
            <w:pPr>
              <w:pStyle w:val="TableContents"/>
              <w:spacing w:before="0" w:after="283"/>
              <w:jc w:val="right"/>
              <w:rPr/>
            </w:pPr>
            <w:r>
              <w:rPr/>
              <w:t>10,712</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71,434</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57,519</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57" w:type="dxa"/>
            <w:tcBorders/>
            <w:shd w:fill="auto" w:val="clear"/>
            <w:vAlign w:val="bottom"/>
          </w:tcPr>
          <w:p>
            <w:pPr>
              <w:pStyle w:val="TableContents"/>
              <w:spacing w:before="0" w:after="283"/>
              <w:jc w:val="right"/>
              <w:rPr/>
            </w:pPr>
            <w:r>
              <w:rPr/>
              <w:t>7,955</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65,474</w:t>
            </w:r>
          </w:p>
        </w:tc>
        <w:tc>
          <w:tcPr>
            <w:tcW w:w="126" w:type="dxa"/>
            <w:tcBorders/>
            <w:shd w:fill="auto" w:val="clear"/>
            <w:vAlign w:val="bottom"/>
          </w:tcPr>
          <w:p>
            <w:pPr>
              <w:pStyle w:val="TableContents"/>
              <w:spacing w:before="0" w:after="283"/>
              <w:rPr/>
            </w:pPr>
            <w:r>
              <w:rPr/>
              <w:t> </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0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0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1737" w:type="dxa"/>
            <w:tcBorders/>
            <w:shd w:fill="CCEEFF" w:val="clear"/>
            <w:vAlign w:val="bottom"/>
          </w:tcPr>
          <w:p>
            <w:pPr>
              <w:pStyle w:val="TableContents"/>
              <w:spacing w:before="0" w:after="0"/>
              <w:ind w:left="225" w:right="0" w:hanging="225"/>
              <w:rPr/>
            </w:pPr>
            <w:r>
              <w:rPr/>
              <w:t>Intercompany sales eliminations</w:t>
            </w:r>
          </w:p>
        </w:tc>
        <w:tc>
          <w:tcPr>
            <w:tcW w:w="19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pPr>
            <w:r>
              <w:rPr/>
              <w:t>(4,005</w:t>
            </w:r>
          </w:p>
        </w:tc>
        <w:tc>
          <w:tcPr>
            <w:tcW w:w="108"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(5,268</w:t>
            </w:r>
          </w:p>
        </w:tc>
        <w:tc>
          <w:tcPr>
            <w:tcW w:w="126" w:type="dxa"/>
            <w:tcBorders/>
            <w:shd w:fill="CCEEFF" w:val="clear"/>
            <w:vAlign w:val="bottom"/>
          </w:tcPr>
          <w:p>
            <w:pPr>
              <w:pStyle w:val="TableContents"/>
              <w:spacing w:before="0" w:after="283"/>
              <w:rPr/>
            </w:pPr>
            <w:r>
              <w:rPr/>
              <w:t>)</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08"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737" w:type="dxa"/>
            <w:tcBorders/>
            <w:shd w:fill="auto" w:val="clear"/>
            <w:vAlign w:val="bottom"/>
          </w:tcPr>
          <w:p>
            <w:pPr>
              <w:pStyle w:val="TableContents"/>
              <w:spacing w:before="0" w:after="0"/>
              <w:ind w:left="225" w:right="0" w:hanging="225"/>
              <w:rPr/>
            </w:pPr>
            <w:r>
              <w:rPr/>
              <w:t>Consolidated net sales</w:t>
            </w:r>
          </w:p>
        </w:tc>
        <w:tc>
          <w:tcPr>
            <w:tcW w:w="19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67,429</w:t>
            </w:r>
          </w:p>
        </w:tc>
        <w:tc>
          <w:tcPr>
            <w:tcW w:w="10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60,206</w:t>
            </w:r>
          </w:p>
        </w:tc>
        <w:tc>
          <w:tcPr>
            <w:tcW w:w="126" w:type="dxa"/>
            <w:tcBorders/>
            <w:shd w:fill="auto" w:val="clear"/>
            <w:vAlign w:val="bottom"/>
          </w:tcPr>
          <w:p>
            <w:pPr>
              <w:pStyle w:val="TableContents"/>
              <w:spacing w:before="0" w:after="283"/>
              <w:rPr/>
            </w:pPr>
            <w:r>
              <w:rPr/>
              <w:t> </w:t>
            </w:r>
          </w:p>
        </w:tc>
      </w:tr>
      <w:tr>
        <w:trPr/>
        <w:tc>
          <w:tcPr>
            <w:tcW w:w="173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08"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775"/>
        <w:gridCol w:w="449"/>
        <w:gridCol w:w="178"/>
        <w:gridCol w:w="879"/>
        <w:gridCol w:w="119"/>
        <w:gridCol w:w="449"/>
        <w:gridCol w:w="208"/>
        <w:gridCol w:w="1025"/>
        <w:gridCol w:w="123"/>
      </w:tblGrid>
      <w:tr>
        <w:trPr/>
        <w:tc>
          <w:tcPr>
            <w:tcW w:w="6775"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775"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283"/>
              <w:jc w:val="center"/>
              <w:rPr>
                <w:b/>
              </w:rPr>
            </w:pPr>
            <w:r>
              <w:rPr>
                <w:b/>
              </w:rPr>
              <w:t>April 30,</w:t>
            </w:r>
          </w:p>
        </w:tc>
        <w:tc>
          <w:tcPr>
            <w:tcW w:w="119"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jc w:val="center"/>
              <w:rPr>
                <w:b/>
              </w:rPr>
            </w:pPr>
            <w:r>
              <w:rPr>
                <w:b/>
              </w:rPr>
              <w:t>October 31,</w:t>
            </w:r>
          </w:p>
        </w:tc>
        <w:tc>
          <w:tcPr>
            <w:tcW w:w="123" w:type="dxa"/>
            <w:tcBorders/>
            <w:shd w:fill="auto" w:val="clear"/>
            <w:vAlign w:val="bottom"/>
          </w:tcPr>
          <w:p>
            <w:pPr>
              <w:pStyle w:val="TableContents"/>
              <w:spacing w:before="0" w:after="283"/>
              <w:rPr/>
            </w:pPr>
            <w:r>
              <w:rPr/>
              <w:t> </w:t>
            </w:r>
          </w:p>
        </w:tc>
      </w:tr>
      <w:tr>
        <w:trPr/>
        <w:tc>
          <w:tcPr>
            <w:tcW w:w="6775"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9"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2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3" w:type="dxa"/>
            <w:tcBorders/>
            <w:shd w:fill="auto" w:val="clear"/>
            <w:vAlign w:val="bottom"/>
          </w:tcPr>
          <w:p>
            <w:pPr>
              <w:pStyle w:val="TableContents"/>
              <w:spacing w:before="0" w:after="283"/>
              <w:rPr/>
            </w:pPr>
            <w:r>
              <w:rPr/>
              <w:t> </w:t>
            </w:r>
          </w:p>
        </w:tc>
      </w:tr>
      <w:tr>
        <w:trPr/>
        <w:tc>
          <w:tcPr>
            <w:tcW w:w="6775" w:type="dxa"/>
            <w:tcBorders/>
            <w:shd w:fill="CCEEFF" w:val="clear"/>
            <w:vAlign w:val="bottom"/>
          </w:tcPr>
          <w:p>
            <w:pPr>
              <w:pStyle w:val="TableContents"/>
              <w:spacing w:before="0" w:after="0"/>
              <w:ind w:left="225" w:right="0" w:hanging="225"/>
              <w:rPr/>
            </w:pPr>
            <w:r>
              <w:rPr/>
              <w:t>Fresh fruit</w:t>
            </w:r>
          </w:p>
        </w:tc>
        <w:tc>
          <w:tcPr>
            <w:tcW w:w="44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5,279</w:t>
            </w:r>
          </w:p>
        </w:tc>
        <w:tc>
          <w:tcPr>
            <w:tcW w:w="119"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025" w:type="dxa"/>
            <w:tcBorders/>
            <w:shd w:fill="CCEEFF" w:val="clear"/>
            <w:vAlign w:val="bottom"/>
          </w:tcPr>
          <w:p>
            <w:pPr>
              <w:pStyle w:val="TableContents"/>
              <w:spacing w:before="0" w:after="283"/>
              <w:jc w:val="right"/>
              <w:rPr/>
            </w:pPr>
            <w:r>
              <w:rPr/>
              <w:t>3,525</w:t>
            </w:r>
          </w:p>
        </w:tc>
        <w:tc>
          <w:tcPr>
            <w:tcW w:w="123" w:type="dxa"/>
            <w:tcBorders/>
            <w:shd w:fill="CCEEFF" w:val="clear"/>
            <w:vAlign w:val="bottom"/>
          </w:tcPr>
          <w:p>
            <w:pPr>
              <w:pStyle w:val="TableContents"/>
              <w:spacing w:before="0" w:after="283"/>
              <w:rPr/>
            </w:pPr>
            <w:r>
              <w:rPr/>
              <w:t> </w:t>
            </w:r>
          </w:p>
        </w:tc>
      </w:tr>
      <w:tr>
        <w:trPr/>
        <w:tc>
          <w:tcPr>
            <w:tcW w:w="6775" w:type="dxa"/>
            <w:tcBorders/>
            <w:shd w:fill="auto" w:val="clear"/>
            <w:vAlign w:val="bottom"/>
          </w:tcPr>
          <w:p>
            <w:pPr>
              <w:pStyle w:val="TableContents"/>
              <w:spacing w:before="0" w:after="0"/>
              <w:ind w:left="225" w:right="0" w:hanging="225"/>
              <w:rPr/>
            </w:pPr>
            <w:r>
              <w:rPr/>
              <w:t>Packing supplies and ingredients</w:t>
            </w:r>
          </w:p>
        </w:tc>
        <w:tc>
          <w:tcPr>
            <w:tcW w:w="44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2,165</w:t>
            </w:r>
          </w:p>
        </w:tc>
        <w:tc>
          <w:tcPr>
            <w:tcW w:w="119"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2,015</w:t>
            </w:r>
          </w:p>
        </w:tc>
        <w:tc>
          <w:tcPr>
            <w:tcW w:w="123" w:type="dxa"/>
            <w:tcBorders/>
            <w:shd w:fill="auto" w:val="clear"/>
            <w:vAlign w:val="bottom"/>
          </w:tcPr>
          <w:p>
            <w:pPr>
              <w:pStyle w:val="TableContents"/>
              <w:spacing w:before="0" w:after="283"/>
              <w:rPr/>
            </w:pPr>
            <w:r>
              <w:rPr/>
              <w:t> </w:t>
            </w:r>
          </w:p>
        </w:tc>
      </w:tr>
      <w:tr>
        <w:trPr/>
        <w:tc>
          <w:tcPr>
            <w:tcW w:w="6775" w:type="dxa"/>
            <w:tcBorders/>
            <w:shd w:fill="CCEEFF" w:val="clear"/>
            <w:vAlign w:val="bottom"/>
          </w:tcPr>
          <w:p>
            <w:pPr>
              <w:pStyle w:val="TableContents"/>
              <w:spacing w:before="0" w:after="0"/>
              <w:ind w:left="225" w:right="0" w:hanging="225"/>
              <w:rPr/>
            </w:pPr>
            <w:r>
              <w:rPr/>
              <w:t>Finished processed foods</w:t>
            </w:r>
          </w:p>
        </w:tc>
        <w:tc>
          <w:tcPr>
            <w:tcW w:w="44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3,058</w:t>
            </w:r>
          </w:p>
        </w:tc>
        <w:tc>
          <w:tcPr>
            <w:tcW w:w="119"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4,556</w:t>
            </w:r>
          </w:p>
        </w:tc>
        <w:tc>
          <w:tcPr>
            <w:tcW w:w="123" w:type="dxa"/>
            <w:tcBorders/>
            <w:shd w:fill="CCEEFF" w:val="clear"/>
            <w:vAlign w:val="bottom"/>
          </w:tcPr>
          <w:p>
            <w:pPr>
              <w:pStyle w:val="TableContents"/>
              <w:spacing w:before="0" w:after="283"/>
              <w:rPr/>
            </w:pPr>
            <w:r>
              <w:rPr/>
              <w:t> </w:t>
            </w:r>
          </w:p>
        </w:tc>
      </w:tr>
      <w:tr>
        <w:trPr/>
        <w:tc>
          <w:tcPr>
            <w:tcW w:w="6775" w:type="dxa"/>
            <w:tcBorders/>
            <w:shd w:fill="auto" w:val="clear"/>
            <w:vAlign w:val="center"/>
          </w:tcPr>
          <w:p>
            <w:pPr>
              <w:pStyle w:val="TableContents"/>
              <w:spacing w:before="0" w:after="0"/>
              <w:ind w:left="225" w:right="0" w:hanging="225"/>
              <w:rPr/>
            </w:pPr>
            <w:r>
              <w:rPr/>
              <w:t> </w:t>
            </w:r>
          </w:p>
        </w:tc>
        <w:tc>
          <w:tcPr>
            <w:tcW w:w="449"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12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775" w:type="dxa"/>
            <w:tcBorders/>
            <w:shd w:fill="auto" w:val="clear"/>
            <w:vAlign w:val="bottom"/>
          </w:tcPr>
          <w:p>
            <w:pPr>
              <w:pStyle w:val="TableContents"/>
              <w:spacing w:before="0" w:after="0"/>
              <w:ind w:left="225" w:right="0" w:hanging="225"/>
              <w:rPr/>
            </w:pPr>
            <w:r>
              <w:rPr/>
              <w:t> </w:t>
            </w:r>
          </w:p>
        </w:tc>
        <w:tc>
          <w:tcPr>
            <w:tcW w:w="44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10,502</w:t>
            </w:r>
          </w:p>
        </w:tc>
        <w:tc>
          <w:tcPr>
            <w:tcW w:w="119"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025" w:type="dxa"/>
            <w:tcBorders/>
            <w:shd w:fill="auto" w:val="clear"/>
            <w:vAlign w:val="bottom"/>
          </w:tcPr>
          <w:p>
            <w:pPr>
              <w:pStyle w:val="TableContents"/>
              <w:spacing w:before="0" w:after="283"/>
              <w:jc w:val="right"/>
              <w:rPr/>
            </w:pPr>
            <w:r>
              <w:rPr/>
              <w:t>10,096</w:t>
            </w:r>
          </w:p>
        </w:tc>
        <w:tc>
          <w:tcPr>
            <w:tcW w:w="123" w:type="dxa"/>
            <w:tcBorders/>
            <w:shd w:fill="auto" w:val="clear"/>
            <w:vAlign w:val="bottom"/>
          </w:tcPr>
          <w:p>
            <w:pPr>
              <w:pStyle w:val="TableContents"/>
              <w:spacing w:before="0" w:after="283"/>
              <w:rPr/>
            </w:pPr>
            <w:r>
              <w:rPr/>
              <w:t> </w:t>
            </w:r>
          </w:p>
        </w:tc>
      </w:tr>
      <w:tr>
        <w:trPr/>
        <w:tc>
          <w:tcPr>
            <w:tcW w:w="6775" w:type="dxa"/>
            <w:tcBorders/>
            <w:shd w:fill="auto" w:val="clear"/>
            <w:vAlign w:val="center"/>
          </w:tcPr>
          <w:p>
            <w:pPr>
              <w:pStyle w:val="TableContents"/>
              <w:spacing w:before="0" w:after="0"/>
              <w:ind w:left="225" w:right="0" w:hanging="225"/>
              <w:rPr/>
            </w:pPr>
            <w:r>
              <w:rPr/>
              <w:t> </w:t>
            </w:r>
          </w:p>
        </w:tc>
        <w:tc>
          <w:tcPr>
            <w:tcW w:w="449"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12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During the three and six month periods ended April 30, 2006 and 2005, we were not required to, and did not, record any provisions to reduce our inventories to the lower of cost or market.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$2,591,000, and $3,423,000 for the six months ended April 30, 2006 and 2005, resulting in gross margins of approximately $203,000 and $249,000. Sales of papayas procured from the related entity amounted to approximately $1,324,000, and $1,603,000 for the three months ended April 30, 2006 and 2005, resulting in gross margins of approximately $90,000 and $99,000. Included in accrued liabilities are approximately $278,000 and $79,000 at April 30, 2006 and October 31, 2005 due to this entity. </w:t>
      </w:r>
    </w:p>
    <w:p>
      <w:pPr>
        <w:pStyle w:val="TextBody"/>
        <w:spacing w:before="120" w:after="283"/>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months ended April 30, 2006 and 2005, the aggregate amount of avocados procured from entities owned or controlled by members of our Board of Directors was $4.5 million and $1.7 million. During the six months ended April 30, 2006 and 2005, the aggregate amount of avocados procured from entities owned or controlled by members of our Board of Directors was $6.2 million and $2.1 million. </w:t>
      </w:r>
    </w:p>
    <w:p>
      <w:pPr>
        <w:pStyle w:val="TextBody"/>
        <w:spacing w:before="120" w:after="283"/>
        <w:jc w:val="left"/>
        <w:rPr/>
      </w:pPr>
      <w:r>
        <w:rPr/>
        <w:t>     </w:t>
      </w:r>
      <w:r>
        <w:rPr>
          <w:rFonts w:ascii="Times New Roman;Times;serif" w:hAnsi="Times New Roman;Times;serif"/>
          <w:sz w:val="17"/>
        </w:rPr>
        <w:t xml:space="preserve">In December 2005, we repurchased 120,000 shares of our common stock at an average price per share of $10.00 from the estate of a deceased former member of our Board of Directors.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Included in other assets in the accompanying consolidated condensed financial statements are the following intangible assets: customer-related intangibles of $590,000 (accumulated amortization of $265,000 at April 30, 2006), brand name intangibles of $275,000 and other identified intangibles totaling $2,000 (accumulated amortization of $2,000 at April 30, 2006). The customer-related intangibles are being amortized over five years. The other identified intangibles are fully amortized as of April 30, 2006. The intangible asset related to the brand name currently has an indefinite remaining useful life and, as a result, is not currently subject to amortization. We anticipate recording amortization expense of approximately $59,000 for the remainder of fiscal 2006 and approximately $118,000 per annum for fiscal 2007 through fiscal 2008, with the remaining amortization expense of approximately $30,000 recorded in fiscal 2009.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Stock-Based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2001, our Board of Directors approved two stock-based compensation plans.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The Directors Stock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anticipate terminating this plan during fiscal 2006. Outstanding options would not be impacted by such termination. </w:t>
      </w:r>
    </w:p>
    <w:p>
      <w:pPr>
        <w:pStyle w:val="TextBody"/>
        <w:spacing w:before="120" w:after="283"/>
        <w:jc w:val="left"/>
        <w:rPr/>
      </w:pPr>
      <w:r>
        <w:rPr/>
        <w:t>     </w:t>
      </w:r>
      <w:r>
        <w:rPr>
          <w:rFonts w:ascii="Times New Roman;Times;serif" w:hAnsi="Times New Roman;Times;serif"/>
          <w:sz w:val="17"/>
        </w:rPr>
        <w:t xml:space="preserve">In January 2002, members of our Board of Directors elected to exercise options to purchase approximately 1,005,000 shares of common stock. The exercise price was paid by delivery of full-recourse promissory notes with a face value of $4,789,000 and by cash payments of approximately $236,000. These notes and the related security agreements provide, among other things, that each director pledge as collateral the shares acquired upon exercise of the stock option, as well as additional shares of common stock held by the directors with a value equal to 10% of the loan amount, if the exercise price was paid by means of a full-recourse note. The notes, which bear interest at 7% per annum, provide for annual interest payments with a final principal payment due March 1, 2007. Directors will be allowed to withdraw shares from the pledged pool of common stock prior to repayment of their notes, as long as the fair value of the remaining pledged shares is at least equal to 120% of the outstanding note balance. The notes have been presented as a reduction of shareholders equity as of April 30, 2006 and October 31, 2005. </w:t>
      </w:r>
    </w:p>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the related stock option agreements were modified to shorten the option terms, as defined. Such modifications were contemplated primarily as a result of Section 409A of the tax code. During the three months ended April 30, 2006 and 2005, we recognized approximately $13,000 of compensation expense with respect to these stock option awards. During the six months ended April 30, 2006 and 2005, we recognized approximately $25,000 of compensation expense with respect to these stock option awards. </w:t>
      </w:r>
    </w:p>
    <w:p>
      <w:pPr>
        <w:pStyle w:val="TextBody"/>
        <w:spacing w:before="120" w:after="283"/>
        <w:jc w:val="left"/>
        <w:rPr/>
      </w:pPr>
      <w:r>
        <w:rPr/>
        <w:t>     </w:t>
      </w:r>
      <w:r>
        <w:rPr>
          <w:rFonts w:ascii="Times New Roman;Times;serif" w:hAnsi="Times New Roman;Times;serif"/>
          <w:sz w:val="17"/>
        </w:rPr>
        <w:t xml:space="preserve">A summary of stock option activity follows (in thousands, except for per share amounts): </w:t>
      </w:r>
    </w:p>
    <w:tbl>
      <w:tblPr>
        <w:tblW w:w="5000" w:type="pct"/>
        <w:jc w:val="center"/>
        <w:tblInd w:w="0" w:type="dxa"/>
        <w:tblCellMar>
          <w:top w:w="0" w:type="dxa"/>
          <w:left w:w="0" w:type="dxa"/>
          <w:bottom w:w="0" w:type="dxa"/>
          <w:right w:w="0" w:type="dxa"/>
        </w:tblCellMar>
      </w:tblPr>
      <w:tblGrid>
        <w:gridCol w:w="3377"/>
        <w:gridCol w:w="219"/>
        <w:gridCol w:w="271"/>
        <w:gridCol w:w="1678"/>
        <w:gridCol w:w="121"/>
        <w:gridCol w:w="499"/>
        <w:gridCol w:w="465"/>
        <w:gridCol w:w="1526"/>
        <w:gridCol w:w="88"/>
        <w:gridCol w:w="360"/>
        <w:gridCol w:w="413"/>
        <w:gridCol w:w="1122"/>
        <w:gridCol w:w="66"/>
      </w:tblGrid>
      <w:tr>
        <w:trPr/>
        <w:tc>
          <w:tcPr>
            <w:tcW w:w="337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7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r>
      <w:tr>
        <w:trPr/>
        <w:tc>
          <w:tcPr>
            <w:tcW w:w="337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7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991" w:type="dxa"/>
            <w:gridSpan w:val="2"/>
            <w:tcBorders/>
            <w:shd w:fill="auto" w:val="clear"/>
            <w:vAlign w:val="bottom"/>
          </w:tcPr>
          <w:p>
            <w:pPr>
              <w:pStyle w:val="TableContents"/>
              <w:spacing w:before="0" w:after="283"/>
              <w:jc w:val="center"/>
              <w:rPr>
                <w:b/>
              </w:rPr>
            </w:pPr>
            <w:r>
              <w:rPr>
                <w:b/>
              </w:rPr>
              <w:t>Weighted-Average</w:t>
            </w:r>
          </w:p>
        </w:tc>
        <w:tc>
          <w:tcPr>
            <w:tcW w:w="88"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35" w:type="dxa"/>
            <w:gridSpan w:val="2"/>
            <w:tcBorders/>
            <w:shd w:fill="auto" w:val="clear"/>
            <w:vAlign w:val="bottom"/>
          </w:tcPr>
          <w:p>
            <w:pPr>
              <w:pStyle w:val="TableContents"/>
              <w:spacing w:before="0" w:after="283"/>
              <w:jc w:val="center"/>
              <w:rPr>
                <w:b/>
              </w:rPr>
            </w:pPr>
            <w:r>
              <w:rPr>
                <w:b/>
              </w:rPr>
              <w:t>Aggregate</w:t>
            </w:r>
          </w:p>
        </w:tc>
        <w:tc>
          <w:tcPr>
            <w:tcW w:w="66" w:type="dxa"/>
            <w:tcBorders/>
            <w:shd w:fill="auto" w:val="clear"/>
            <w:vAlign w:val="bottom"/>
          </w:tcPr>
          <w:p>
            <w:pPr>
              <w:pStyle w:val="TableContents"/>
              <w:spacing w:before="0" w:after="283"/>
              <w:rPr/>
            </w:pPr>
            <w:r>
              <w:rPr/>
              <w:t> </w:t>
            </w:r>
          </w:p>
        </w:tc>
      </w:tr>
      <w:tr>
        <w:trPr/>
        <w:tc>
          <w:tcPr>
            <w:tcW w:w="337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 Shares</w:t>
            </w:r>
          </w:p>
        </w:tc>
        <w:tc>
          <w:tcPr>
            <w:tcW w:w="12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9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Price</w:t>
            </w:r>
          </w:p>
        </w:tc>
        <w:tc>
          <w:tcPr>
            <w:tcW w:w="88"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Intrinsic Value</w:t>
            </w:r>
          </w:p>
        </w:tc>
        <w:tc>
          <w:tcPr>
            <w:tcW w:w="66" w:type="dxa"/>
            <w:tcBorders/>
            <w:shd w:fill="auto" w:val="clear"/>
            <w:vAlign w:val="bottom"/>
          </w:tcPr>
          <w:p>
            <w:pPr>
              <w:pStyle w:val="TableContents"/>
              <w:spacing w:before="0" w:after="283"/>
              <w:rPr/>
            </w:pPr>
            <w:r>
              <w:rPr/>
              <w:t> </w:t>
            </w:r>
          </w:p>
        </w:tc>
      </w:tr>
      <w:tr>
        <w:trPr/>
        <w:tc>
          <w:tcPr>
            <w:tcW w:w="3377" w:type="dxa"/>
            <w:tcBorders/>
            <w:shd w:fill="CCEEFF" w:val="clear"/>
            <w:vAlign w:val="bottom"/>
          </w:tcPr>
          <w:p>
            <w:pPr>
              <w:pStyle w:val="TableContents"/>
              <w:spacing w:before="0" w:after="0"/>
              <w:ind w:left="225" w:right="0" w:hanging="225"/>
              <w:rPr/>
            </w:pPr>
            <w:r>
              <w:rPr/>
              <w:t>Outstanding at October 31, 2005</w:t>
            </w:r>
          </w:p>
        </w:tc>
        <w:tc>
          <w:tcPr>
            <w:tcW w:w="219"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678" w:type="dxa"/>
            <w:tcBorders/>
            <w:shd w:fill="CCEEFF" w:val="clear"/>
            <w:vAlign w:val="bottom"/>
          </w:tcPr>
          <w:p>
            <w:pPr>
              <w:pStyle w:val="TableContents"/>
              <w:spacing w:before="0" w:after="283"/>
              <w:jc w:val="right"/>
              <w:rPr/>
            </w:pPr>
            <w:r>
              <w:rPr/>
              <w:t>100</w:t>
            </w:r>
          </w:p>
        </w:tc>
        <w:tc>
          <w:tcPr>
            <w:tcW w:w="121"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jc w:val="left"/>
              <w:rPr/>
            </w:pPr>
            <w:r>
              <w:rPr/>
              <w:t>$</w:t>
            </w:r>
          </w:p>
        </w:tc>
        <w:tc>
          <w:tcPr>
            <w:tcW w:w="1526" w:type="dxa"/>
            <w:tcBorders/>
            <w:shd w:fill="CCEEFF" w:val="clear"/>
            <w:vAlign w:val="bottom"/>
          </w:tcPr>
          <w:p>
            <w:pPr>
              <w:pStyle w:val="TableContents"/>
              <w:spacing w:before="0" w:after="283"/>
              <w:jc w:val="right"/>
              <w:rPr/>
            </w:pPr>
            <w:r>
              <w:rPr/>
              <w:t>6.00</w:t>
            </w:r>
          </w:p>
        </w:tc>
        <w:tc>
          <w:tcPr>
            <w:tcW w:w="88"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left"/>
              <w:rPr/>
            </w:pPr>
            <w:r>
              <w:rPr/>
              <w:t> </w:t>
            </w:r>
          </w:p>
        </w:tc>
        <w:tc>
          <w:tcPr>
            <w:tcW w:w="1122"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3377" w:type="dxa"/>
            <w:tcBorders/>
            <w:shd w:fill="auto" w:val="clear"/>
            <w:vAlign w:val="bottom"/>
          </w:tcPr>
          <w:p>
            <w:pPr>
              <w:pStyle w:val="TableContents"/>
              <w:spacing w:before="0" w:after="0"/>
              <w:ind w:left="225" w:right="0" w:hanging="225"/>
              <w:rPr/>
            </w:pPr>
            <w:r>
              <w:rPr/>
              <w:t>Exercised</w:t>
            </w:r>
          </w:p>
        </w:tc>
        <w:tc>
          <w:tcPr>
            <w:tcW w:w="21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left"/>
              <w:rPr/>
            </w:pPr>
            <w:r>
              <w:rPr/>
              <w:t> </w:t>
            </w:r>
          </w:p>
        </w:tc>
        <w:tc>
          <w:tcPr>
            <w:tcW w:w="1678" w:type="dxa"/>
            <w:tcBorders/>
            <w:shd w:fill="auto" w:val="clear"/>
            <w:vAlign w:val="bottom"/>
          </w:tcPr>
          <w:p>
            <w:pPr>
              <w:pStyle w:val="TableContents"/>
              <w:spacing w:before="0" w:after="283"/>
              <w:jc w:val="right"/>
              <w:rPr/>
            </w:pPr>
            <w:r>
              <w:rPr/>
              <w:t>(50</w:t>
            </w:r>
          </w:p>
        </w:tc>
        <w:tc>
          <w:tcPr>
            <w:tcW w:w="121" w:type="dxa"/>
            <w:tcBorders/>
            <w:shd w:fill="auto" w:val="clear"/>
            <w:vAlign w:val="bottom"/>
          </w:tcPr>
          <w:p>
            <w:pPr>
              <w:pStyle w:val="TableContents"/>
              <w:spacing w:before="0" w:after="283"/>
              <w:rPr/>
            </w:pPr>
            <w:r>
              <w:rPr/>
              <w:t>)</w:t>
            </w:r>
          </w:p>
        </w:tc>
        <w:tc>
          <w:tcPr>
            <w:tcW w:w="4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jc w:val="left"/>
              <w:rPr/>
            </w:pPr>
            <w:r>
              <w:rPr/>
              <w:t>$</w:t>
            </w:r>
          </w:p>
        </w:tc>
        <w:tc>
          <w:tcPr>
            <w:tcW w:w="1526" w:type="dxa"/>
            <w:tcBorders/>
            <w:shd w:fill="auto" w:val="clear"/>
            <w:vAlign w:val="bottom"/>
          </w:tcPr>
          <w:p>
            <w:pPr>
              <w:pStyle w:val="TableContents"/>
              <w:spacing w:before="0" w:after="283"/>
              <w:jc w:val="right"/>
              <w:rPr/>
            </w:pPr>
            <w:r>
              <w:rPr/>
              <w:t>5.00</w:t>
            </w:r>
          </w:p>
        </w:tc>
        <w:tc>
          <w:tcPr>
            <w:tcW w:w="88"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left"/>
              <w:rPr/>
            </w:pPr>
            <w:r>
              <w:rPr/>
              <w:t> </w:t>
            </w:r>
          </w:p>
        </w:tc>
        <w:tc>
          <w:tcPr>
            <w:tcW w:w="112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3377" w:type="dxa"/>
            <w:tcBorders/>
            <w:shd w:fill="auto" w:val="clear"/>
            <w:vAlign w:val="center"/>
          </w:tcPr>
          <w:p>
            <w:pPr>
              <w:pStyle w:val="TableContents"/>
              <w:spacing w:before="0" w:after="0"/>
              <w:ind w:left="225" w:right="0" w:hanging="225"/>
              <w:rPr/>
            </w:pPr>
            <w:r>
              <w:rPr/>
              <w:t> </w:t>
            </w:r>
          </w:p>
        </w:tc>
        <w:tc>
          <w:tcPr>
            <w:tcW w:w="219" w:type="dxa"/>
            <w:tcBorders/>
            <w:shd w:fill="auto" w:val="clear"/>
            <w:vAlign w:val="center"/>
          </w:tcPr>
          <w:p>
            <w:pPr>
              <w:pStyle w:val="TableContents"/>
              <w:spacing w:before="0" w:after="283"/>
              <w:rPr/>
            </w:pPr>
            <w:r>
              <w:rPr/>
              <w:t> </w:t>
            </w:r>
          </w:p>
        </w:tc>
        <w:tc>
          <w:tcPr>
            <w:tcW w:w="19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99"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1526"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961" w:type="dxa"/>
            <w:gridSpan w:val="4"/>
            <w:tcBorders/>
            <w:shd w:fill="auto" w:val="clear"/>
          </w:tcPr>
          <w:p>
            <w:pPr>
              <w:pStyle w:val="TableContents"/>
              <w:spacing w:before="0" w:after="283"/>
              <w:rPr>
                <w:sz w:val="4"/>
                <w:szCs w:val="4"/>
              </w:rPr>
            </w:pPr>
            <w:r>
              <w:rPr>
                <w:sz w:val="4"/>
                <w:szCs w:val="4"/>
              </w:rPr>
            </w:r>
          </w:p>
        </w:tc>
      </w:tr>
      <w:tr>
        <w:trPr/>
        <w:tc>
          <w:tcPr>
            <w:tcW w:w="3377" w:type="dxa"/>
            <w:tcBorders/>
            <w:shd w:fill="CCEEFF" w:val="clear"/>
            <w:vAlign w:val="bottom"/>
          </w:tcPr>
          <w:p>
            <w:pPr>
              <w:pStyle w:val="TableContents"/>
              <w:spacing w:before="0" w:after="0"/>
              <w:ind w:left="225" w:right="0" w:hanging="225"/>
              <w:rPr/>
            </w:pPr>
            <w:r>
              <w:rPr/>
              <w:t>Outstanding at April 30, 2006</w:t>
            </w:r>
          </w:p>
        </w:tc>
        <w:tc>
          <w:tcPr>
            <w:tcW w:w="219"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678" w:type="dxa"/>
            <w:tcBorders/>
            <w:shd w:fill="CCEEFF" w:val="clear"/>
            <w:vAlign w:val="bottom"/>
          </w:tcPr>
          <w:p>
            <w:pPr>
              <w:pStyle w:val="TableContents"/>
              <w:spacing w:before="0" w:after="283"/>
              <w:jc w:val="right"/>
              <w:rPr/>
            </w:pPr>
            <w:r>
              <w:rPr/>
              <w:t>50</w:t>
            </w:r>
          </w:p>
        </w:tc>
        <w:tc>
          <w:tcPr>
            <w:tcW w:w="121"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jc w:val="left"/>
              <w:rPr/>
            </w:pPr>
            <w:r>
              <w:rPr/>
              <w:t>$</w:t>
            </w:r>
          </w:p>
        </w:tc>
        <w:tc>
          <w:tcPr>
            <w:tcW w:w="1526" w:type="dxa"/>
            <w:tcBorders/>
            <w:shd w:fill="CCEEFF" w:val="clear"/>
            <w:vAlign w:val="bottom"/>
          </w:tcPr>
          <w:p>
            <w:pPr>
              <w:pStyle w:val="TableContents"/>
              <w:spacing w:before="0" w:after="283"/>
              <w:jc w:val="right"/>
              <w:rPr/>
            </w:pPr>
            <w:r>
              <w:rPr/>
              <w:t>7.00</w:t>
            </w:r>
          </w:p>
        </w:tc>
        <w:tc>
          <w:tcPr>
            <w:tcW w:w="88"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left"/>
              <w:rPr/>
            </w:pPr>
            <w:r>
              <w:rPr/>
              <w:t>$</w:t>
            </w:r>
          </w:p>
        </w:tc>
        <w:tc>
          <w:tcPr>
            <w:tcW w:w="1122" w:type="dxa"/>
            <w:tcBorders/>
            <w:shd w:fill="CCEEFF" w:val="clear"/>
            <w:vAlign w:val="bottom"/>
          </w:tcPr>
          <w:p>
            <w:pPr>
              <w:pStyle w:val="TableContents"/>
              <w:spacing w:before="0" w:after="283"/>
              <w:jc w:val="right"/>
              <w:rPr/>
            </w:pPr>
            <w:r>
              <w:rPr/>
              <w:t>194</w:t>
            </w:r>
          </w:p>
        </w:tc>
        <w:tc>
          <w:tcPr>
            <w:tcW w:w="66" w:type="dxa"/>
            <w:tcBorders/>
            <w:shd w:fill="CCEEFF" w:val="clear"/>
            <w:vAlign w:val="bottom"/>
          </w:tcPr>
          <w:p>
            <w:pPr>
              <w:pStyle w:val="TableContents"/>
              <w:spacing w:before="0" w:after="283"/>
              <w:rPr/>
            </w:pPr>
            <w:r>
              <w:rPr/>
              <w:t> </w:t>
            </w:r>
          </w:p>
        </w:tc>
      </w:tr>
      <w:tr>
        <w:trPr/>
        <w:tc>
          <w:tcPr>
            <w:tcW w:w="3377" w:type="dxa"/>
            <w:tcBorders/>
            <w:shd w:fill="auto" w:val="clear"/>
            <w:vAlign w:val="center"/>
          </w:tcPr>
          <w:p>
            <w:pPr>
              <w:pStyle w:val="TableContents"/>
              <w:spacing w:before="0" w:after="0"/>
              <w:ind w:left="225" w:right="0" w:hanging="225"/>
              <w:rPr/>
            </w:pPr>
            <w:r>
              <w:rPr/>
              <w:t> </w:t>
            </w:r>
          </w:p>
        </w:tc>
        <w:tc>
          <w:tcPr>
            <w:tcW w:w="219" w:type="dxa"/>
            <w:tcBorders/>
            <w:shd w:fill="auto" w:val="clear"/>
            <w:vAlign w:val="center"/>
          </w:tcPr>
          <w:p>
            <w:pPr>
              <w:pStyle w:val="TableContents"/>
              <w:spacing w:before="0" w:after="283"/>
              <w:rPr/>
            </w:pPr>
            <w:r>
              <w:rPr/>
              <w:t> </w:t>
            </w:r>
          </w:p>
        </w:tc>
        <w:tc>
          <w:tcPr>
            <w:tcW w:w="19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99"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1526"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5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r>
      <w:tr>
        <w:trPr/>
        <w:tc>
          <w:tcPr>
            <w:tcW w:w="3377" w:type="dxa"/>
            <w:tcBorders/>
            <w:shd w:fill="auto" w:val="clear"/>
            <w:vAlign w:val="bottom"/>
          </w:tcPr>
          <w:p>
            <w:pPr>
              <w:pStyle w:val="TableContents"/>
              <w:spacing w:before="0" w:after="0"/>
              <w:ind w:left="225" w:right="0" w:hanging="225"/>
              <w:rPr/>
            </w:pPr>
            <w:r>
              <w:rPr/>
              <w:t>Exercisable at April 30, 2006</w:t>
            </w:r>
          </w:p>
        </w:tc>
        <w:tc>
          <w:tcPr>
            <w:tcW w:w="21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78" w:type="dxa"/>
            <w:tcBorders/>
            <w:shd w:fill="auto" w:val="clear"/>
            <w:vAlign w:val="bottom"/>
          </w:tcPr>
          <w:p>
            <w:pPr>
              <w:pStyle w:val="TableContents"/>
              <w:spacing w:before="0" w:after="283"/>
              <w:jc w:val="right"/>
              <w:rPr/>
            </w:pPr>
            <w:r>
              <w:rPr/>
              <w:t>17</w:t>
            </w:r>
          </w:p>
        </w:tc>
        <w:tc>
          <w:tcPr>
            <w:tcW w:w="12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jc w:val="left"/>
              <w:rPr/>
            </w:pPr>
            <w:r>
              <w:rPr/>
              <w:t>$</w:t>
            </w:r>
          </w:p>
        </w:tc>
        <w:tc>
          <w:tcPr>
            <w:tcW w:w="1526" w:type="dxa"/>
            <w:tcBorders/>
            <w:shd w:fill="auto" w:val="clear"/>
            <w:vAlign w:val="bottom"/>
          </w:tcPr>
          <w:p>
            <w:pPr>
              <w:pStyle w:val="TableContents"/>
              <w:spacing w:before="0" w:after="283"/>
              <w:jc w:val="right"/>
              <w:rPr/>
            </w:pPr>
            <w:r>
              <w:rPr/>
              <w:t>7.00</w:t>
            </w:r>
          </w:p>
        </w:tc>
        <w:tc>
          <w:tcPr>
            <w:tcW w:w="88"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left"/>
              <w:rPr/>
            </w:pPr>
            <w:r>
              <w:rPr/>
              <w:t>$</w:t>
            </w:r>
          </w:p>
        </w:tc>
        <w:tc>
          <w:tcPr>
            <w:tcW w:w="1122" w:type="dxa"/>
            <w:tcBorders/>
            <w:shd w:fill="auto" w:val="clear"/>
            <w:vAlign w:val="bottom"/>
          </w:tcPr>
          <w:p>
            <w:pPr>
              <w:pStyle w:val="TableContents"/>
              <w:spacing w:before="0" w:after="283"/>
              <w:jc w:val="right"/>
              <w:rPr/>
            </w:pPr>
            <w:r>
              <w:rPr/>
              <w:t>66</w:t>
            </w:r>
          </w:p>
        </w:tc>
        <w:tc>
          <w:tcPr>
            <w:tcW w:w="66" w:type="dxa"/>
            <w:tcBorders/>
            <w:shd w:fill="auto" w:val="clear"/>
            <w:vAlign w:val="bottom"/>
          </w:tcPr>
          <w:p>
            <w:pPr>
              <w:pStyle w:val="TableContents"/>
              <w:spacing w:before="0" w:after="283"/>
              <w:rPr/>
            </w:pPr>
            <w:r>
              <w:rPr/>
              <w:t> </w:t>
            </w:r>
          </w:p>
        </w:tc>
      </w:tr>
      <w:tr>
        <w:trPr/>
        <w:tc>
          <w:tcPr>
            <w:tcW w:w="3377" w:type="dxa"/>
            <w:tcBorders/>
            <w:shd w:fill="auto" w:val="clear"/>
            <w:vAlign w:val="center"/>
          </w:tcPr>
          <w:p>
            <w:pPr>
              <w:pStyle w:val="TableContents"/>
              <w:spacing w:before="0" w:after="0"/>
              <w:ind w:left="225" w:right="0" w:hanging="225"/>
              <w:rPr/>
            </w:pPr>
            <w:r>
              <w:rPr/>
              <w:t> </w:t>
            </w:r>
          </w:p>
        </w:tc>
        <w:tc>
          <w:tcPr>
            <w:tcW w:w="219" w:type="dxa"/>
            <w:tcBorders/>
            <w:shd w:fill="auto" w:val="clear"/>
            <w:vAlign w:val="center"/>
          </w:tcPr>
          <w:p>
            <w:pPr>
              <w:pStyle w:val="TableContents"/>
              <w:spacing w:before="0" w:after="283"/>
              <w:rPr/>
            </w:pPr>
            <w:r>
              <w:rPr/>
              <w:t> </w:t>
            </w:r>
          </w:p>
        </w:tc>
        <w:tc>
          <w:tcPr>
            <w:tcW w:w="19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499"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1526"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5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weighted average remaining life of such outstanding options is 2.64 years and the total intrinsic value of options exercised during the six months ended April 30, 2006 was $0.1 million. At April 30, 2006, the total unrecognized fair value compensation cost related to such unvested stock options awards was approximately $33,000, which is expected to be recognized over the remaining period of eight months.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The Employee Stock Purchase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In March 2002, the Board of Directors awarded selected employees the opportunity to purchase up to 474,000 shares of common stock at $7.00 per share, the closing price of our common stock on the date prior to the grant. The plan also permits us to advance all or some of the purchase price of the purchased stock to the employee upon the execution of a full-recourse note at prevailing interest rates. These awards expired in April 2002, with 84 participating employees electing to purchase approximately 279,000 shares. </w:t>
      </w:r>
    </w:p>
    <w:p>
      <w:pPr>
        <w:pStyle w:val="TextBody"/>
        <w:spacing w:before="120" w:after="283"/>
        <w:jc w:val="left"/>
        <w:rPr/>
      </w:pPr>
      <w:r>
        <w:rPr/>
        <w:t>     </w:t>
      </w:r>
      <w:r>
        <w:rPr>
          <w:rFonts w:ascii="Times New Roman;Times;serif" w:hAnsi="Times New Roman;Times;serif"/>
          <w:sz w:val="17"/>
        </w:rPr>
        <w:t xml:space="preserve">The purchase price was paid by delivery of full-recourse promissory notes with a face value of $1,352,000 and by cash payments of approximately $600,000. These notes and the related security agreements provide, among other things, that each employee pledge as collateral the shares acquired. The notes, which bear interest at 7% per annum, provide for annual interest and principal payments for a period of two to four years. The notes have been presented as a reduction of shareholders equity as of April 30, 2006 and October 31, 2005.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The 2005 Stock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Incentive stock options that are intended to satisfy the requirements of Section 422 of the Internal Revenue Code of 1986, as amended, and the regulations thereunder;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Non-qualified stock options that are not intended to be incentive stock options; and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Shares of common stock that are subject to specified restrictions</w:t>
            </w:r>
          </w:p>
        </w:tc>
      </w:tr>
    </w:tbl>
    <w:p>
      <w:pPr>
        <w:pStyle w:val="TextBody"/>
        <w:spacing w:before="120" w:after="283"/>
        <w:jc w:val="left"/>
        <w:rPr/>
      </w:pPr>
      <w:r>
        <w:rPr/>
        <w:t>     </w:t>
      </w:r>
      <w:r>
        <w:rPr>
          <w:rFonts w:ascii="Times New Roman;Times;serif" w:hAnsi="Times New Roman;Times;serif"/>
          <w:sz w:val="17"/>
        </w:rPr>
        <w:t xml:space="preserve">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 </w:t>
      </w:r>
    </w:p>
    <w:p>
      <w:pPr>
        <w:pStyle w:val="TextBody"/>
        <w:spacing w:before="120" w:after="283"/>
        <w:jc w:val="left"/>
        <w:rPr/>
      </w:pPr>
      <w:r>
        <w:rPr/>
        <w:t>     </w:t>
      </w:r>
      <w:r>
        <w:rPr>
          <w:rFonts w:ascii="Times New Roman;Times;serif" w:hAnsi="Times New Roman;Times;serif"/>
          <w:sz w:val="17"/>
        </w:rPr>
        <w:t xml:space="preserve">In August 2005, our Board of Directors approved the issuance of options to acquire a total of 400,000 shares of our common stock to various employees of the Company. As discussed in footnote 1, these options now vest in August 2006. See footnote 1 for further explanation. These options have an exercise price of $9.10 per share and a term of 5 years from the grant date. The market price of our common stock at the grant date was $9.10. During the six months ended April 30, 2006, 9,000 options have been forfeited, and the total intrinsic value of options outstanding was $0.7 million.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7.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2006, we paid a $0.32 per share dividend in the aggregate amount of $4.6 million to shareholders of record on December 15, 2005. In January 2005, we paid a $0.30 per share dividend in the aggregate amount of $4,052,000 to shareholders of record on November 15, 2004.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Grower Development Program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our Grower Development Program, whereby funds can be advanced to growers in exchange for their commitment to deliver a minimum volume of avocados on an annual basis, which generally extends over a multi-year period (i.e. 10 years), we advanced approximately $1.2 million during the six months of fiscal 2006. We expect to advance an additional $2.0 million, via either cash or debt restructuring, in October 2006. Advances are not repaid and are amortized to cost of goods sold over the term of the related agreement. Amortization related to the advances described above are not expected to commence until October 2006.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April 30, 2006. We pledged our processed products building located in Uruapan, Michoacan, Mexico as collateral to the Hacienda in regards to this assessment.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Management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Pursuant to our 2006 Management Incentive Plan Program (the MIP Program), we recorded approximately $0.2 million of compensation expense during the six months ended April 30, 2006. Amounts accrued pursuant to our MIP Program are not expected to be paid until fiscal 2007.</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10" w:name="108"/>
      <w:bookmarkStart w:id="11" w:name="108"/>
      <w:bookmarkEnd w:id="11"/>
    </w:p>
    <w:tbl>
      <w:tblPr>
        <w:tblW w:w="5000" w:type="pct"/>
        <w:jc w:val="left"/>
        <w:tblInd w:w="0" w:type="dxa"/>
        <w:tblCellMar>
          <w:top w:w="0" w:type="dxa"/>
          <w:left w:w="0" w:type="dxa"/>
          <w:bottom w:w="0" w:type="dxa"/>
          <w:right w:w="0" w:type="dxa"/>
        </w:tblCellMar>
      </w:tblPr>
      <w:tblGrid>
        <w:gridCol w:w="927"/>
        <w:gridCol w:w="124"/>
        <w:gridCol w:w="9154"/>
      </w:tblGrid>
      <w:tr>
        <w:trPr/>
        <w:tc>
          <w:tcPr>
            <w:tcW w:w="92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rPr>
                <w:sz w:val="4"/>
                <w:szCs w:val="4"/>
              </w:rPr>
            </w:pPr>
            <w:r>
              <w:rPr>
                <w:sz w:val="4"/>
                <w:szCs w:val="4"/>
              </w:rPr>
            </w:r>
          </w:p>
        </w:tc>
      </w:tr>
      <w:tr>
        <w:trPr/>
        <w:tc>
          <w:tcPr>
            <w:tcW w:w="927" w:type="dxa"/>
            <w:tcBorders/>
            <w:shd w:fill="auto" w:val="clear"/>
          </w:tcPr>
          <w:p>
            <w:pPr>
              <w:pStyle w:val="TableContents"/>
              <w:spacing w:before="0" w:after="283"/>
              <w:jc w:val="left"/>
              <w:rPr>
                <w:b/>
              </w:rPr>
            </w:pPr>
            <w:r>
              <w:rPr>
                <w:b/>
              </w:rPr>
              <w:t>ITEM 2.</w:t>
            </w:r>
          </w:p>
        </w:tc>
        <w:tc>
          <w:tcPr>
            <w:tcW w:w="124" w:type="dxa"/>
            <w:tcBorders/>
            <w:shd w:fill="auto" w:val="clear"/>
          </w:tcPr>
          <w:p>
            <w:pPr>
              <w:pStyle w:val="TableContents"/>
              <w:spacing w:before="0" w:after="283"/>
              <w:rPr/>
            </w:pPr>
            <w:r>
              <w:rPr/>
              <w:t> </w:t>
            </w:r>
          </w:p>
        </w:tc>
        <w:tc>
          <w:tcPr>
            <w:tcW w:w="9154" w:type="dxa"/>
            <w:tcBorders/>
            <w:shd w:fill="auto" w:val="clear"/>
          </w:tcPr>
          <w:p>
            <w:pPr>
              <w:pStyle w:val="TableContents"/>
              <w:spacing w:before="0" w:after="283"/>
              <w:rPr>
                <w:b/>
              </w:rPr>
            </w:pPr>
            <w:r>
              <w:rPr>
                <w:b/>
              </w:rPr>
              <w:t>MANAGEMENTS DISCUSSION AND ANALYSIS OF FINANCIAL CONDITION AND RESULTS OF OPERATIONS</w:t>
            </w:r>
          </w:p>
        </w:tc>
      </w:tr>
    </w:tbl>
    <w:p>
      <w:pPr>
        <w:pStyle w:val="TextBody"/>
        <w:spacing w:before="120" w:after="283"/>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2005 of Calavo Growers, Inc. (we, Calavo, or the Company). Certain prior year amounts have been reclassified to conform with the current period presentation.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2006, we paid a $0.32 per share dividend in the aggregate amount of $4.6 million to shareholders of record on December 15, 2005.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Grower Development Program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our Grower Development Program, whereby funds can be advanced to growers in exchange for their commitment to deliver a minimum volume of avocados on an annual basis, which generally extends over a multi-year period (i.e. 10 years), we advanced approximately $1.2 million during the six months of fiscal 2006. We expect to advance an additional $2.0 million, via either cash or debt restructuring, in October 2006. Advances are not repaid and are amortized to cost of goods sold over the term of the related agreement. Amortization related to the advances described above are not expected to commence until October 2006.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Common Stock Repurchase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2005, we repurchased 120,000 shares of our common stock at an average price per share of $10.00 from the estate of a deceased former member of our Board of Directors.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Management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Pursuant to our 2006 Management Incentive Plan Program (the MIP Program), we recorded approximately $0.2 million of compensation expense during the six months ended April 30, 2006. Amounts accrued pursuant to our MIP Program are not expected to be paid until fiscal 2007.</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net sales by business segment for each of the three and six month periods ended April 30, 2006 and 2005: </w:t>
      </w:r>
    </w:p>
    <w:tbl>
      <w:tblPr>
        <w:tblW w:w="5000" w:type="pct"/>
        <w:jc w:val="center"/>
        <w:tblInd w:w="0" w:type="dxa"/>
        <w:tblCellMar>
          <w:top w:w="0" w:type="dxa"/>
          <w:left w:w="0" w:type="dxa"/>
          <w:bottom w:w="0" w:type="dxa"/>
          <w:right w:w="0" w:type="dxa"/>
        </w:tblCellMar>
      </w:tblPr>
      <w:tblGrid>
        <w:gridCol w:w="2006"/>
        <w:gridCol w:w="177"/>
        <w:gridCol w:w="168"/>
        <w:gridCol w:w="825"/>
        <w:gridCol w:w="246"/>
        <w:gridCol w:w="184"/>
        <w:gridCol w:w="112"/>
        <w:gridCol w:w="771"/>
        <w:gridCol w:w="246"/>
        <w:gridCol w:w="184"/>
        <w:gridCol w:w="168"/>
        <w:gridCol w:w="828"/>
        <w:gridCol w:w="218"/>
        <w:gridCol w:w="177"/>
        <w:gridCol w:w="150"/>
        <w:gridCol w:w="845"/>
        <w:gridCol w:w="218"/>
        <w:gridCol w:w="177"/>
        <w:gridCol w:w="112"/>
        <w:gridCol w:w="771"/>
        <w:gridCol w:w="218"/>
        <w:gridCol w:w="176"/>
        <w:gridCol w:w="150"/>
        <w:gridCol w:w="845"/>
        <w:gridCol w:w="233"/>
      </w:tblGrid>
      <w:tr>
        <w:trPr/>
        <w:tc>
          <w:tcPr>
            <w:tcW w:w="200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373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366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33" w:type="dxa"/>
            <w:tcBorders/>
            <w:shd w:fill="auto" w:val="clear"/>
            <w:vAlign w:val="bottom"/>
          </w:tcPr>
          <w:p>
            <w:pPr>
              <w:pStyle w:val="TableContents"/>
              <w:spacing w:before="0" w:after="283"/>
              <w:rPr/>
            </w:pPr>
            <w:r>
              <w:rPr/>
              <w:t> </w:t>
            </w:r>
          </w:p>
        </w:tc>
      </w:tr>
      <w:tr>
        <w:trPr/>
        <w:tc>
          <w:tcPr>
            <w:tcW w:w="2006"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77"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33"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225" w:right="0" w:hanging="225"/>
              <w:rPr/>
            </w:pPr>
            <w:r>
              <w:rPr/>
              <w:t>Net sales to third-parties:</w:t>
            </w:r>
          </w:p>
        </w:tc>
        <w:tc>
          <w:tcPr>
            <w:tcW w:w="1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450" w:right="0" w:hanging="225"/>
              <w:rPr/>
            </w:pPr>
            <w:r>
              <w:rPr/>
              <w:t>Fresh products</w:t>
            </w:r>
          </w:p>
        </w:tc>
        <w:tc>
          <w:tcPr>
            <w:tcW w:w="1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58,216</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8.7</w:t>
            </w:r>
          </w:p>
        </w:tc>
        <w:tc>
          <w:tcPr>
            <w:tcW w:w="246" w:type="dxa"/>
            <w:tcBorders/>
            <w:shd w:fill="auto" w:val="clear"/>
            <w:vAlign w:val="bottom"/>
          </w:tcPr>
          <w:p>
            <w:pPr>
              <w:pStyle w:val="TableContents"/>
              <w:spacing w:before="0" w:after="283"/>
              <w:rPr/>
            </w:pPr>
            <w:r>
              <w:rPr/>
              <w:t>%</w:t>
            </w:r>
          </w:p>
        </w:tc>
        <w:tc>
          <w:tcPr>
            <w:tcW w:w="1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53,576</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100,974</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5.7</w:t>
            </w:r>
          </w:p>
        </w:tc>
        <w:tc>
          <w:tcPr>
            <w:tcW w:w="218"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95,513</w:t>
            </w:r>
          </w:p>
        </w:tc>
        <w:tc>
          <w:tcPr>
            <w:tcW w:w="233" w:type="dxa"/>
            <w:tcBorders/>
            <w:shd w:fill="auto" w:val="clear"/>
            <w:vAlign w:val="bottom"/>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450" w:right="0" w:hanging="225"/>
              <w:rPr/>
            </w:pPr>
            <w:r>
              <w:rPr/>
              <w:t>Processed products</w:t>
            </w:r>
          </w:p>
        </w:tc>
        <w:tc>
          <w:tcPr>
            <w:tcW w:w="1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9,213</w:t>
            </w:r>
          </w:p>
        </w:tc>
        <w:tc>
          <w:tcPr>
            <w:tcW w:w="24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771" w:type="dxa"/>
            <w:tcBorders/>
            <w:shd w:fill="CCEEFF" w:val="clear"/>
            <w:vAlign w:val="bottom"/>
          </w:tcPr>
          <w:p>
            <w:pPr>
              <w:pStyle w:val="TableContents"/>
              <w:spacing w:before="0" w:after="283"/>
              <w:jc w:val="right"/>
              <w:rPr/>
            </w:pPr>
            <w:r>
              <w:rPr/>
              <w:t>39.0</w:t>
            </w:r>
          </w:p>
        </w:tc>
        <w:tc>
          <w:tcPr>
            <w:tcW w:w="246" w:type="dxa"/>
            <w:tcBorders/>
            <w:shd w:fill="CCEEFF" w:val="clear"/>
            <w:vAlign w:val="bottom"/>
          </w:tcPr>
          <w:p>
            <w:pPr>
              <w:pStyle w:val="TableContents"/>
              <w:spacing w:before="0" w:after="283"/>
              <w:rPr/>
            </w:pPr>
            <w:r>
              <w:rPr/>
              <w:t>%</w:t>
            </w:r>
          </w:p>
        </w:tc>
        <w:tc>
          <w:tcPr>
            <w:tcW w:w="18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6,630</w:t>
            </w:r>
          </w:p>
        </w:tc>
        <w:tc>
          <w:tcPr>
            <w:tcW w:w="21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17,102</w:t>
            </w:r>
          </w:p>
        </w:tc>
        <w:tc>
          <w:tcPr>
            <w:tcW w:w="21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771" w:type="dxa"/>
            <w:tcBorders/>
            <w:shd w:fill="CCEEFF" w:val="clear"/>
            <w:vAlign w:val="bottom"/>
          </w:tcPr>
          <w:p>
            <w:pPr>
              <w:pStyle w:val="TableContents"/>
              <w:spacing w:before="0" w:after="283"/>
              <w:jc w:val="right"/>
              <w:rPr/>
            </w:pPr>
            <w:r>
              <w:rPr/>
              <w:t>38.3</w:t>
            </w:r>
          </w:p>
        </w:tc>
        <w:tc>
          <w:tcPr>
            <w:tcW w:w="218"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12,364</w:t>
            </w:r>
          </w:p>
        </w:tc>
        <w:tc>
          <w:tcPr>
            <w:tcW w:w="233" w:type="dxa"/>
            <w:tcBorders/>
            <w:shd w:fill="CCEEFF" w:val="clear"/>
            <w:vAlign w:val="bottom"/>
          </w:tcPr>
          <w:p>
            <w:pPr>
              <w:pStyle w:val="TableContents"/>
              <w:spacing w:before="0" w:after="283"/>
              <w:rPr/>
            </w:pPr>
            <w:r>
              <w:rPr/>
              <w:t> </w:t>
            </w:r>
          </w:p>
        </w:tc>
      </w:tr>
      <w:tr>
        <w:trPr/>
        <w:tc>
          <w:tcPr>
            <w:tcW w:w="2006" w:type="dxa"/>
            <w:tcBorders/>
            <w:shd w:fill="auto" w:val="clear"/>
            <w:vAlign w:val="center"/>
          </w:tcPr>
          <w:p>
            <w:pPr>
              <w:pStyle w:val="TableContents"/>
              <w:spacing w:before="0" w:after="0"/>
              <w:ind w:left="225" w:right="0" w:hanging="225"/>
              <w:rPr/>
            </w:pPr>
            <w:r>
              <w:rPr/>
              <w:t> </w:t>
            </w:r>
          </w:p>
        </w:tc>
        <w:tc>
          <w:tcPr>
            <w:tcW w:w="17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06" w:type="dxa"/>
            <w:tcBorders/>
            <w:shd w:fill="auto" w:val="clear"/>
            <w:vAlign w:val="bottom"/>
          </w:tcPr>
          <w:p>
            <w:pPr>
              <w:pStyle w:val="TableContents"/>
              <w:spacing w:before="0" w:after="0"/>
              <w:ind w:left="675" w:right="0" w:hanging="225"/>
              <w:rPr/>
            </w:pPr>
            <w:r>
              <w:rPr/>
              <w:t>Total net sales</w:t>
            </w:r>
          </w:p>
        </w:tc>
        <w:tc>
          <w:tcPr>
            <w:tcW w:w="1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67,429</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12.0</w:t>
            </w:r>
          </w:p>
        </w:tc>
        <w:tc>
          <w:tcPr>
            <w:tcW w:w="246" w:type="dxa"/>
            <w:tcBorders/>
            <w:shd w:fill="auto" w:val="clear"/>
            <w:vAlign w:val="bottom"/>
          </w:tcPr>
          <w:p>
            <w:pPr>
              <w:pStyle w:val="TableContents"/>
              <w:spacing w:before="0" w:after="283"/>
              <w:rPr/>
            </w:pPr>
            <w:r>
              <w:rPr/>
              <w:t>%</w:t>
            </w:r>
          </w:p>
        </w:tc>
        <w:tc>
          <w:tcPr>
            <w:tcW w:w="1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60,206</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118,076</w:t>
            </w:r>
          </w:p>
        </w:tc>
        <w:tc>
          <w:tcPr>
            <w:tcW w:w="21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9.5</w:t>
            </w:r>
          </w:p>
        </w:tc>
        <w:tc>
          <w:tcPr>
            <w:tcW w:w="218"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107,877</w:t>
            </w:r>
          </w:p>
        </w:tc>
        <w:tc>
          <w:tcPr>
            <w:tcW w:w="233" w:type="dxa"/>
            <w:tcBorders/>
            <w:shd w:fill="auto" w:val="clear"/>
            <w:vAlign w:val="bottom"/>
          </w:tcPr>
          <w:p>
            <w:pPr>
              <w:pStyle w:val="TableContents"/>
              <w:spacing w:before="0" w:after="283"/>
              <w:rPr/>
            </w:pPr>
            <w:r>
              <w:rPr/>
              <w:t> </w:t>
            </w:r>
          </w:p>
        </w:tc>
      </w:tr>
      <w:tr>
        <w:trPr/>
        <w:tc>
          <w:tcPr>
            <w:tcW w:w="2006" w:type="dxa"/>
            <w:tcBorders/>
            <w:shd w:fill="auto" w:val="clear"/>
            <w:vAlign w:val="center"/>
          </w:tcPr>
          <w:p>
            <w:pPr>
              <w:pStyle w:val="TableContents"/>
              <w:spacing w:before="0" w:after="0"/>
              <w:ind w:left="225" w:right="0" w:hanging="225"/>
              <w:rPr/>
            </w:pPr>
            <w:r>
              <w:rPr/>
              <w:t> </w:t>
            </w:r>
          </w:p>
        </w:tc>
        <w:tc>
          <w:tcPr>
            <w:tcW w:w="177"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06" w:type="dxa"/>
            <w:tcBorders/>
            <w:shd w:fill="CCEEFF" w:val="clear"/>
            <w:vAlign w:val="bottom"/>
          </w:tcPr>
          <w:p>
            <w:pPr>
              <w:pStyle w:val="TableContents"/>
              <w:spacing w:before="0" w:after="0"/>
              <w:ind w:left="225" w:right="0" w:hanging="225"/>
              <w:rPr/>
            </w:pPr>
            <w:r>
              <w:rPr/>
              <w:t>As a percentage of net sales:</w:t>
            </w:r>
          </w:p>
        </w:tc>
        <w:tc>
          <w:tcPr>
            <w:tcW w:w="1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006" w:type="dxa"/>
            <w:tcBorders/>
            <w:shd w:fill="auto" w:val="clear"/>
            <w:vAlign w:val="bottom"/>
          </w:tcPr>
          <w:p>
            <w:pPr>
              <w:pStyle w:val="TableContents"/>
              <w:spacing w:before="0" w:after="0"/>
              <w:ind w:left="450" w:right="0" w:hanging="225"/>
              <w:rPr/>
            </w:pPr>
            <w:r>
              <w:rPr/>
              <w:t>Fresh products</w:t>
            </w:r>
          </w:p>
        </w:tc>
        <w:tc>
          <w:tcPr>
            <w:tcW w:w="1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86.3</w:t>
            </w:r>
          </w:p>
        </w:tc>
        <w:tc>
          <w:tcPr>
            <w:tcW w:w="246" w:type="dxa"/>
            <w:tcBorders/>
            <w:shd w:fill="auto" w:val="clear"/>
            <w:vAlign w:val="bottom"/>
          </w:tcPr>
          <w:p>
            <w:pPr>
              <w:pStyle w:val="TableContents"/>
              <w:spacing w:before="0" w:after="283"/>
              <w:rPr/>
            </w:pPr>
            <w:r>
              <w:rPr/>
              <w:t>%</w:t>
            </w:r>
          </w:p>
        </w:tc>
        <w:tc>
          <w:tcPr>
            <w:tcW w:w="18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89.0</w:t>
            </w:r>
          </w:p>
        </w:tc>
        <w:tc>
          <w:tcPr>
            <w:tcW w:w="218" w:type="dxa"/>
            <w:tcBorders/>
            <w:shd w:fill="auto" w:val="clear"/>
            <w:vAlign w:val="bottom"/>
          </w:tcPr>
          <w:p>
            <w:pPr>
              <w:pStyle w:val="TableContents"/>
              <w:spacing w:before="0" w:after="283"/>
              <w:rPr/>
            </w:pPr>
            <w:r>
              <w:rPr/>
              <w:t>%</w:t>
            </w:r>
          </w:p>
        </w:tc>
        <w:tc>
          <w:tcPr>
            <w:tcW w:w="17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85.5</w:t>
            </w:r>
          </w:p>
        </w:tc>
        <w:tc>
          <w:tcPr>
            <w:tcW w:w="218" w:type="dxa"/>
            <w:tcBorders/>
            <w:shd w:fill="auto" w:val="clear"/>
            <w:vAlign w:val="bottom"/>
          </w:tcPr>
          <w:p>
            <w:pPr>
              <w:pStyle w:val="TableContents"/>
              <w:spacing w:before="0" w:after="283"/>
              <w:rPr/>
            </w:pPr>
            <w:r>
              <w:rPr/>
              <w:t>%</w:t>
            </w:r>
          </w:p>
        </w:tc>
        <w:tc>
          <w:tcPr>
            <w:tcW w:w="17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88.5</w:t>
            </w:r>
          </w:p>
        </w:tc>
        <w:tc>
          <w:tcPr>
            <w:tcW w:w="233" w:type="dxa"/>
            <w:tcBorders/>
            <w:shd w:fill="auto" w:val="clear"/>
            <w:vAlign w:val="bottom"/>
          </w:tcPr>
          <w:p>
            <w:pPr>
              <w:pStyle w:val="TableContents"/>
              <w:spacing w:before="0" w:after="283"/>
              <w:rPr/>
            </w:pPr>
            <w:r>
              <w:rPr/>
              <w:t>%</w:t>
            </w:r>
          </w:p>
        </w:tc>
      </w:tr>
      <w:tr>
        <w:trPr/>
        <w:tc>
          <w:tcPr>
            <w:tcW w:w="2006" w:type="dxa"/>
            <w:tcBorders/>
            <w:shd w:fill="CCEEFF" w:val="clear"/>
            <w:vAlign w:val="bottom"/>
          </w:tcPr>
          <w:p>
            <w:pPr>
              <w:pStyle w:val="TableContents"/>
              <w:spacing w:before="0" w:after="0"/>
              <w:ind w:left="450" w:right="0" w:hanging="225"/>
              <w:rPr/>
            </w:pPr>
            <w:r>
              <w:rPr/>
              <w:t>Processed products</w:t>
            </w:r>
          </w:p>
        </w:tc>
        <w:tc>
          <w:tcPr>
            <w:tcW w:w="17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13.7</w:t>
            </w:r>
          </w:p>
        </w:tc>
        <w:tc>
          <w:tcPr>
            <w:tcW w:w="246" w:type="dxa"/>
            <w:tcBorders/>
            <w:shd w:fill="CCEEFF" w:val="clear"/>
            <w:vAlign w:val="bottom"/>
          </w:tcPr>
          <w:p>
            <w:pPr>
              <w:pStyle w:val="TableContents"/>
              <w:spacing w:before="0" w:after="283"/>
              <w:rPr/>
            </w:pPr>
            <w:r>
              <w:rPr/>
              <w:t>%</w:t>
            </w:r>
          </w:p>
        </w:tc>
        <w:tc>
          <w:tcPr>
            <w:tcW w:w="18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11.0</w:t>
            </w:r>
          </w:p>
        </w:tc>
        <w:tc>
          <w:tcPr>
            <w:tcW w:w="218" w:type="dxa"/>
            <w:tcBorders/>
            <w:shd w:fill="CCEEFF" w:val="clear"/>
            <w:vAlign w:val="bottom"/>
          </w:tcPr>
          <w:p>
            <w:pPr>
              <w:pStyle w:val="TableContents"/>
              <w:spacing w:before="0" w:after="283"/>
              <w:rPr/>
            </w:pPr>
            <w:r>
              <w:rPr/>
              <w:t>%</w:t>
            </w:r>
          </w:p>
        </w:tc>
        <w:tc>
          <w:tcPr>
            <w:tcW w:w="17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14.5</w:t>
            </w:r>
          </w:p>
        </w:tc>
        <w:tc>
          <w:tcPr>
            <w:tcW w:w="218" w:type="dxa"/>
            <w:tcBorders/>
            <w:shd w:fill="CCEEFF" w:val="clear"/>
            <w:vAlign w:val="bottom"/>
          </w:tcPr>
          <w:p>
            <w:pPr>
              <w:pStyle w:val="TableContents"/>
              <w:spacing w:before="0" w:after="283"/>
              <w:rPr/>
            </w:pPr>
            <w:r>
              <w:rPr/>
              <w:t>%</w:t>
            </w:r>
          </w:p>
        </w:tc>
        <w:tc>
          <w:tcPr>
            <w:tcW w:w="17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11.5</w:t>
            </w:r>
          </w:p>
        </w:tc>
        <w:tc>
          <w:tcPr>
            <w:tcW w:w="233" w:type="dxa"/>
            <w:tcBorders/>
            <w:shd w:fill="CCEEFF" w:val="clear"/>
            <w:vAlign w:val="bottom"/>
          </w:tcPr>
          <w:p>
            <w:pPr>
              <w:pStyle w:val="TableContents"/>
              <w:spacing w:before="0" w:after="283"/>
              <w:rPr/>
            </w:pPr>
            <w:r>
              <w:rPr/>
              <w:t>%</w:t>
            </w:r>
          </w:p>
        </w:tc>
      </w:tr>
      <w:tr>
        <w:trPr/>
        <w:tc>
          <w:tcPr>
            <w:tcW w:w="2006" w:type="dxa"/>
            <w:tcBorders/>
            <w:shd w:fill="auto" w:val="clear"/>
            <w:vAlign w:val="center"/>
          </w:tcPr>
          <w:p>
            <w:pPr>
              <w:pStyle w:val="TableContents"/>
              <w:spacing w:before="0" w:after="0"/>
              <w:ind w:left="225" w:right="0" w:hanging="225"/>
              <w:rPr/>
            </w:pPr>
            <w:r>
              <w:rPr/>
              <w:t> </w:t>
            </w:r>
          </w:p>
        </w:tc>
        <w:tc>
          <w:tcPr>
            <w:tcW w:w="17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06" w:type="dxa"/>
            <w:tcBorders/>
            <w:shd w:fill="auto" w:val="clear"/>
            <w:vAlign w:val="bottom"/>
          </w:tcPr>
          <w:p>
            <w:pPr>
              <w:pStyle w:val="TableContents"/>
              <w:spacing w:before="0" w:after="0"/>
              <w:ind w:left="225" w:right="0" w:hanging="225"/>
              <w:rPr/>
            </w:pPr>
            <w:r>
              <w:rPr/>
              <w:t> </w:t>
            </w:r>
          </w:p>
        </w:tc>
        <w:tc>
          <w:tcPr>
            <w:tcW w:w="17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100.0</w:t>
            </w:r>
          </w:p>
        </w:tc>
        <w:tc>
          <w:tcPr>
            <w:tcW w:w="246" w:type="dxa"/>
            <w:tcBorders/>
            <w:shd w:fill="auto" w:val="clear"/>
            <w:vAlign w:val="bottom"/>
          </w:tcPr>
          <w:p>
            <w:pPr>
              <w:pStyle w:val="TableContents"/>
              <w:spacing w:before="0" w:after="283"/>
              <w:rPr/>
            </w:pPr>
            <w:r>
              <w:rPr/>
              <w:t>%</w:t>
            </w:r>
          </w:p>
        </w:tc>
        <w:tc>
          <w:tcPr>
            <w:tcW w:w="18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100.0</w:t>
            </w:r>
          </w:p>
        </w:tc>
        <w:tc>
          <w:tcPr>
            <w:tcW w:w="218" w:type="dxa"/>
            <w:tcBorders/>
            <w:shd w:fill="auto" w:val="clear"/>
            <w:vAlign w:val="bottom"/>
          </w:tcPr>
          <w:p>
            <w:pPr>
              <w:pStyle w:val="TableContents"/>
              <w:spacing w:before="0" w:after="283"/>
              <w:rPr/>
            </w:pPr>
            <w:r>
              <w:rPr/>
              <w:t>%</w:t>
            </w:r>
          </w:p>
        </w:tc>
        <w:tc>
          <w:tcPr>
            <w:tcW w:w="17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100.0</w:t>
            </w:r>
          </w:p>
        </w:tc>
        <w:tc>
          <w:tcPr>
            <w:tcW w:w="218" w:type="dxa"/>
            <w:tcBorders/>
            <w:shd w:fill="auto" w:val="clear"/>
            <w:vAlign w:val="bottom"/>
          </w:tcPr>
          <w:p>
            <w:pPr>
              <w:pStyle w:val="TableContents"/>
              <w:spacing w:before="0" w:after="283"/>
              <w:rPr/>
            </w:pPr>
            <w:r>
              <w:rPr/>
              <w:t>%</w:t>
            </w:r>
          </w:p>
        </w:tc>
        <w:tc>
          <w:tcPr>
            <w:tcW w:w="17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100.0</w:t>
            </w:r>
          </w:p>
        </w:tc>
        <w:tc>
          <w:tcPr>
            <w:tcW w:w="233" w:type="dxa"/>
            <w:tcBorders/>
            <w:shd w:fill="auto" w:val="clear"/>
            <w:vAlign w:val="bottom"/>
          </w:tcPr>
          <w:p>
            <w:pPr>
              <w:pStyle w:val="TableContents"/>
              <w:spacing w:before="0" w:after="283"/>
              <w:rPr/>
            </w:pPr>
            <w:r>
              <w:rPr/>
              <w:t>%</w:t>
            </w:r>
          </w:p>
        </w:tc>
      </w:tr>
      <w:tr>
        <w:trPr/>
        <w:tc>
          <w:tcPr>
            <w:tcW w:w="2006" w:type="dxa"/>
            <w:tcBorders/>
            <w:shd w:fill="auto" w:val="clear"/>
            <w:vAlign w:val="center"/>
          </w:tcPr>
          <w:p>
            <w:pPr>
              <w:pStyle w:val="TableContents"/>
              <w:spacing w:before="0" w:after="0"/>
              <w:ind w:left="225" w:right="0" w:hanging="225"/>
              <w:rPr/>
            </w:pPr>
            <w:r>
              <w:rPr/>
              <w:t> </w:t>
            </w:r>
          </w:p>
        </w:tc>
        <w:tc>
          <w:tcPr>
            <w:tcW w:w="177"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sales for the second quarter of fiscal 2006, compared to fiscal 2005, increased by $7.2 million, or 12.0%; whereas net sales for the six months ended April 30, 2006, compared to fiscal 2005, increased by $10.2 million, or 9.5%. These increases were primarily driven by increased sales related to avocados sourced from California, partially offset by decreased sales related to Chilean, The Dominican Republic, and/or Mexican sourced avocados. While the procurement of fresh avocados related to our fresh products segment is very seasonal, our processed products business is generally not subject to a seasonal effect. For the related three and six month period, the increase in net sales to third parties delivered by our processed products business was due primarily to an increase in total pounds of product sold. </w:t>
      </w:r>
    </w:p>
    <w:p>
      <w:pPr>
        <w:pStyle w:val="TextBody"/>
        <w:spacing w:before="120" w:after="283"/>
        <w:jc w:val="left"/>
        <w:rPr/>
      </w:pPr>
      <w:r>
        <w:rPr/>
        <w:t>     </w:t>
      </w:r>
      <w:r>
        <w:rPr>
          <w:rFonts w:ascii="Times New Roman;Times;serif" w:hAnsi="Times New Roman;Times;serif"/>
          <w:sz w:val="17"/>
        </w:rPr>
        <w:t xml:space="preserve">Net sales to third parties by segment exclude value-added services billed by our Uruapan packinghouse, Uruapan processing plant and Mexicali processing plant to the parent company. All intercompany sales are eliminated in our consolidated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Fresh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sales delivered by the business increased by approximately $4.6 million, or 8.7%, for the second quarter of fiscal 2006, when compared to the same period for fiscal 2005. This increase is primarily related to an increase in sales related to avocados sourced from California. California avocados sales reflect a 110.4% increase in pounds of avocados sold, partially offset by a reduction in average selling prices, when compared to the same prior year period. The increase in pounds is consistent with the expected increase in the overall harvest of the California avocado crop for the 2005/2006 season. Our market share of California avocados increased to 33.5% in the second quarter of fiscal 2006, when compared to a 27.1% market share for the same prior year period. Average selling prices, on a per carton basis, for California avocados for the second quarter of fiscal 2006 were 26.1% lower when compared to the same prior year period. We attribute some of this decrease in average selling prices to significantly more pounds sold in the U.S. marketplace. </w:t>
      </w:r>
    </w:p>
    <w:p>
      <w:pPr>
        <w:pStyle w:val="TextBody"/>
        <w:spacing w:before="120" w:after="283"/>
        <w:jc w:val="left"/>
        <w:rPr/>
      </w:pPr>
      <w:r>
        <w:rPr/>
        <w:t>     </w:t>
      </w:r>
      <w:r>
        <w:rPr>
          <w:rFonts w:ascii="Times New Roman;Times;serif" w:hAnsi="Times New Roman;Times;serif"/>
          <w:sz w:val="17"/>
        </w:rPr>
        <w:t xml:space="preserve">The increased sales related to California sourced fruit discussed above for the second quarter of fiscal 2006, when compared to the same period for fiscal 2005, was partially offset by a decrease in sales of Mexican and Chilean grown avocados in the U.S., Japanese, and/or European marketplace. The volume of Mexican fruit sold decreased by approximately 6.4 million pounds, or 30.1%, when compared to the same prior year period. This decrease was primarily in the U.S. marketplace and was primarily related to the large California avocado crop discussed above. The volume of Chilean fruit sold decreased by approximately 3.7 million pounds, or 100.0%, when compared to the same prior year period. This decrease is primarily related to the size of the Chilean avocado crop, as well as the timing of the delivery to the United States. There was no significant difference in the average selling price, on a per carton basis, of Mexican avocados sold when compared to the same prior year period.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Net sales delivered by the business increased by approximately $5.5 million, or 5.7%, for the six months ended April 30, 2006, when compared to the same period for fiscal 2005. This increase is primarily related to an increase in sales related to avocados sourced from California. California avocados sales reflect a 96.9% increase in pounds of avocados sold, partially offset by lower average selling prices, when compared to the same prior year period. The increase in pounds is consistent with the expected increase in the overall harvest of the California avocado crop for the 2005/2006 season. Our market share of California avocados increased to 34.5% for the first six months of fiscal 2006, when compared to a 30.3% market share for the same prior year period. Average selling prices, on a per carton basis, for California avocados for the first six months of fiscal 2006 were 23.6% lower when compared to the same prior year period. We attribute some of this decrease in average selling prices to significantly more pounds sold in the U.S. marketplace. </w:t>
      </w:r>
    </w:p>
    <w:p>
      <w:pPr>
        <w:pStyle w:val="TextBody"/>
        <w:spacing w:before="120" w:after="283"/>
        <w:jc w:val="left"/>
        <w:rPr/>
      </w:pPr>
      <w:r>
        <w:rPr/>
        <w:t>     </w:t>
      </w:r>
      <w:r>
        <w:rPr>
          <w:rFonts w:ascii="Times New Roman;Times;serif" w:hAnsi="Times New Roman;Times;serif"/>
          <w:sz w:val="17"/>
        </w:rPr>
        <w:t xml:space="preserve">In addition to the increased sales related to California sourced fruit discussed above, sales of Mexican sourced fruit also increased for the first six months of fiscal 2006, when compared to the same period for fiscal 2005. The volume of Mexican fruit handled increased by approximately 1.8 million pounds, or 4.8%, when compared to the same prior year period. Such increases, however, were partially offset by a decrease in sales of Chilean grown avocados. The volume of Chilean fruit sold decreased by approximately 10.3 million pounds, or 59.9%, when compared to the same prior year period. This decrease is primarily related to the size of the Chilean avocado crop, as well as the timing of the delivery to the United States. There was no significant difference in the average selling price, on a per carton basis, of Mexican avocados sold when compared to the same prior year period. The average selling price of Chilean avocados sold, on a per carton basis, increased approximately 17.1% when compared to the same prior year period. </w:t>
      </w:r>
    </w:p>
    <w:p>
      <w:pPr>
        <w:pStyle w:val="TextBody"/>
        <w:spacing w:before="120" w:after="283"/>
        <w:jc w:val="left"/>
        <w:rPr/>
      </w:pPr>
      <w:r>
        <w:rPr/>
        <w:t>     </w:t>
      </w:r>
      <w:r>
        <w:rPr>
          <w:rFonts w:ascii="Times New Roman;Times;serif" w:hAnsi="Times New Roman;Times;serif"/>
          <w:sz w:val="17"/>
        </w:rPr>
        <w:t xml:space="preserve">We anticipate that California avocado sales will experience a seasonal increase during the third fiscal quarter of 2006, as compared to the second fiscal quarter of 2006. We do not anticipate a significant fluctuation of non-California sourced fruit sales during the third fiscal quarter of 2006, as compared to the second fiscal quarter of 2006. This is consistent with the cyclical nature of the availability of foreign sourced avocados in the U.S. marketplace, as well as the current expected size of the California avocado crop.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April 30, 2006, when compared to the same period for fiscal 2005, sales to third-party customers increased by approximately $2.6 million, or 39.0%. This increase is primarily related to a 42.6% increase in total pounds sold. Our average net selling prices remained fairly consistent during the second quarter ended April 30, 2006 when compared to the same prior year period. </w:t>
      </w:r>
    </w:p>
    <w:p>
      <w:pPr>
        <w:pStyle w:val="TextBody"/>
        <w:spacing w:before="120" w:after="283"/>
        <w:jc w:val="left"/>
        <w:rPr/>
      </w:pPr>
      <w:r>
        <w:rPr/>
        <w:t>     </w:t>
      </w:r>
      <w:r>
        <w:rPr>
          <w:rFonts w:ascii="Times New Roman;Times;serif" w:hAnsi="Times New Roman;Times;serif"/>
          <w:sz w:val="17"/>
        </w:rPr>
        <w:t xml:space="preserve">For the first six months of fiscal 2006, when compared to the same period for fiscal 2005, sales to third-party customers increased by approximately $4.7 million, or 38.3%. This increase is primarily related to a 39.4% increase in total pounds sold, as our ultra high pressure products have experienced widespread acceptance in both the retail and foodservice sectors. Our average net selling prices remained fairly consistent during the first six months ended April 30, 2006 when compared to the same prior year period. </w:t>
      </w:r>
    </w:p>
    <w:p>
      <w:pPr>
        <w:pStyle w:val="TextBody"/>
        <w:spacing w:before="120" w:after="283"/>
        <w:jc w:val="left"/>
        <w:rPr/>
      </w:pPr>
      <w:r>
        <w:rPr/>
        <w:t>     </w:t>
      </w:r>
      <w:r>
        <w:rPr>
          <w:rFonts w:ascii="Times New Roman;Times;serif" w:hAnsi="Times New Roman;Times;serif"/>
          <w:sz w:val="17"/>
        </w:rPr>
        <w:t xml:space="preserve">Our ultra high pressure products continue to experience solid demand. During the second quarter ended April 30, 2006, sales of ultra high pressure products totaled approximately $3.3 million, as compared to $1.8 million for the same prior year period. We believe that the introduction of these fresh guacamole products will, in the long-term, successfully address a growing market segment.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gross margins and gross profit percentages by business segment for each of the three and six month periods ended April 30, 2006 and 2005: </w:t>
      </w:r>
    </w:p>
    <w:tbl>
      <w:tblPr>
        <w:tblW w:w="5000" w:type="pct"/>
        <w:jc w:val="center"/>
        <w:tblInd w:w="0" w:type="dxa"/>
        <w:tblCellMar>
          <w:top w:w="0" w:type="dxa"/>
          <w:left w:w="0" w:type="dxa"/>
          <w:bottom w:w="0" w:type="dxa"/>
          <w:right w:w="0" w:type="dxa"/>
        </w:tblCellMar>
      </w:tblPr>
      <w:tblGrid>
        <w:gridCol w:w="2098"/>
        <w:gridCol w:w="194"/>
        <w:gridCol w:w="186"/>
        <w:gridCol w:w="772"/>
        <w:gridCol w:w="270"/>
        <w:gridCol w:w="208"/>
        <w:gridCol w:w="115"/>
        <w:gridCol w:w="785"/>
        <w:gridCol w:w="270"/>
        <w:gridCol w:w="208"/>
        <w:gridCol w:w="185"/>
        <w:gridCol w:w="774"/>
        <w:gridCol w:w="221"/>
        <w:gridCol w:w="194"/>
        <w:gridCol w:w="157"/>
        <w:gridCol w:w="770"/>
        <w:gridCol w:w="227"/>
        <w:gridCol w:w="196"/>
        <w:gridCol w:w="98"/>
        <w:gridCol w:w="802"/>
        <w:gridCol w:w="227"/>
        <w:gridCol w:w="195"/>
        <w:gridCol w:w="157"/>
        <w:gridCol w:w="663"/>
        <w:gridCol w:w="233"/>
      </w:tblGrid>
      <w:tr>
        <w:trPr/>
        <w:tc>
          <w:tcPr>
            <w:tcW w:w="20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09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77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49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33" w:type="dxa"/>
            <w:tcBorders/>
            <w:shd w:fill="auto" w:val="clear"/>
            <w:vAlign w:val="bottom"/>
          </w:tcPr>
          <w:p>
            <w:pPr>
              <w:pStyle w:val="TableContents"/>
              <w:spacing w:before="0" w:after="283"/>
              <w:rPr/>
            </w:pPr>
            <w:r>
              <w:rPr/>
              <w:t> </w:t>
            </w:r>
          </w:p>
        </w:tc>
      </w:tr>
      <w:tr>
        <w:trPr/>
        <w:tc>
          <w:tcPr>
            <w:tcW w:w="2098"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94" w:type="dxa"/>
            <w:tcBorders/>
            <w:shd w:fill="auto" w:val="clear"/>
            <w:vAlign w:val="bottom"/>
          </w:tcPr>
          <w:p>
            <w:pPr>
              <w:pStyle w:val="TableContents"/>
              <w:spacing w:before="0" w:after="283"/>
              <w:rPr/>
            </w:pPr>
            <w:r>
              <w:rPr/>
              <w:t> </w:t>
            </w:r>
          </w:p>
        </w:tc>
        <w:tc>
          <w:tcPr>
            <w:tcW w:w="9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2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33" w:type="dxa"/>
            <w:tcBorders/>
            <w:shd w:fill="auto" w:val="clear"/>
            <w:vAlign w:val="bottom"/>
          </w:tcPr>
          <w:p>
            <w:pPr>
              <w:pStyle w:val="TableContents"/>
              <w:spacing w:before="0" w:after="283"/>
              <w:rPr/>
            </w:pPr>
            <w:r>
              <w:rPr/>
              <w:t> </w:t>
            </w:r>
          </w:p>
        </w:tc>
      </w:tr>
      <w:tr>
        <w:trPr/>
        <w:tc>
          <w:tcPr>
            <w:tcW w:w="2098" w:type="dxa"/>
            <w:tcBorders/>
            <w:shd w:fill="CCEEFF" w:val="clear"/>
            <w:vAlign w:val="bottom"/>
          </w:tcPr>
          <w:p>
            <w:pPr>
              <w:pStyle w:val="TableContents"/>
              <w:spacing w:before="0" w:after="0"/>
              <w:ind w:left="225" w:right="0" w:hanging="225"/>
              <w:rPr/>
            </w:pPr>
            <w:r>
              <w:rPr/>
              <w:t>Gross margins:</w:t>
            </w:r>
          </w:p>
        </w:tc>
        <w:tc>
          <w:tcPr>
            <w:tcW w:w="19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098" w:type="dxa"/>
            <w:tcBorders/>
            <w:shd w:fill="auto" w:val="clear"/>
            <w:vAlign w:val="bottom"/>
          </w:tcPr>
          <w:p>
            <w:pPr>
              <w:pStyle w:val="TableContents"/>
              <w:spacing w:before="0" w:after="0"/>
              <w:ind w:left="450" w:right="0" w:hanging="225"/>
              <w:rPr/>
            </w:pPr>
            <w:r>
              <w:rPr/>
              <w:t>Fresh products</w:t>
            </w:r>
          </w:p>
        </w:tc>
        <w:tc>
          <w:tcPr>
            <w:tcW w:w="19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5,666</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785" w:type="dxa"/>
            <w:tcBorders/>
            <w:shd w:fill="auto" w:val="clear"/>
            <w:vAlign w:val="bottom"/>
          </w:tcPr>
          <w:p>
            <w:pPr>
              <w:pStyle w:val="TableContents"/>
              <w:spacing w:before="0" w:after="283"/>
              <w:jc w:val="right"/>
              <w:rPr/>
            </w:pPr>
            <w:r>
              <w:rPr/>
              <w:t>17.4</w:t>
            </w:r>
          </w:p>
        </w:tc>
        <w:tc>
          <w:tcPr>
            <w:tcW w:w="270" w:type="dxa"/>
            <w:tcBorders/>
            <w:shd w:fill="auto" w:val="clear"/>
            <w:vAlign w:val="bottom"/>
          </w:tcPr>
          <w:p>
            <w:pPr>
              <w:pStyle w:val="TableContents"/>
              <w:spacing w:before="0" w:after="283"/>
              <w:rPr/>
            </w:pPr>
            <w:r>
              <w:rPr/>
              <w:t>%</w:t>
            </w:r>
          </w:p>
        </w:tc>
        <w:tc>
          <w:tcPr>
            <w:tcW w:w="20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4,825</w:t>
            </w:r>
          </w:p>
        </w:tc>
        <w:tc>
          <w:tcPr>
            <w:tcW w:w="2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70" w:type="dxa"/>
            <w:tcBorders/>
            <w:shd w:fill="auto" w:val="clear"/>
            <w:vAlign w:val="bottom"/>
          </w:tcPr>
          <w:p>
            <w:pPr>
              <w:pStyle w:val="TableContents"/>
              <w:spacing w:before="0" w:after="283"/>
              <w:jc w:val="right"/>
              <w:rPr/>
            </w:pPr>
            <w:r>
              <w:rPr/>
              <w:t>7,181</w:t>
            </w:r>
          </w:p>
        </w:tc>
        <w:tc>
          <w:tcPr>
            <w:tcW w:w="22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14.5</w:t>
            </w:r>
          </w:p>
        </w:tc>
        <w:tc>
          <w:tcPr>
            <w:tcW w:w="227" w:type="dxa"/>
            <w:tcBorders/>
            <w:shd w:fill="auto" w:val="clear"/>
            <w:vAlign w:val="bottom"/>
          </w:tcPr>
          <w:p>
            <w:pPr>
              <w:pStyle w:val="TableContents"/>
              <w:spacing w:before="0" w:after="283"/>
              <w:rPr/>
            </w:pPr>
            <w:r>
              <w:rPr/>
              <w:t>%</w:t>
            </w:r>
          </w:p>
        </w:tc>
        <w:tc>
          <w:tcPr>
            <w:tcW w:w="19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663" w:type="dxa"/>
            <w:tcBorders/>
            <w:shd w:fill="auto" w:val="clear"/>
            <w:vAlign w:val="bottom"/>
          </w:tcPr>
          <w:p>
            <w:pPr>
              <w:pStyle w:val="TableContents"/>
              <w:spacing w:before="0" w:after="283"/>
              <w:jc w:val="right"/>
              <w:rPr/>
            </w:pPr>
            <w:r>
              <w:rPr/>
              <w:t>6,269</w:t>
            </w:r>
          </w:p>
        </w:tc>
        <w:tc>
          <w:tcPr>
            <w:tcW w:w="233" w:type="dxa"/>
            <w:tcBorders/>
            <w:shd w:fill="auto" w:val="clear"/>
            <w:vAlign w:val="bottom"/>
          </w:tcPr>
          <w:p>
            <w:pPr>
              <w:pStyle w:val="TableContents"/>
              <w:spacing w:before="0" w:after="283"/>
              <w:rPr/>
            </w:pPr>
            <w:r>
              <w:rPr/>
              <w:t> </w:t>
            </w:r>
          </w:p>
        </w:tc>
      </w:tr>
      <w:tr>
        <w:trPr/>
        <w:tc>
          <w:tcPr>
            <w:tcW w:w="2098" w:type="dxa"/>
            <w:tcBorders/>
            <w:shd w:fill="CCEEFF" w:val="clear"/>
            <w:vAlign w:val="bottom"/>
          </w:tcPr>
          <w:p>
            <w:pPr>
              <w:pStyle w:val="TableContents"/>
              <w:spacing w:before="0" w:after="0"/>
              <w:ind w:left="450" w:right="0" w:hanging="225"/>
              <w:rPr/>
            </w:pPr>
            <w:r>
              <w:rPr/>
              <w:t>Processed products</w:t>
            </w:r>
          </w:p>
        </w:tc>
        <w:tc>
          <w:tcPr>
            <w:tcW w:w="19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2,995</w:t>
            </w:r>
          </w:p>
        </w:tc>
        <w:tc>
          <w:tcPr>
            <w:tcW w:w="27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283"/>
              <w:jc w:val="right"/>
              <w:rPr/>
            </w:pPr>
            <w:r>
              <w:rPr/>
              <w:t>95.8</w:t>
            </w:r>
          </w:p>
        </w:tc>
        <w:tc>
          <w:tcPr>
            <w:tcW w:w="270" w:type="dxa"/>
            <w:tcBorders/>
            <w:shd w:fill="CCEEFF" w:val="clear"/>
            <w:vAlign w:val="bottom"/>
          </w:tcPr>
          <w:p>
            <w:pPr>
              <w:pStyle w:val="TableContents"/>
              <w:spacing w:before="0" w:after="283"/>
              <w:rPr/>
            </w:pPr>
            <w:r>
              <w:rPr/>
              <w:t>%</w:t>
            </w:r>
          </w:p>
        </w:tc>
        <w:tc>
          <w:tcPr>
            <w:tcW w:w="20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1,530</w:t>
            </w:r>
          </w:p>
        </w:tc>
        <w:tc>
          <w:tcPr>
            <w:tcW w:w="2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4,890</w:t>
            </w:r>
          </w:p>
        </w:tc>
        <w:tc>
          <w:tcPr>
            <w:tcW w:w="22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02" w:type="dxa"/>
            <w:tcBorders/>
            <w:shd w:fill="CCEEFF" w:val="clear"/>
            <w:vAlign w:val="bottom"/>
          </w:tcPr>
          <w:p>
            <w:pPr>
              <w:pStyle w:val="TableContents"/>
              <w:spacing w:before="0" w:after="283"/>
              <w:jc w:val="right"/>
              <w:rPr/>
            </w:pPr>
            <w:r>
              <w:rPr/>
              <w:t>139.9</w:t>
            </w:r>
          </w:p>
        </w:tc>
        <w:tc>
          <w:tcPr>
            <w:tcW w:w="227" w:type="dxa"/>
            <w:tcBorders/>
            <w:shd w:fill="CCEEFF" w:val="clear"/>
            <w:vAlign w:val="bottom"/>
          </w:tcPr>
          <w:p>
            <w:pPr>
              <w:pStyle w:val="TableContents"/>
              <w:spacing w:before="0" w:after="283"/>
              <w:rPr/>
            </w:pPr>
            <w:r>
              <w:rPr/>
              <w:t>%</w:t>
            </w:r>
          </w:p>
        </w:tc>
        <w:tc>
          <w:tcPr>
            <w:tcW w:w="19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2,038</w:t>
            </w:r>
          </w:p>
        </w:tc>
        <w:tc>
          <w:tcPr>
            <w:tcW w:w="233" w:type="dxa"/>
            <w:tcBorders/>
            <w:shd w:fill="CCEEFF" w:val="clear"/>
            <w:vAlign w:val="bottom"/>
          </w:tcPr>
          <w:p>
            <w:pPr>
              <w:pStyle w:val="TableContents"/>
              <w:spacing w:before="0" w:after="283"/>
              <w:rPr/>
            </w:pPr>
            <w:r>
              <w:rPr/>
              <w:t> </w:t>
            </w:r>
          </w:p>
        </w:tc>
      </w:tr>
      <w:tr>
        <w:trPr/>
        <w:tc>
          <w:tcPr>
            <w:tcW w:w="2098"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98" w:type="dxa"/>
            <w:tcBorders/>
            <w:shd w:fill="auto" w:val="clear"/>
            <w:vAlign w:val="bottom"/>
          </w:tcPr>
          <w:p>
            <w:pPr>
              <w:pStyle w:val="TableContents"/>
              <w:spacing w:before="0" w:after="0"/>
              <w:ind w:left="675" w:right="0" w:hanging="225"/>
              <w:rPr/>
            </w:pPr>
            <w:r>
              <w:rPr/>
              <w:t>Total gross margins</w:t>
            </w:r>
          </w:p>
        </w:tc>
        <w:tc>
          <w:tcPr>
            <w:tcW w:w="19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8,661</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785" w:type="dxa"/>
            <w:tcBorders/>
            <w:shd w:fill="auto" w:val="clear"/>
            <w:vAlign w:val="bottom"/>
          </w:tcPr>
          <w:p>
            <w:pPr>
              <w:pStyle w:val="TableContents"/>
              <w:spacing w:before="0" w:after="283"/>
              <w:jc w:val="right"/>
              <w:rPr/>
            </w:pPr>
            <w:r>
              <w:rPr/>
              <w:t>36.3</w:t>
            </w:r>
          </w:p>
        </w:tc>
        <w:tc>
          <w:tcPr>
            <w:tcW w:w="270" w:type="dxa"/>
            <w:tcBorders/>
            <w:shd w:fill="auto" w:val="clear"/>
            <w:vAlign w:val="bottom"/>
          </w:tcPr>
          <w:p>
            <w:pPr>
              <w:pStyle w:val="TableContents"/>
              <w:spacing w:before="0" w:after="283"/>
              <w:rPr/>
            </w:pPr>
            <w:r>
              <w:rPr/>
              <w:t>%</w:t>
            </w:r>
          </w:p>
        </w:tc>
        <w:tc>
          <w:tcPr>
            <w:tcW w:w="20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6,355</w:t>
            </w:r>
          </w:p>
        </w:tc>
        <w:tc>
          <w:tcPr>
            <w:tcW w:w="2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70" w:type="dxa"/>
            <w:tcBorders/>
            <w:shd w:fill="auto" w:val="clear"/>
            <w:vAlign w:val="bottom"/>
          </w:tcPr>
          <w:p>
            <w:pPr>
              <w:pStyle w:val="TableContents"/>
              <w:spacing w:before="0" w:after="283"/>
              <w:jc w:val="right"/>
              <w:rPr/>
            </w:pPr>
            <w:r>
              <w:rPr/>
              <w:t>12,071</w:t>
            </w:r>
          </w:p>
        </w:tc>
        <w:tc>
          <w:tcPr>
            <w:tcW w:w="22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45.3</w:t>
            </w:r>
          </w:p>
        </w:tc>
        <w:tc>
          <w:tcPr>
            <w:tcW w:w="227" w:type="dxa"/>
            <w:tcBorders/>
            <w:shd w:fill="auto" w:val="clear"/>
            <w:vAlign w:val="bottom"/>
          </w:tcPr>
          <w:p>
            <w:pPr>
              <w:pStyle w:val="TableContents"/>
              <w:spacing w:before="0" w:after="283"/>
              <w:rPr/>
            </w:pPr>
            <w:r>
              <w:rPr/>
              <w:t>%</w:t>
            </w:r>
          </w:p>
        </w:tc>
        <w:tc>
          <w:tcPr>
            <w:tcW w:w="19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663" w:type="dxa"/>
            <w:tcBorders/>
            <w:shd w:fill="auto" w:val="clear"/>
            <w:vAlign w:val="bottom"/>
          </w:tcPr>
          <w:p>
            <w:pPr>
              <w:pStyle w:val="TableContents"/>
              <w:spacing w:before="0" w:after="283"/>
              <w:jc w:val="right"/>
              <w:rPr/>
            </w:pPr>
            <w:r>
              <w:rPr/>
              <w:t>8,307</w:t>
            </w:r>
          </w:p>
        </w:tc>
        <w:tc>
          <w:tcPr>
            <w:tcW w:w="233" w:type="dxa"/>
            <w:tcBorders/>
            <w:shd w:fill="auto" w:val="clear"/>
            <w:vAlign w:val="bottom"/>
          </w:tcPr>
          <w:p>
            <w:pPr>
              <w:pStyle w:val="TableContents"/>
              <w:spacing w:before="0" w:after="283"/>
              <w:rPr/>
            </w:pPr>
            <w:r>
              <w:rPr/>
              <w:t> </w:t>
            </w:r>
          </w:p>
        </w:tc>
      </w:tr>
      <w:tr>
        <w:trPr/>
        <w:tc>
          <w:tcPr>
            <w:tcW w:w="2098"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98" w:type="dxa"/>
            <w:tcBorders/>
            <w:shd w:fill="CCEEFF" w:val="clear"/>
            <w:vAlign w:val="bottom"/>
          </w:tcPr>
          <w:p>
            <w:pPr>
              <w:pStyle w:val="TableContents"/>
              <w:spacing w:before="0" w:after="0"/>
              <w:ind w:left="225" w:right="0" w:hanging="225"/>
              <w:rPr/>
            </w:pPr>
            <w:r>
              <w:rPr/>
              <w:t>Gross profit percentages:</w:t>
            </w:r>
          </w:p>
        </w:tc>
        <w:tc>
          <w:tcPr>
            <w:tcW w:w="19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098" w:type="dxa"/>
            <w:tcBorders/>
            <w:shd w:fill="auto" w:val="clear"/>
            <w:vAlign w:val="bottom"/>
          </w:tcPr>
          <w:p>
            <w:pPr>
              <w:pStyle w:val="TableContents"/>
              <w:spacing w:before="0" w:after="0"/>
              <w:ind w:left="450" w:right="0" w:hanging="225"/>
              <w:rPr/>
            </w:pPr>
            <w:r>
              <w:rPr/>
              <w:t>Fresh products</w:t>
            </w:r>
          </w:p>
        </w:tc>
        <w:tc>
          <w:tcPr>
            <w:tcW w:w="19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9.7</w:t>
            </w:r>
          </w:p>
        </w:tc>
        <w:tc>
          <w:tcPr>
            <w:tcW w:w="270" w:type="dxa"/>
            <w:tcBorders/>
            <w:shd w:fill="auto" w:val="clear"/>
            <w:vAlign w:val="bottom"/>
          </w:tcPr>
          <w:p>
            <w:pPr>
              <w:pStyle w:val="TableContents"/>
              <w:spacing w:before="0" w:after="283"/>
              <w:rPr/>
            </w:pPr>
            <w:r>
              <w:rPr/>
              <w:t>%</w:t>
            </w:r>
          </w:p>
        </w:tc>
        <w:tc>
          <w:tcPr>
            <w:tcW w:w="20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9.0</w:t>
            </w:r>
          </w:p>
        </w:tc>
        <w:tc>
          <w:tcPr>
            <w:tcW w:w="221"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283"/>
              <w:jc w:val="right"/>
              <w:rPr/>
            </w:pPr>
            <w:r>
              <w:rPr/>
              <w:t>7.1</w:t>
            </w:r>
          </w:p>
        </w:tc>
        <w:tc>
          <w:tcPr>
            <w:tcW w:w="227"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6.6</w:t>
            </w:r>
          </w:p>
        </w:tc>
        <w:tc>
          <w:tcPr>
            <w:tcW w:w="233" w:type="dxa"/>
            <w:tcBorders/>
            <w:shd w:fill="auto" w:val="clear"/>
            <w:vAlign w:val="bottom"/>
          </w:tcPr>
          <w:p>
            <w:pPr>
              <w:pStyle w:val="TableContents"/>
              <w:spacing w:before="0" w:after="283"/>
              <w:rPr/>
            </w:pPr>
            <w:r>
              <w:rPr/>
              <w:t>%</w:t>
            </w:r>
          </w:p>
        </w:tc>
      </w:tr>
      <w:tr>
        <w:trPr/>
        <w:tc>
          <w:tcPr>
            <w:tcW w:w="2098" w:type="dxa"/>
            <w:tcBorders/>
            <w:shd w:fill="CCEEFF" w:val="clear"/>
            <w:vAlign w:val="bottom"/>
          </w:tcPr>
          <w:p>
            <w:pPr>
              <w:pStyle w:val="TableContents"/>
              <w:spacing w:before="0" w:after="0"/>
              <w:ind w:left="450" w:right="0" w:hanging="225"/>
              <w:rPr/>
            </w:pPr>
            <w:r>
              <w:rPr/>
              <w:t>Processed products</w:t>
            </w:r>
          </w:p>
        </w:tc>
        <w:tc>
          <w:tcPr>
            <w:tcW w:w="19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32.5</w:t>
            </w:r>
          </w:p>
        </w:tc>
        <w:tc>
          <w:tcPr>
            <w:tcW w:w="270" w:type="dxa"/>
            <w:tcBorders/>
            <w:shd w:fill="CCEEFF" w:val="clear"/>
            <w:vAlign w:val="bottom"/>
          </w:tcPr>
          <w:p>
            <w:pPr>
              <w:pStyle w:val="TableContents"/>
              <w:spacing w:before="0" w:after="283"/>
              <w:rPr/>
            </w:pPr>
            <w:r>
              <w:rPr/>
              <w:t>%</w:t>
            </w:r>
          </w:p>
        </w:tc>
        <w:tc>
          <w:tcPr>
            <w:tcW w:w="20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23.1</w:t>
            </w:r>
          </w:p>
        </w:tc>
        <w:tc>
          <w:tcPr>
            <w:tcW w:w="221"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28.6</w:t>
            </w:r>
          </w:p>
        </w:tc>
        <w:tc>
          <w:tcPr>
            <w:tcW w:w="227"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pPr>
            <w:r>
              <w:rPr/>
              <w:t>16.5</w:t>
            </w:r>
          </w:p>
        </w:tc>
        <w:tc>
          <w:tcPr>
            <w:tcW w:w="233" w:type="dxa"/>
            <w:tcBorders/>
            <w:shd w:fill="CCEEFF" w:val="clear"/>
            <w:vAlign w:val="bottom"/>
          </w:tcPr>
          <w:p>
            <w:pPr>
              <w:pStyle w:val="TableContents"/>
              <w:spacing w:before="0" w:after="283"/>
              <w:rPr/>
            </w:pPr>
            <w:r>
              <w:rPr/>
              <w:t>%</w:t>
            </w:r>
          </w:p>
        </w:tc>
      </w:tr>
      <w:tr>
        <w:trPr/>
        <w:tc>
          <w:tcPr>
            <w:tcW w:w="2098" w:type="dxa"/>
            <w:tcBorders/>
            <w:shd w:fill="auto" w:val="clear"/>
            <w:vAlign w:val="bottom"/>
          </w:tcPr>
          <w:p>
            <w:pPr>
              <w:pStyle w:val="TableContents"/>
              <w:spacing w:before="0" w:after="0"/>
              <w:ind w:left="450" w:right="0" w:hanging="225"/>
              <w:rPr/>
            </w:pPr>
            <w:r>
              <w:rPr/>
              <w:t>Consolidated</w:t>
            </w:r>
          </w:p>
        </w:tc>
        <w:tc>
          <w:tcPr>
            <w:tcW w:w="19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12.8</w:t>
            </w:r>
          </w:p>
        </w:tc>
        <w:tc>
          <w:tcPr>
            <w:tcW w:w="270" w:type="dxa"/>
            <w:tcBorders/>
            <w:shd w:fill="auto" w:val="clear"/>
            <w:vAlign w:val="bottom"/>
          </w:tcPr>
          <w:p>
            <w:pPr>
              <w:pStyle w:val="TableContents"/>
              <w:spacing w:before="0" w:after="283"/>
              <w:rPr/>
            </w:pPr>
            <w:r>
              <w:rPr/>
              <w:t>%</w:t>
            </w:r>
          </w:p>
        </w:tc>
        <w:tc>
          <w:tcPr>
            <w:tcW w:w="20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10.6</w:t>
            </w:r>
          </w:p>
        </w:tc>
        <w:tc>
          <w:tcPr>
            <w:tcW w:w="221"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283"/>
              <w:jc w:val="right"/>
              <w:rPr/>
            </w:pPr>
            <w:r>
              <w:rPr/>
              <w:t>10.2</w:t>
            </w:r>
          </w:p>
        </w:tc>
        <w:tc>
          <w:tcPr>
            <w:tcW w:w="227"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663" w:type="dxa"/>
            <w:tcBorders/>
            <w:shd w:fill="auto" w:val="clear"/>
            <w:vAlign w:val="bottom"/>
          </w:tcPr>
          <w:p>
            <w:pPr>
              <w:pStyle w:val="TableContents"/>
              <w:spacing w:before="0" w:after="283"/>
              <w:jc w:val="right"/>
              <w:rPr/>
            </w:pPr>
            <w:r>
              <w:rPr/>
              <w:t>7.7</w:t>
            </w:r>
          </w:p>
        </w:tc>
        <w:tc>
          <w:tcPr>
            <w:tcW w:w="233"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Gross margins increased by approximately $2.3 million, or 36.3%, and $3.8 million, or 45.3%, for the second quarter and first six months of fiscal 2006 when compared to the same periods for fiscal 2005. These increases were primarily attributable to improvements in both our fresh products and processed products segments. </w:t>
      </w:r>
    </w:p>
    <w:p>
      <w:pPr>
        <w:pStyle w:val="TextBody"/>
        <w:spacing w:before="120" w:after="283"/>
        <w:jc w:val="left"/>
        <w:rPr/>
      </w:pPr>
      <w:r>
        <w:rPr/>
        <w:t>     </w:t>
      </w:r>
      <w:r>
        <w:rPr>
          <w:rFonts w:ascii="Times New Roman;Times;serif" w:hAnsi="Times New Roman;Times;serif"/>
          <w:sz w:val="17"/>
        </w:rPr>
        <w:t xml:space="preserve">For the second quarter and first six months of fiscal 2006, as compared to the same prior year period, gross margins related to our fresh products segment increased. Such increases were primarily driven by a significant increase in pounds of California fruit sold. For the second quarter and first six months of fiscal 2006, we experienced a 110.4% and 96.9% increase in fruit sold. This had the effect of decreasing our per pound production costs, which, as a result, positively impacted gross margins. The resulting higher gross margins for California avocados were partially offset, however, by decreases in Mexican and Chilean sourced fruit and the lower gross margins resulting therefrom. For the second quarter and first six months of fiscal 2006, the volume of Chilean fruit decreased 100% and 59.9%, and the volume of Mexican fruit decreased 30.1% for the second quarter 2006 when compared to the same prior year period. Additionally, we also experienced an increase in Mexican fruit costs. Collectively, these items contributed to a higher per pound cost, which negatively affected gross margins. </w:t>
      </w:r>
    </w:p>
    <w:p>
      <w:pPr>
        <w:pStyle w:val="TextBody"/>
        <w:spacing w:before="120" w:after="283"/>
        <w:jc w:val="left"/>
        <w:rPr/>
      </w:pPr>
      <w:r>
        <w:rPr/>
        <w:t>     </w:t>
      </w:r>
      <w:r>
        <w:rPr>
          <w:rFonts w:ascii="Times New Roman;Times;serif" w:hAnsi="Times New Roman;Times;serif"/>
          <w:sz w:val="17"/>
        </w:rPr>
        <w:t xml:space="preserve">The processed products gross profit percentages for the second quarter and first six months of fiscal 2006, increased primarily as a result of lower fruit costs and increases in total pounds produced, which had the effect of reducing our per pound costs. We anticipate that the gross profit percentage for our processed product segment will continue to experience significant fluctuations during the next fiscal quarter primarily due to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420"/>
        <w:gridCol w:w="242"/>
        <w:gridCol w:w="189"/>
        <w:gridCol w:w="649"/>
        <w:gridCol w:w="271"/>
        <w:gridCol w:w="250"/>
        <w:gridCol w:w="102"/>
        <w:gridCol w:w="517"/>
        <w:gridCol w:w="308"/>
        <w:gridCol w:w="250"/>
        <w:gridCol w:w="189"/>
        <w:gridCol w:w="649"/>
        <w:gridCol w:w="313"/>
        <w:gridCol w:w="242"/>
        <w:gridCol w:w="179"/>
        <w:gridCol w:w="615"/>
        <w:gridCol w:w="295"/>
        <w:gridCol w:w="247"/>
        <w:gridCol w:w="113"/>
        <w:gridCol w:w="451"/>
        <w:gridCol w:w="354"/>
        <w:gridCol w:w="247"/>
        <w:gridCol w:w="180"/>
        <w:gridCol w:w="615"/>
        <w:gridCol w:w="318"/>
      </w:tblGrid>
      <w:tr>
        <w:trPr/>
        <w:tc>
          <w:tcPr>
            <w:tcW w:w="242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3687"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42" w:type="dxa"/>
            <w:tcBorders/>
            <w:shd w:fill="auto" w:val="clear"/>
            <w:vAlign w:val="bottom"/>
          </w:tcPr>
          <w:p>
            <w:pPr>
              <w:pStyle w:val="TableContents"/>
              <w:spacing w:before="0" w:after="283"/>
              <w:rPr/>
            </w:pPr>
            <w:r>
              <w:rPr/>
              <w:t> </w:t>
            </w:r>
          </w:p>
        </w:tc>
        <w:tc>
          <w:tcPr>
            <w:tcW w:w="3614"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r>
      <w:tr>
        <w:trPr/>
        <w:tc>
          <w:tcPr>
            <w:tcW w:w="2420"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42" w:type="dxa"/>
            <w:tcBorders/>
            <w:shd w:fill="auto" w:val="clear"/>
            <w:vAlign w:val="bottom"/>
          </w:tcPr>
          <w:p>
            <w:pPr>
              <w:pStyle w:val="TableContents"/>
              <w:spacing w:before="0" w:after="283"/>
              <w:rPr/>
            </w:pPr>
            <w:r>
              <w:rPr/>
              <w:t> </w:t>
            </w:r>
          </w:p>
        </w:tc>
        <w:tc>
          <w:tcPr>
            <w:tcW w:w="110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50" w:type="dxa"/>
            <w:tcBorders/>
            <w:shd w:fill="auto" w:val="clear"/>
            <w:vAlign w:val="bottom"/>
          </w:tcPr>
          <w:p>
            <w:pPr>
              <w:pStyle w:val="TableContents"/>
              <w:spacing w:before="0" w:after="283"/>
              <w:rPr/>
            </w:pPr>
            <w:r>
              <w:rPr/>
              <w:t> </w:t>
            </w:r>
          </w:p>
        </w:tc>
        <w:tc>
          <w:tcPr>
            <w:tcW w:w="92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50" w:type="dxa"/>
            <w:tcBorders/>
            <w:shd w:fill="auto" w:val="clear"/>
            <w:vAlign w:val="bottom"/>
          </w:tcPr>
          <w:p>
            <w:pPr>
              <w:pStyle w:val="TableContents"/>
              <w:spacing w:before="0" w:after="283"/>
              <w:rPr/>
            </w:pPr>
            <w:r>
              <w:rPr/>
              <w:t> </w:t>
            </w:r>
          </w:p>
        </w:tc>
        <w:tc>
          <w:tcPr>
            <w:tcW w:w="115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42" w:type="dxa"/>
            <w:tcBorders/>
            <w:shd w:fill="auto" w:val="clear"/>
            <w:vAlign w:val="bottom"/>
          </w:tcPr>
          <w:p>
            <w:pPr>
              <w:pStyle w:val="TableContents"/>
              <w:spacing w:before="0" w:after="283"/>
              <w:rPr/>
            </w:pPr>
            <w:r>
              <w:rPr/>
              <w:t> </w:t>
            </w:r>
          </w:p>
        </w:tc>
        <w:tc>
          <w:tcPr>
            <w:tcW w:w="108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47" w:type="dxa"/>
            <w:tcBorders/>
            <w:shd w:fill="auto" w:val="clear"/>
            <w:vAlign w:val="bottom"/>
          </w:tcPr>
          <w:p>
            <w:pPr>
              <w:pStyle w:val="TableContents"/>
              <w:spacing w:before="0" w:after="283"/>
              <w:rPr/>
            </w:pPr>
            <w:r>
              <w:rPr/>
              <w:t> </w:t>
            </w:r>
          </w:p>
        </w:tc>
        <w:tc>
          <w:tcPr>
            <w:tcW w:w="91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47" w:type="dxa"/>
            <w:tcBorders/>
            <w:shd w:fill="auto" w:val="clear"/>
            <w:vAlign w:val="bottom"/>
          </w:tcPr>
          <w:p>
            <w:pPr>
              <w:pStyle w:val="TableContents"/>
              <w:spacing w:before="0" w:after="283"/>
              <w:rPr/>
            </w:pPr>
            <w:r>
              <w:rPr/>
              <w:t> </w:t>
            </w:r>
          </w:p>
        </w:tc>
        <w:tc>
          <w:tcPr>
            <w:tcW w:w="111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2420" w:type="dxa"/>
            <w:tcBorders/>
            <w:shd w:fill="auto" w:val="clear"/>
            <w:vAlign w:val="bottom"/>
          </w:tcPr>
          <w:p>
            <w:pPr>
              <w:pStyle w:val="TableContents"/>
              <w:spacing w:before="0" w:after="0"/>
              <w:ind w:left="225" w:right="0" w:hanging="225"/>
              <w:rPr/>
            </w:pPr>
            <w:r>
              <w:rPr/>
              <w:t>Selling, general and administrative</w:t>
            </w:r>
          </w:p>
        </w:tc>
        <w:tc>
          <w:tcPr>
            <w:tcW w:w="24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right"/>
              <w:rPr/>
            </w:pPr>
            <w:r>
              <w:rPr/>
              <w:t>$</w:t>
            </w:r>
          </w:p>
        </w:tc>
        <w:tc>
          <w:tcPr>
            <w:tcW w:w="649" w:type="dxa"/>
            <w:tcBorders/>
            <w:shd w:fill="auto" w:val="clear"/>
            <w:vAlign w:val="bottom"/>
          </w:tcPr>
          <w:p>
            <w:pPr>
              <w:pStyle w:val="TableContents"/>
              <w:spacing w:before="0" w:after="283"/>
              <w:jc w:val="right"/>
              <w:rPr/>
            </w:pPr>
            <w:r>
              <w:rPr/>
              <w:t>5,063</w:t>
            </w:r>
          </w:p>
        </w:tc>
        <w:tc>
          <w:tcPr>
            <w:tcW w:w="2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right"/>
              <w:rPr/>
            </w:pPr>
            <w:r>
              <w:rPr/>
              <w:t> </w:t>
            </w:r>
          </w:p>
        </w:tc>
        <w:tc>
          <w:tcPr>
            <w:tcW w:w="517" w:type="dxa"/>
            <w:tcBorders/>
            <w:shd w:fill="auto" w:val="clear"/>
            <w:vAlign w:val="bottom"/>
          </w:tcPr>
          <w:p>
            <w:pPr>
              <w:pStyle w:val="TableContents"/>
              <w:spacing w:before="0" w:after="283"/>
              <w:jc w:val="right"/>
              <w:rPr/>
            </w:pPr>
            <w:r>
              <w:rPr/>
              <w:t>17.6</w:t>
            </w:r>
          </w:p>
        </w:tc>
        <w:tc>
          <w:tcPr>
            <w:tcW w:w="308" w:type="dxa"/>
            <w:tcBorders/>
            <w:shd w:fill="auto" w:val="clear"/>
            <w:vAlign w:val="bottom"/>
          </w:tcPr>
          <w:p>
            <w:pPr>
              <w:pStyle w:val="TableContents"/>
              <w:spacing w:before="0" w:after="283"/>
              <w:rPr/>
            </w:pPr>
            <w:r>
              <w:rPr/>
              <w:t>%</w:t>
            </w:r>
          </w:p>
        </w:tc>
        <w:tc>
          <w:tcPr>
            <w:tcW w:w="250"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right"/>
              <w:rPr/>
            </w:pPr>
            <w:r>
              <w:rPr/>
              <w:t>$</w:t>
            </w:r>
          </w:p>
        </w:tc>
        <w:tc>
          <w:tcPr>
            <w:tcW w:w="649" w:type="dxa"/>
            <w:tcBorders/>
            <w:shd w:fill="auto" w:val="clear"/>
            <w:vAlign w:val="bottom"/>
          </w:tcPr>
          <w:p>
            <w:pPr>
              <w:pStyle w:val="TableContents"/>
              <w:spacing w:before="0" w:after="283"/>
              <w:jc w:val="right"/>
              <w:rPr/>
            </w:pPr>
            <w:r>
              <w:rPr/>
              <w:t>4,307</w:t>
            </w:r>
          </w:p>
        </w:tc>
        <w:tc>
          <w:tcPr>
            <w:tcW w:w="31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right"/>
              <w:rPr/>
            </w:pPr>
            <w:r>
              <w:rPr/>
              <w:t>$</w:t>
            </w:r>
          </w:p>
        </w:tc>
        <w:tc>
          <w:tcPr>
            <w:tcW w:w="615" w:type="dxa"/>
            <w:tcBorders/>
            <w:shd w:fill="auto" w:val="clear"/>
            <w:vAlign w:val="bottom"/>
          </w:tcPr>
          <w:p>
            <w:pPr>
              <w:pStyle w:val="TableContents"/>
              <w:spacing w:before="0" w:after="283"/>
              <w:jc w:val="right"/>
              <w:rPr/>
            </w:pPr>
            <w:r>
              <w:rPr/>
              <w:t>9,507</w:t>
            </w:r>
          </w:p>
        </w:tc>
        <w:tc>
          <w:tcPr>
            <w:tcW w:w="29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right"/>
              <w:rPr/>
            </w:pPr>
            <w:r>
              <w:rPr/>
              <w:t> </w:t>
            </w:r>
          </w:p>
        </w:tc>
        <w:tc>
          <w:tcPr>
            <w:tcW w:w="451" w:type="dxa"/>
            <w:tcBorders/>
            <w:shd w:fill="auto" w:val="clear"/>
            <w:vAlign w:val="bottom"/>
          </w:tcPr>
          <w:p>
            <w:pPr>
              <w:pStyle w:val="TableContents"/>
              <w:spacing w:before="0" w:after="283"/>
              <w:jc w:val="right"/>
              <w:rPr/>
            </w:pPr>
            <w:r>
              <w:rPr/>
              <w:t>7.8</w:t>
            </w:r>
          </w:p>
        </w:tc>
        <w:tc>
          <w:tcPr>
            <w:tcW w:w="354" w:type="dxa"/>
            <w:tcBorders/>
            <w:shd w:fill="auto" w:val="clear"/>
            <w:vAlign w:val="bottom"/>
          </w:tcPr>
          <w:p>
            <w:pPr>
              <w:pStyle w:val="TableContents"/>
              <w:spacing w:before="0" w:after="283"/>
              <w:rPr/>
            </w:pPr>
            <w:r>
              <w:rPr/>
              <w:t>%</w:t>
            </w:r>
          </w:p>
        </w:tc>
        <w:tc>
          <w:tcPr>
            <w:tcW w:w="2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right"/>
              <w:rPr/>
            </w:pPr>
            <w:r>
              <w:rPr/>
              <w:t>$</w:t>
            </w:r>
          </w:p>
        </w:tc>
        <w:tc>
          <w:tcPr>
            <w:tcW w:w="615" w:type="dxa"/>
            <w:tcBorders/>
            <w:shd w:fill="auto" w:val="clear"/>
            <w:vAlign w:val="bottom"/>
          </w:tcPr>
          <w:p>
            <w:pPr>
              <w:pStyle w:val="TableContents"/>
              <w:spacing w:before="0" w:after="283"/>
              <w:jc w:val="right"/>
              <w:rPr/>
            </w:pPr>
            <w:r>
              <w:rPr/>
              <w:t>8,820</w:t>
            </w:r>
          </w:p>
        </w:tc>
        <w:tc>
          <w:tcPr>
            <w:tcW w:w="318" w:type="dxa"/>
            <w:tcBorders/>
            <w:shd w:fill="auto" w:val="clear"/>
            <w:vAlign w:val="bottom"/>
          </w:tcPr>
          <w:p>
            <w:pPr>
              <w:pStyle w:val="TableContents"/>
              <w:spacing w:before="0" w:after="283"/>
              <w:rPr/>
            </w:pPr>
            <w:r>
              <w:rPr/>
              <w:t> </w:t>
            </w:r>
          </w:p>
        </w:tc>
      </w:tr>
      <w:tr>
        <w:trPr/>
        <w:tc>
          <w:tcPr>
            <w:tcW w:w="2420" w:type="dxa"/>
            <w:tcBorders/>
            <w:shd w:fill="auto" w:val="clear"/>
            <w:vAlign w:val="bottom"/>
          </w:tcPr>
          <w:p>
            <w:pPr>
              <w:pStyle w:val="TableContents"/>
              <w:spacing w:before="0" w:after="0"/>
              <w:ind w:left="225" w:right="0" w:hanging="225"/>
              <w:rPr/>
            </w:pPr>
            <w:r>
              <w:rPr/>
              <w:t>Percentage of net sales</w:t>
            </w:r>
          </w:p>
        </w:tc>
        <w:tc>
          <w:tcPr>
            <w:tcW w:w="24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right"/>
              <w:rPr/>
            </w:pPr>
            <w:r>
              <w:rPr/>
              <w:t> </w:t>
            </w:r>
          </w:p>
        </w:tc>
        <w:tc>
          <w:tcPr>
            <w:tcW w:w="649" w:type="dxa"/>
            <w:tcBorders/>
            <w:shd w:fill="auto" w:val="clear"/>
            <w:vAlign w:val="bottom"/>
          </w:tcPr>
          <w:p>
            <w:pPr>
              <w:pStyle w:val="TableContents"/>
              <w:spacing w:before="0" w:after="283"/>
              <w:jc w:val="right"/>
              <w:rPr/>
            </w:pPr>
            <w:r>
              <w:rPr/>
              <w:t>7.5</w:t>
            </w:r>
          </w:p>
        </w:tc>
        <w:tc>
          <w:tcPr>
            <w:tcW w:w="271" w:type="dxa"/>
            <w:tcBorders/>
            <w:shd w:fill="auto" w:val="clear"/>
            <w:vAlign w:val="bottom"/>
          </w:tcPr>
          <w:p>
            <w:pPr>
              <w:pStyle w:val="TableContents"/>
              <w:spacing w:before="0" w:after="283"/>
              <w:rPr/>
            </w:pPr>
            <w:r>
              <w:rPr/>
              <w:t>%</w:t>
            </w:r>
          </w:p>
        </w:tc>
        <w:tc>
          <w:tcPr>
            <w:tcW w:w="25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right"/>
              <w:rPr/>
            </w:pPr>
            <w:r>
              <w:rPr/>
              <w:t> </w:t>
            </w:r>
          </w:p>
        </w:tc>
        <w:tc>
          <w:tcPr>
            <w:tcW w:w="649" w:type="dxa"/>
            <w:tcBorders/>
            <w:shd w:fill="auto" w:val="clear"/>
            <w:vAlign w:val="bottom"/>
          </w:tcPr>
          <w:p>
            <w:pPr>
              <w:pStyle w:val="TableContents"/>
              <w:spacing w:before="0" w:after="283"/>
              <w:jc w:val="right"/>
              <w:rPr/>
            </w:pPr>
            <w:r>
              <w:rPr/>
              <w:t>7.2</w:t>
            </w:r>
          </w:p>
        </w:tc>
        <w:tc>
          <w:tcPr>
            <w:tcW w:w="313" w:type="dxa"/>
            <w:tcBorders/>
            <w:shd w:fill="auto" w:val="clear"/>
            <w:vAlign w:val="bottom"/>
          </w:tcPr>
          <w:p>
            <w:pPr>
              <w:pStyle w:val="TableContents"/>
              <w:spacing w:before="0" w:after="283"/>
              <w:rPr/>
            </w:pPr>
            <w:r>
              <w:rPr/>
              <w:t>%</w:t>
            </w:r>
          </w:p>
        </w:tc>
        <w:tc>
          <w:tcPr>
            <w:tcW w:w="242"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right"/>
              <w:rPr/>
            </w:pPr>
            <w:r>
              <w:rPr/>
              <w:t> </w:t>
            </w:r>
          </w:p>
        </w:tc>
        <w:tc>
          <w:tcPr>
            <w:tcW w:w="615" w:type="dxa"/>
            <w:tcBorders/>
            <w:shd w:fill="auto" w:val="clear"/>
            <w:vAlign w:val="bottom"/>
          </w:tcPr>
          <w:p>
            <w:pPr>
              <w:pStyle w:val="TableContents"/>
              <w:spacing w:before="0" w:after="283"/>
              <w:jc w:val="right"/>
              <w:rPr/>
            </w:pPr>
            <w:r>
              <w:rPr/>
              <w:t>8.1</w:t>
            </w:r>
          </w:p>
        </w:tc>
        <w:tc>
          <w:tcPr>
            <w:tcW w:w="295" w:type="dxa"/>
            <w:tcBorders/>
            <w:shd w:fill="auto" w:val="clear"/>
            <w:vAlign w:val="bottom"/>
          </w:tcPr>
          <w:p>
            <w:pPr>
              <w:pStyle w:val="TableContents"/>
              <w:spacing w:before="0" w:after="283"/>
              <w:rPr/>
            </w:pPr>
            <w:r>
              <w:rPr/>
              <w:t>%</w:t>
            </w:r>
          </w:p>
        </w:tc>
        <w:tc>
          <w:tcPr>
            <w:tcW w:w="24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right"/>
              <w:rPr/>
            </w:pPr>
            <w:r>
              <w:rPr/>
              <w:t> </w:t>
            </w:r>
          </w:p>
        </w:tc>
        <w:tc>
          <w:tcPr>
            <w:tcW w:w="615" w:type="dxa"/>
            <w:tcBorders/>
            <w:shd w:fill="auto" w:val="clear"/>
            <w:vAlign w:val="bottom"/>
          </w:tcPr>
          <w:p>
            <w:pPr>
              <w:pStyle w:val="TableContents"/>
              <w:spacing w:before="0" w:after="283"/>
              <w:jc w:val="right"/>
              <w:rPr/>
            </w:pPr>
            <w:r>
              <w:rPr/>
              <w:t>8.2</w:t>
            </w:r>
          </w:p>
        </w:tc>
        <w:tc>
          <w:tcPr>
            <w:tcW w:w="318"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increased $0.8 million, or 17.6%, for the three months ended April 30, 2006, when compared to the same period for fiscal 2005. This increase was primarily related to higher corporate costs, including, but not limited to, costs related to implementing provisions required under section 404 of the Sarbanes-Oxley Act (totaling approximately $0.5 million), an increase in employee compensation expenses (totaling approximately $0.2 million) and an increase in stock based compensation (totaling approximately $0.1 million). For the first six months ended April 30, 2006, when compared to the same prior year period, selling, general and administrative expenses increased by $0.7 million, or 7.8%. This increase was primarily related to higher corporate costs, including, but not limited to, an increase in employee compensation expenses (totaling approximately $0.2 million), an increase in stock based compensation (totaling approximately $0.2 million), an increase in auditing fees (totaling approximately $0.1 million) and an increase in rent expense related to our corporate office (totaling approximately $0.1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Income,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480"/>
        <w:gridCol w:w="254"/>
        <w:gridCol w:w="196"/>
        <w:gridCol w:w="399"/>
        <w:gridCol w:w="281"/>
        <w:gridCol w:w="264"/>
        <w:gridCol w:w="106"/>
        <w:gridCol w:w="619"/>
        <w:gridCol w:w="404"/>
        <w:gridCol w:w="264"/>
        <w:gridCol w:w="196"/>
        <w:gridCol w:w="669"/>
        <w:gridCol w:w="326"/>
        <w:gridCol w:w="254"/>
        <w:gridCol w:w="174"/>
        <w:gridCol w:w="361"/>
        <w:gridCol w:w="286"/>
        <w:gridCol w:w="254"/>
        <w:gridCol w:w="96"/>
        <w:gridCol w:w="652"/>
        <w:gridCol w:w="358"/>
        <w:gridCol w:w="254"/>
        <w:gridCol w:w="174"/>
        <w:gridCol w:w="579"/>
        <w:gridCol w:w="305"/>
      </w:tblGrid>
      <w:tr>
        <w:trPr/>
        <w:tc>
          <w:tcPr>
            <w:tcW w:w="248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48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724"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54" w:type="dxa"/>
            <w:tcBorders/>
            <w:shd w:fill="auto" w:val="clear"/>
            <w:vAlign w:val="bottom"/>
          </w:tcPr>
          <w:p>
            <w:pPr>
              <w:pStyle w:val="TableContents"/>
              <w:spacing w:before="0" w:after="283"/>
              <w:rPr/>
            </w:pPr>
            <w:r>
              <w:rPr/>
              <w:t> </w:t>
            </w:r>
          </w:p>
        </w:tc>
        <w:tc>
          <w:tcPr>
            <w:tcW w:w="3493"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r>
      <w:tr>
        <w:trPr/>
        <w:tc>
          <w:tcPr>
            <w:tcW w:w="2480"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54" w:type="dxa"/>
            <w:tcBorders/>
            <w:shd w:fill="auto" w:val="clear"/>
            <w:vAlign w:val="bottom"/>
          </w:tcPr>
          <w:p>
            <w:pPr>
              <w:pStyle w:val="TableContents"/>
              <w:spacing w:before="0" w:after="283"/>
              <w:rPr/>
            </w:pPr>
            <w:r>
              <w:rPr/>
              <w:t> </w:t>
            </w:r>
          </w:p>
        </w:tc>
        <w:tc>
          <w:tcPr>
            <w:tcW w:w="87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64" w:type="dxa"/>
            <w:tcBorders/>
            <w:shd w:fill="auto" w:val="clear"/>
            <w:vAlign w:val="bottom"/>
          </w:tcPr>
          <w:p>
            <w:pPr>
              <w:pStyle w:val="TableContents"/>
              <w:spacing w:before="0" w:after="283"/>
              <w:rPr/>
            </w:pPr>
            <w:r>
              <w:rPr/>
              <w:t> </w:t>
            </w:r>
          </w:p>
        </w:tc>
        <w:tc>
          <w:tcPr>
            <w:tcW w:w="112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64" w:type="dxa"/>
            <w:tcBorders/>
            <w:shd w:fill="auto" w:val="clear"/>
            <w:vAlign w:val="bottom"/>
          </w:tcPr>
          <w:p>
            <w:pPr>
              <w:pStyle w:val="TableContents"/>
              <w:spacing w:before="0" w:after="283"/>
              <w:rPr/>
            </w:pPr>
            <w:r>
              <w:rPr/>
              <w:t> </w:t>
            </w:r>
          </w:p>
        </w:tc>
        <w:tc>
          <w:tcPr>
            <w:tcW w:w="119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54" w:type="dxa"/>
            <w:tcBorders/>
            <w:shd w:fill="auto" w:val="clear"/>
            <w:vAlign w:val="bottom"/>
          </w:tcPr>
          <w:p>
            <w:pPr>
              <w:pStyle w:val="TableContents"/>
              <w:spacing w:before="0" w:after="283"/>
              <w:rPr/>
            </w:pPr>
            <w:r>
              <w:rPr/>
              <w:t> </w:t>
            </w:r>
          </w:p>
        </w:tc>
        <w:tc>
          <w:tcPr>
            <w:tcW w:w="82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54" w:type="dxa"/>
            <w:tcBorders/>
            <w:shd w:fill="auto" w:val="clear"/>
            <w:vAlign w:val="bottom"/>
          </w:tcPr>
          <w:p>
            <w:pPr>
              <w:pStyle w:val="TableContents"/>
              <w:spacing w:before="0" w:after="283"/>
              <w:rPr/>
            </w:pPr>
            <w:r>
              <w:rPr/>
              <w:t> </w:t>
            </w:r>
          </w:p>
        </w:tc>
        <w:tc>
          <w:tcPr>
            <w:tcW w:w="110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54" w:type="dxa"/>
            <w:tcBorders/>
            <w:shd w:fill="auto" w:val="clear"/>
            <w:vAlign w:val="bottom"/>
          </w:tcPr>
          <w:p>
            <w:pPr>
              <w:pStyle w:val="TableContents"/>
              <w:spacing w:before="0" w:after="283"/>
              <w:rPr/>
            </w:pPr>
            <w:r>
              <w:rPr/>
              <w:t> </w:t>
            </w:r>
          </w:p>
        </w:tc>
        <w:tc>
          <w:tcPr>
            <w:tcW w:w="105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2480" w:type="dxa"/>
            <w:tcBorders/>
            <w:shd w:fill="auto" w:val="clear"/>
            <w:vAlign w:val="bottom"/>
          </w:tcPr>
          <w:p>
            <w:pPr>
              <w:pStyle w:val="TableContents"/>
              <w:spacing w:before="0" w:after="0"/>
              <w:ind w:left="225" w:right="0" w:hanging="225"/>
              <w:rPr/>
            </w:pPr>
            <w:r>
              <w:rPr/>
              <w:t>Other income, net</w:t>
            </w:r>
          </w:p>
        </w:tc>
        <w:tc>
          <w:tcPr>
            <w:tcW w:w="25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pPr>
            <w:r>
              <w:rPr/>
              <w:t>$</w:t>
            </w:r>
          </w:p>
        </w:tc>
        <w:tc>
          <w:tcPr>
            <w:tcW w:w="399" w:type="dxa"/>
            <w:tcBorders/>
            <w:shd w:fill="auto" w:val="clear"/>
            <w:vAlign w:val="bottom"/>
          </w:tcPr>
          <w:p>
            <w:pPr>
              <w:pStyle w:val="TableContents"/>
              <w:spacing w:before="0" w:after="283"/>
              <w:jc w:val="right"/>
              <w:rPr/>
            </w:pPr>
            <w:r>
              <w:rPr/>
              <w:t>10</w:t>
            </w:r>
          </w:p>
        </w:tc>
        <w:tc>
          <w:tcPr>
            <w:tcW w:w="281"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right"/>
              <w:rPr/>
            </w:pPr>
            <w:r>
              <w:rPr/>
              <w:t> </w:t>
            </w:r>
          </w:p>
        </w:tc>
        <w:tc>
          <w:tcPr>
            <w:tcW w:w="619" w:type="dxa"/>
            <w:tcBorders/>
            <w:shd w:fill="auto" w:val="clear"/>
            <w:vAlign w:val="bottom"/>
          </w:tcPr>
          <w:p>
            <w:pPr>
              <w:pStyle w:val="TableContents"/>
              <w:spacing w:before="0" w:after="283"/>
              <w:jc w:val="right"/>
              <w:rPr/>
            </w:pPr>
            <w:r>
              <w:rPr/>
              <w:t>(99.5</w:t>
            </w:r>
          </w:p>
        </w:tc>
        <w:tc>
          <w:tcPr>
            <w:tcW w:w="404" w:type="dxa"/>
            <w:tcBorders/>
            <w:shd w:fill="auto" w:val="clear"/>
            <w:vAlign w:val="bottom"/>
          </w:tcPr>
          <w:p>
            <w:pPr>
              <w:pStyle w:val="TableContents"/>
              <w:spacing w:before="0" w:after="283"/>
              <w:rPr/>
            </w:pPr>
            <w:r>
              <w:rPr/>
              <w:t>)%</w:t>
            </w:r>
          </w:p>
        </w:tc>
        <w:tc>
          <w:tcPr>
            <w:tcW w:w="26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pPr>
            <w:r>
              <w:rPr/>
              <w:t>$</w:t>
            </w:r>
          </w:p>
        </w:tc>
        <w:tc>
          <w:tcPr>
            <w:tcW w:w="669" w:type="dxa"/>
            <w:tcBorders/>
            <w:shd w:fill="auto" w:val="clear"/>
            <w:vAlign w:val="bottom"/>
          </w:tcPr>
          <w:p>
            <w:pPr>
              <w:pStyle w:val="TableContents"/>
              <w:spacing w:before="0" w:after="283"/>
              <w:jc w:val="right"/>
              <w:rPr/>
            </w:pPr>
            <w:r>
              <w:rPr/>
              <w:t>1,909</w:t>
            </w:r>
          </w:p>
        </w:tc>
        <w:tc>
          <w:tcPr>
            <w:tcW w:w="326"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w:t>
            </w:r>
          </w:p>
        </w:tc>
        <w:tc>
          <w:tcPr>
            <w:tcW w:w="361" w:type="dxa"/>
            <w:tcBorders/>
            <w:shd w:fill="auto" w:val="clear"/>
            <w:vAlign w:val="bottom"/>
          </w:tcPr>
          <w:p>
            <w:pPr>
              <w:pStyle w:val="TableContents"/>
              <w:spacing w:before="0" w:after="283"/>
              <w:jc w:val="right"/>
              <w:rPr/>
            </w:pPr>
            <w:r>
              <w:rPr/>
              <w:t>(65</w:t>
            </w:r>
          </w:p>
        </w:tc>
        <w:tc>
          <w:tcPr>
            <w:tcW w:w="286"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jc w:val="right"/>
              <w:rPr/>
            </w:pPr>
            <w:r>
              <w:rPr/>
              <w:t> </w:t>
            </w:r>
          </w:p>
        </w:tc>
        <w:tc>
          <w:tcPr>
            <w:tcW w:w="652" w:type="dxa"/>
            <w:tcBorders/>
            <w:shd w:fill="auto" w:val="clear"/>
            <w:vAlign w:val="bottom"/>
          </w:tcPr>
          <w:p>
            <w:pPr>
              <w:pStyle w:val="TableContents"/>
              <w:spacing w:before="0" w:after="283"/>
              <w:jc w:val="right"/>
              <w:rPr/>
            </w:pPr>
            <w:r>
              <w:rPr/>
              <w:t>(103.3</w:t>
            </w:r>
          </w:p>
        </w:tc>
        <w:tc>
          <w:tcPr>
            <w:tcW w:w="358"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w:t>
            </w:r>
          </w:p>
        </w:tc>
        <w:tc>
          <w:tcPr>
            <w:tcW w:w="579" w:type="dxa"/>
            <w:tcBorders/>
            <w:shd w:fill="auto" w:val="clear"/>
            <w:vAlign w:val="bottom"/>
          </w:tcPr>
          <w:p>
            <w:pPr>
              <w:pStyle w:val="TableContents"/>
              <w:spacing w:before="0" w:after="283"/>
              <w:jc w:val="right"/>
              <w:rPr/>
            </w:pPr>
            <w:r>
              <w:rPr/>
              <w:t>1,991</w:t>
            </w:r>
          </w:p>
        </w:tc>
        <w:tc>
          <w:tcPr>
            <w:tcW w:w="305" w:type="dxa"/>
            <w:tcBorders/>
            <w:shd w:fill="auto" w:val="clear"/>
            <w:vAlign w:val="bottom"/>
          </w:tcPr>
          <w:p>
            <w:pPr>
              <w:pStyle w:val="TableContents"/>
              <w:spacing w:before="0" w:after="283"/>
              <w:rPr/>
            </w:pPr>
            <w:r>
              <w:rPr/>
              <w:t> </w:t>
            </w:r>
          </w:p>
        </w:tc>
      </w:tr>
      <w:tr>
        <w:trPr/>
        <w:tc>
          <w:tcPr>
            <w:tcW w:w="2480" w:type="dxa"/>
            <w:tcBorders/>
            <w:shd w:fill="auto" w:val="clear"/>
            <w:vAlign w:val="bottom"/>
          </w:tcPr>
          <w:p>
            <w:pPr>
              <w:pStyle w:val="TableContents"/>
              <w:spacing w:before="0" w:after="0"/>
              <w:ind w:left="225" w:right="0" w:hanging="225"/>
              <w:rPr/>
            </w:pPr>
            <w:r>
              <w:rPr/>
              <w:t>Percentage of net sales</w:t>
            </w:r>
          </w:p>
        </w:tc>
        <w:tc>
          <w:tcPr>
            <w:tcW w:w="25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pPr>
            <w:r>
              <w:rPr/>
              <w:t> </w:t>
            </w:r>
          </w:p>
        </w:tc>
        <w:tc>
          <w:tcPr>
            <w:tcW w:w="399" w:type="dxa"/>
            <w:tcBorders/>
            <w:shd w:fill="auto" w:val="clear"/>
            <w:vAlign w:val="bottom"/>
          </w:tcPr>
          <w:p>
            <w:pPr>
              <w:pStyle w:val="TableContents"/>
              <w:spacing w:before="0" w:after="283"/>
              <w:jc w:val="right"/>
              <w:rPr/>
            </w:pPr>
            <w:r>
              <w:rPr/>
              <w:t>0.0</w:t>
            </w:r>
          </w:p>
        </w:tc>
        <w:tc>
          <w:tcPr>
            <w:tcW w:w="281" w:type="dxa"/>
            <w:tcBorders/>
            <w:shd w:fill="auto" w:val="clear"/>
            <w:vAlign w:val="bottom"/>
          </w:tcPr>
          <w:p>
            <w:pPr>
              <w:pStyle w:val="TableContents"/>
              <w:spacing w:before="0" w:after="283"/>
              <w:rPr/>
            </w:pPr>
            <w:r>
              <w:rPr/>
              <w:t>%</w:t>
            </w:r>
          </w:p>
        </w:tc>
        <w:tc>
          <w:tcPr>
            <w:tcW w:w="26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pPr>
            <w:r>
              <w:rPr/>
              <w:t> </w:t>
            </w:r>
          </w:p>
        </w:tc>
        <w:tc>
          <w:tcPr>
            <w:tcW w:w="669" w:type="dxa"/>
            <w:tcBorders/>
            <w:shd w:fill="auto" w:val="clear"/>
            <w:vAlign w:val="bottom"/>
          </w:tcPr>
          <w:p>
            <w:pPr>
              <w:pStyle w:val="TableContents"/>
              <w:spacing w:before="0" w:after="283"/>
              <w:jc w:val="right"/>
              <w:rPr/>
            </w:pPr>
            <w:r>
              <w:rPr/>
              <w:t>3.2</w:t>
            </w:r>
          </w:p>
        </w:tc>
        <w:tc>
          <w:tcPr>
            <w:tcW w:w="326"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 </w:t>
            </w:r>
          </w:p>
        </w:tc>
        <w:tc>
          <w:tcPr>
            <w:tcW w:w="361" w:type="dxa"/>
            <w:tcBorders/>
            <w:shd w:fill="auto" w:val="clear"/>
            <w:vAlign w:val="bottom"/>
          </w:tcPr>
          <w:p>
            <w:pPr>
              <w:pStyle w:val="TableContents"/>
              <w:spacing w:before="0" w:after="283"/>
              <w:jc w:val="right"/>
              <w:rPr/>
            </w:pPr>
            <w:r>
              <w:rPr/>
              <w:t>0.1</w:t>
            </w:r>
          </w:p>
        </w:tc>
        <w:tc>
          <w:tcPr>
            <w:tcW w:w="286"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right"/>
              <w:rPr/>
            </w:pPr>
            <w:r>
              <w:rPr/>
              <w:t> </w:t>
            </w:r>
          </w:p>
        </w:tc>
        <w:tc>
          <w:tcPr>
            <w:tcW w:w="579" w:type="dxa"/>
            <w:tcBorders/>
            <w:shd w:fill="auto" w:val="clear"/>
            <w:vAlign w:val="bottom"/>
          </w:tcPr>
          <w:p>
            <w:pPr>
              <w:pStyle w:val="TableContents"/>
              <w:spacing w:before="0" w:after="283"/>
              <w:jc w:val="right"/>
              <w:rPr/>
            </w:pPr>
            <w:r>
              <w:rPr/>
              <w:t>1.8</w:t>
            </w:r>
          </w:p>
        </w:tc>
        <w:tc>
          <w:tcPr>
            <w:tcW w:w="305"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Other income, net, includes interest income and expense generated in connection with our financing and operating activities, as well as certain other transactions that are outside of the course of normal operations. For the three and six months ended April 30, 2005, other income, net, includes the gain on the sale of our corporate facility totaling approximately $1.7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Provision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480"/>
        <w:gridCol w:w="254"/>
        <w:gridCol w:w="190"/>
        <w:gridCol w:w="642"/>
        <w:gridCol w:w="270"/>
        <w:gridCol w:w="261"/>
        <w:gridCol w:w="103"/>
        <w:gridCol w:w="464"/>
        <w:gridCol w:w="390"/>
        <w:gridCol w:w="261"/>
        <w:gridCol w:w="190"/>
        <w:gridCol w:w="642"/>
        <w:gridCol w:w="313"/>
        <w:gridCol w:w="254"/>
        <w:gridCol w:w="190"/>
        <w:gridCol w:w="513"/>
        <w:gridCol w:w="310"/>
        <w:gridCol w:w="261"/>
        <w:gridCol w:w="103"/>
        <w:gridCol w:w="514"/>
        <w:gridCol w:w="310"/>
        <w:gridCol w:w="261"/>
        <w:gridCol w:w="190"/>
        <w:gridCol w:w="514"/>
        <w:gridCol w:w="325"/>
      </w:tblGrid>
      <w:tr>
        <w:trPr/>
        <w:tc>
          <w:tcPr>
            <w:tcW w:w="248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r>
      <w:tr>
        <w:trPr/>
        <w:tc>
          <w:tcPr>
            <w:tcW w:w="248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72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54" w:type="dxa"/>
            <w:tcBorders/>
            <w:shd w:fill="auto" w:val="clear"/>
            <w:vAlign w:val="bottom"/>
          </w:tcPr>
          <w:p>
            <w:pPr>
              <w:pStyle w:val="TableContents"/>
              <w:spacing w:before="0" w:after="283"/>
              <w:rPr/>
            </w:pPr>
            <w:r>
              <w:rPr/>
              <w:t> </w:t>
            </w:r>
          </w:p>
        </w:tc>
        <w:tc>
          <w:tcPr>
            <w:tcW w:w="3491"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r>
      <w:tr>
        <w:trPr/>
        <w:tc>
          <w:tcPr>
            <w:tcW w:w="2480"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54" w:type="dxa"/>
            <w:tcBorders/>
            <w:shd w:fill="auto" w:val="clear"/>
            <w:vAlign w:val="bottom"/>
          </w:tcPr>
          <w:p>
            <w:pPr>
              <w:pStyle w:val="TableContents"/>
              <w:spacing w:before="0" w:after="283"/>
              <w:rPr/>
            </w:pPr>
            <w:r>
              <w:rPr/>
              <w:t> </w:t>
            </w:r>
          </w:p>
        </w:tc>
        <w:tc>
          <w:tcPr>
            <w:tcW w:w="110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61" w:type="dxa"/>
            <w:tcBorders/>
            <w:shd w:fill="auto" w:val="clear"/>
            <w:vAlign w:val="bottom"/>
          </w:tcPr>
          <w:p>
            <w:pPr>
              <w:pStyle w:val="TableContents"/>
              <w:spacing w:before="0" w:after="283"/>
              <w:rPr/>
            </w:pPr>
            <w:r>
              <w:rPr/>
              <w:t> </w:t>
            </w:r>
          </w:p>
        </w:tc>
        <w:tc>
          <w:tcPr>
            <w:tcW w:w="95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61" w:type="dxa"/>
            <w:tcBorders/>
            <w:shd w:fill="auto" w:val="clear"/>
            <w:vAlign w:val="bottom"/>
          </w:tcPr>
          <w:p>
            <w:pPr>
              <w:pStyle w:val="TableContents"/>
              <w:spacing w:before="0" w:after="283"/>
              <w:rPr/>
            </w:pPr>
            <w:r>
              <w:rPr/>
              <w:t> </w:t>
            </w:r>
          </w:p>
        </w:tc>
        <w:tc>
          <w:tcPr>
            <w:tcW w:w="114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54" w:type="dxa"/>
            <w:tcBorders/>
            <w:shd w:fill="auto" w:val="clear"/>
            <w:vAlign w:val="bottom"/>
          </w:tcPr>
          <w:p>
            <w:pPr>
              <w:pStyle w:val="TableContents"/>
              <w:spacing w:before="0" w:after="283"/>
              <w:rPr/>
            </w:pPr>
            <w:r>
              <w:rPr/>
              <w:t> </w:t>
            </w:r>
          </w:p>
        </w:tc>
        <w:tc>
          <w:tcPr>
            <w:tcW w:w="101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61" w:type="dxa"/>
            <w:tcBorders/>
            <w:shd w:fill="auto" w:val="clear"/>
            <w:vAlign w:val="bottom"/>
          </w:tcPr>
          <w:p>
            <w:pPr>
              <w:pStyle w:val="TableContents"/>
              <w:spacing w:before="0" w:after="283"/>
              <w:rPr/>
            </w:pPr>
            <w:r>
              <w:rPr/>
              <w:t> </w:t>
            </w:r>
          </w:p>
        </w:tc>
        <w:tc>
          <w:tcPr>
            <w:tcW w:w="92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61" w:type="dxa"/>
            <w:tcBorders/>
            <w:shd w:fill="auto" w:val="clear"/>
            <w:vAlign w:val="bottom"/>
          </w:tcPr>
          <w:p>
            <w:pPr>
              <w:pStyle w:val="TableContents"/>
              <w:spacing w:before="0" w:after="283"/>
              <w:rPr/>
            </w:pPr>
            <w:r>
              <w:rPr/>
              <w:t> </w:t>
            </w:r>
          </w:p>
        </w:tc>
        <w:tc>
          <w:tcPr>
            <w:tcW w:w="102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2480" w:type="dxa"/>
            <w:tcBorders/>
            <w:shd w:fill="auto" w:val="clear"/>
            <w:vAlign w:val="bottom"/>
          </w:tcPr>
          <w:p>
            <w:pPr>
              <w:pStyle w:val="TableContents"/>
              <w:spacing w:before="0" w:after="0"/>
              <w:ind w:left="225" w:right="0" w:hanging="225"/>
              <w:rPr/>
            </w:pPr>
            <w:r>
              <w:rPr/>
              <w:t>Provision for income taxes</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w:t>
            </w:r>
          </w:p>
        </w:tc>
        <w:tc>
          <w:tcPr>
            <w:tcW w:w="642" w:type="dxa"/>
            <w:tcBorders/>
            <w:shd w:fill="auto" w:val="clear"/>
            <w:vAlign w:val="bottom"/>
          </w:tcPr>
          <w:p>
            <w:pPr>
              <w:pStyle w:val="TableContents"/>
              <w:spacing w:before="0" w:after="283"/>
              <w:jc w:val="right"/>
              <w:rPr/>
            </w:pPr>
            <w:r>
              <w:rPr/>
              <w:t>1,419</w:t>
            </w:r>
          </w:p>
        </w:tc>
        <w:tc>
          <w:tcPr>
            <w:tcW w:w="27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right"/>
              <w:rPr/>
            </w:pPr>
            <w:r>
              <w:rPr/>
              <w:t> </w:t>
            </w:r>
          </w:p>
        </w:tc>
        <w:tc>
          <w:tcPr>
            <w:tcW w:w="464" w:type="dxa"/>
            <w:tcBorders/>
            <w:shd w:fill="auto" w:val="clear"/>
            <w:vAlign w:val="bottom"/>
          </w:tcPr>
          <w:p>
            <w:pPr>
              <w:pStyle w:val="TableContents"/>
              <w:spacing w:before="0" w:after="283"/>
              <w:jc w:val="right"/>
              <w:rPr/>
            </w:pPr>
            <w:r>
              <w:rPr/>
              <w:t>(4.8</w:t>
            </w:r>
          </w:p>
        </w:tc>
        <w:tc>
          <w:tcPr>
            <w:tcW w:w="390" w:type="dxa"/>
            <w:tcBorders/>
            <w:shd w:fill="auto" w:val="clear"/>
            <w:vAlign w:val="bottom"/>
          </w:tcPr>
          <w:p>
            <w:pPr>
              <w:pStyle w:val="TableContents"/>
              <w:spacing w:before="0" w:after="283"/>
              <w:rPr/>
            </w:pPr>
            <w:r>
              <w:rPr/>
              <w:t>)%</w:t>
            </w:r>
          </w:p>
        </w:tc>
        <w:tc>
          <w:tcPr>
            <w:tcW w:w="26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w:t>
            </w:r>
          </w:p>
        </w:tc>
        <w:tc>
          <w:tcPr>
            <w:tcW w:w="642" w:type="dxa"/>
            <w:tcBorders/>
            <w:shd w:fill="auto" w:val="clear"/>
            <w:vAlign w:val="bottom"/>
          </w:tcPr>
          <w:p>
            <w:pPr>
              <w:pStyle w:val="TableContents"/>
              <w:spacing w:before="0" w:after="283"/>
              <w:jc w:val="right"/>
              <w:rPr/>
            </w:pPr>
            <w:r>
              <w:rPr/>
              <w:t>1,490</w:t>
            </w:r>
          </w:p>
        </w:tc>
        <w:tc>
          <w:tcPr>
            <w:tcW w:w="31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w:t>
            </w:r>
          </w:p>
        </w:tc>
        <w:tc>
          <w:tcPr>
            <w:tcW w:w="513" w:type="dxa"/>
            <w:tcBorders/>
            <w:shd w:fill="auto" w:val="clear"/>
            <w:vAlign w:val="bottom"/>
          </w:tcPr>
          <w:p>
            <w:pPr>
              <w:pStyle w:val="TableContents"/>
              <w:spacing w:before="0" w:after="283"/>
              <w:jc w:val="right"/>
              <w:rPr/>
            </w:pPr>
            <w:r>
              <w:rPr/>
              <w:t>975</w:t>
            </w:r>
          </w:p>
        </w:tc>
        <w:tc>
          <w:tcPr>
            <w:tcW w:w="31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right"/>
              <w:rPr/>
            </w:pPr>
            <w:r>
              <w:rPr/>
              <w:t> </w:t>
            </w:r>
          </w:p>
        </w:tc>
        <w:tc>
          <w:tcPr>
            <w:tcW w:w="514" w:type="dxa"/>
            <w:tcBorders/>
            <w:shd w:fill="auto" w:val="clear"/>
            <w:vAlign w:val="bottom"/>
          </w:tcPr>
          <w:p>
            <w:pPr>
              <w:pStyle w:val="TableContents"/>
              <w:spacing w:before="0" w:after="283"/>
              <w:jc w:val="right"/>
              <w:rPr/>
            </w:pPr>
            <w:r>
              <w:rPr/>
              <w:t>74.7</w:t>
            </w:r>
          </w:p>
        </w:tc>
        <w:tc>
          <w:tcPr>
            <w:tcW w:w="310" w:type="dxa"/>
            <w:tcBorders/>
            <w:shd w:fill="auto" w:val="clear"/>
            <w:vAlign w:val="bottom"/>
          </w:tcPr>
          <w:p>
            <w:pPr>
              <w:pStyle w:val="TableContents"/>
              <w:spacing w:before="0" w:after="283"/>
              <w:rPr/>
            </w:pPr>
            <w:r>
              <w:rPr/>
              <w:t>%</w:t>
            </w:r>
          </w:p>
        </w:tc>
        <w:tc>
          <w:tcPr>
            <w:tcW w:w="26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w:t>
            </w:r>
          </w:p>
        </w:tc>
        <w:tc>
          <w:tcPr>
            <w:tcW w:w="514" w:type="dxa"/>
            <w:tcBorders/>
            <w:shd w:fill="auto" w:val="clear"/>
            <w:vAlign w:val="bottom"/>
          </w:tcPr>
          <w:p>
            <w:pPr>
              <w:pStyle w:val="TableContents"/>
              <w:spacing w:before="0" w:after="283"/>
              <w:jc w:val="right"/>
              <w:rPr/>
            </w:pPr>
            <w:r>
              <w:rPr/>
              <w:t>558</w:t>
            </w:r>
          </w:p>
        </w:tc>
        <w:tc>
          <w:tcPr>
            <w:tcW w:w="325" w:type="dxa"/>
            <w:tcBorders/>
            <w:shd w:fill="auto" w:val="clear"/>
            <w:vAlign w:val="bottom"/>
          </w:tcPr>
          <w:p>
            <w:pPr>
              <w:pStyle w:val="TableContents"/>
              <w:spacing w:before="0" w:after="283"/>
              <w:rPr/>
            </w:pPr>
            <w:r>
              <w:rPr/>
              <w:t> </w:t>
            </w:r>
          </w:p>
        </w:tc>
      </w:tr>
      <w:tr>
        <w:trPr/>
        <w:tc>
          <w:tcPr>
            <w:tcW w:w="2480" w:type="dxa"/>
            <w:tcBorders/>
            <w:shd w:fill="auto" w:val="clear"/>
            <w:vAlign w:val="bottom"/>
          </w:tcPr>
          <w:p>
            <w:pPr>
              <w:pStyle w:val="TableContents"/>
              <w:spacing w:before="0" w:after="0"/>
              <w:ind w:left="225" w:right="0" w:hanging="225"/>
              <w:rPr/>
            </w:pPr>
            <w:r>
              <w:rPr/>
              <w:t>Percentage of income before provision for income taxes</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 </w:t>
            </w:r>
          </w:p>
        </w:tc>
        <w:tc>
          <w:tcPr>
            <w:tcW w:w="642" w:type="dxa"/>
            <w:tcBorders/>
            <w:shd w:fill="auto" w:val="clear"/>
            <w:vAlign w:val="bottom"/>
          </w:tcPr>
          <w:p>
            <w:pPr>
              <w:pStyle w:val="TableContents"/>
              <w:spacing w:before="0" w:after="283"/>
              <w:jc w:val="right"/>
              <w:rPr/>
            </w:pPr>
            <w:r>
              <w:rPr/>
              <w:t>39.3</w:t>
            </w:r>
          </w:p>
        </w:tc>
        <w:tc>
          <w:tcPr>
            <w:tcW w:w="270" w:type="dxa"/>
            <w:tcBorders/>
            <w:shd w:fill="auto" w:val="clear"/>
            <w:vAlign w:val="bottom"/>
          </w:tcPr>
          <w:p>
            <w:pPr>
              <w:pStyle w:val="TableContents"/>
              <w:spacing w:before="0" w:after="283"/>
              <w:rPr/>
            </w:pPr>
            <w:r>
              <w:rPr/>
              <w:t>%</w:t>
            </w:r>
          </w:p>
        </w:tc>
        <w:tc>
          <w:tcPr>
            <w:tcW w:w="26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 </w:t>
            </w:r>
          </w:p>
        </w:tc>
        <w:tc>
          <w:tcPr>
            <w:tcW w:w="642" w:type="dxa"/>
            <w:tcBorders/>
            <w:shd w:fill="auto" w:val="clear"/>
            <w:vAlign w:val="bottom"/>
          </w:tcPr>
          <w:p>
            <w:pPr>
              <w:pStyle w:val="TableContents"/>
              <w:spacing w:before="0" w:after="283"/>
              <w:jc w:val="right"/>
              <w:rPr/>
            </w:pPr>
            <w:r>
              <w:rPr/>
              <w:t>37.7</w:t>
            </w:r>
          </w:p>
        </w:tc>
        <w:tc>
          <w:tcPr>
            <w:tcW w:w="313"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 </w:t>
            </w:r>
          </w:p>
        </w:tc>
        <w:tc>
          <w:tcPr>
            <w:tcW w:w="513" w:type="dxa"/>
            <w:tcBorders/>
            <w:shd w:fill="auto" w:val="clear"/>
            <w:vAlign w:val="bottom"/>
          </w:tcPr>
          <w:p>
            <w:pPr>
              <w:pStyle w:val="TableContents"/>
              <w:spacing w:before="0" w:after="283"/>
              <w:jc w:val="right"/>
              <w:rPr/>
            </w:pPr>
            <w:r>
              <w:rPr/>
              <w:t>39.0</w:t>
            </w:r>
          </w:p>
        </w:tc>
        <w:tc>
          <w:tcPr>
            <w:tcW w:w="310" w:type="dxa"/>
            <w:tcBorders/>
            <w:shd w:fill="auto" w:val="clear"/>
            <w:vAlign w:val="bottom"/>
          </w:tcPr>
          <w:p>
            <w:pPr>
              <w:pStyle w:val="TableContents"/>
              <w:spacing w:before="0" w:after="283"/>
              <w:rPr/>
            </w:pPr>
            <w:r>
              <w:rPr/>
              <w:t>%</w:t>
            </w:r>
          </w:p>
        </w:tc>
        <w:tc>
          <w:tcPr>
            <w:tcW w:w="26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right"/>
              <w:rPr/>
            </w:pPr>
            <w:r>
              <w:rPr/>
              <w:t> </w:t>
            </w:r>
          </w:p>
        </w:tc>
        <w:tc>
          <w:tcPr>
            <w:tcW w:w="514" w:type="dxa"/>
            <w:tcBorders/>
            <w:shd w:fill="auto" w:val="clear"/>
            <w:vAlign w:val="bottom"/>
          </w:tcPr>
          <w:p>
            <w:pPr>
              <w:pStyle w:val="TableContents"/>
              <w:spacing w:before="0" w:after="283"/>
              <w:jc w:val="right"/>
              <w:rPr/>
            </w:pPr>
            <w:r>
              <w:rPr/>
              <w:t>37.8</w:t>
            </w:r>
          </w:p>
        </w:tc>
        <w:tc>
          <w:tcPr>
            <w:tcW w:w="325"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For the first six months of fiscal 2006, our provision for income taxes was $1.0 million, as compared to $0.6 million recorded for the comparable prior year period. We expect our effective tax rate to approximate 39.0% during fiscal 2006. Such increase from the prior year is primarily related to changes in our foreign tax rate.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provided by operating activities was $3.3 million for the six months ended April 30, 2006, compared to $3.2 million for the similar period in fiscal 2005. Operating cash flows for the six months ended April 30, 2006 reflect our net income of $1.5 million, net non-cash charges (depreciation and amortization, stock compensation expense and provision for losses on accounts receivable) of $1.3 million and a net increase in the noncash components of our working capital of approximately $0.5 million. </w:t>
      </w:r>
    </w:p>
    <w:p>
      <w:pPr>
        <w:pStyle w:val="TextBody"/>
        <w:spacing w:before="120" w:after="283"/>
        <w:jc w:val="left"/>
        <w:rPr/>
      </w:pPr>
      <w:r>
        <w:rPr/>
        <w:t>     </w:t>
      </w:r>
      <w:r>
        <w:rPr>
          <w:rFonts w:ascii="Times New Roman;Times;serif" w:hAnsi="Times New Roman;Times;serif"/>
          <w:sz w:val="17"/>
        </w:rPr>
        <w:t xml:space="preserve">These working capital increases include an increase in payable to growers of $8.7 million, an increase in trade accounts payable and accrued expenses of $1.8 million, a decrease in income tax receivable of $1.0 million, and a decrease in advances to suppliers of $0.9 million, partially offset by an increase in accounts receivable of $10.9 million, an increase in prepaid expenses and other current assets of $0.5 million, and an increase in inventory of $0.5 million. </w:t>
      </w:r>
    </w:p>
    <w:p>
      <w:pPr>
        <w:pStyle w:val="TextBody"/>
        <w:spacing w:before="120" w:after="283"/>
        <w:jc w:val="left"/>
        <w:rPr/>
      </w:pPr>
      <w:r>
        <w:rPr/>
        <w:t>     </w:t>
      </w:r>
      <w:r>
        <w:rPr>
          <w:rFonts w:ascii="Times New Roman;Times;serif" w:hAnsi="Times New Roman;Times;serif"/>
          <w:sz w:val="17"/>
        </w:rPr>
        <w:t xml:space="preserve">The increase in our accounts receivable balance, as of April 30, 2006, when compared to October 31, 2005, primarily reflects higher sales recorded in the month of April 2006, as compared to October 2005. The increase in payable to our growers primarily reflects an increase in fruit delivered in the month of April 2006, as compared to October 2005. Similar to the increase in payable to growers, the increase in inventory is also primarily related to an increase in fruit delivered in the month of April 2006, as compared to October 2005, but was partially offset by a decrease in finished processed foods, primarily driven by sales exceeding production during such time period. The decrease in income tax receivable primarily relates to income from operations through the six months ended April 30, 2006. The decrease in advances to suppliers is primarily related to less outstanding advances to foreign avocado suppliers as of April 30, 2006 as compared to October 31, 2005. </w:t>
      </w:r>
    </w:p>
    <w:p>
      <w:pPr>
        <w:pStyle w:val="TextBody"/>
        <w:spacing w:before="120" w:after="283"/>
        <w:jc w:val="left"/>
        <w:rPr/>
      </w:pPr>
      <w:r>
        <w:rPr/>
        <w:t>     </w:t>
      </w:r>
      <w:r>
        <w:rPr>
          <w:rFonts w:ascii="Times New Roman;Times;serif" w:hAnsi="Times New Roman;Times;serif"/>
          <w:sz w:val="17"/>
        </w:rPr>
        <w:t xml:space="preserve">Cash used in investing activities was $1.8 million for the six months ended April 30, 2006 and related principally to the purchase of property, plant and equipment items. </w:t>
      </w:r>
    </w:p>
    <w:p>
      <w:pPr>
        <w:pStyle w:val="TextBody"/>
        <w:spacing w:before="120" w:after="283"/>
        <w:jc w:val="left"/>
        <w:rPr/>
      </w:pPr>
      <w:r>
        <w:rPr/>
        <w:t>     </w:t>
      </w:r>
      <w:r>
        <w:rPr>
          <w:rFonts w:ascii="Times New Roman;Times;serif" w:hAnsi="Times New Roman;Times;serif"/>
          <w:sz w:val="17"/>
        </w:rPr>
        <w:t xml:space="preserve">Cash used in financing activities was $2.4 million for the six months ended April 30, 2006, which related principally to the payment of a $4.6 million dividend and the retirement of common stock of $1.2 million. Such payments were partially offset, however, by $2.9 million of borrowings from our lines of credit. </w:t>
      </w:r>
    </w:p>
    <w:p>
      <w:pPr>
        <w:pStyle w:val="TextBody"/>
        <w:spacing w:before="120" w:after="283"/>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April 30, 2006 and October 31, 2005 totaled $0.3 million and $1.1 million. Our working capital at April 30, 2006 was $16.8 million, compared to $17.6 million at October 31, 2005. The overall working capital decrease primarily reflects increases in our payable to growers and accrued expense balances, partially offset by an increase in our accounts receivable balance. </w:t>
      </w:r>
    </w:p>
    <w:p>
      <w:pPr>
        <w:pStyle w:val="TextBody"/>
        <w:spacing w:before="120" w:after="283"/>
        <w:jc w:val="left"/>
        <w:rPr/>
      </w:pPr>
      <w:r>
        <w:rPr/>
        <w:t>     </w:t>
      </w:r>
      <w:r>
        <w:rPr>
          <w:rFonts w:ascii="Times New Roman;Times;serif" w:hAnsi="Times New Roman;Times;serif"/>
          <w:sz w:val="17"/>
        </w:rPr>
        <w:t xml:space="preserve">We continue to have success with our ProRipeVIP avocado ripening program. This proprietary program allows us to deliver avocados with varying degrees of ripeness to our customers. In conjunction with such program, we intend to not only invest in additional Aweta AFS (acoustic firmness sensor) technology and equipment, but also expand our refrigeration and storage capabilities. Total estimated capital required related to our current expansion plans totals approximately $2.6 million. We are currently negotiating long-term financing for substantially all of the capital required. No assurances can be provided, however, that such financing will be available at favorable terms, if any at all. </w:t>
      </w:r>
    </w:p>
    <w:p>
      <w:pPr>
        <w:pStyle w:val="TextBody"/>
        <w:spacing w:before="120" w:after="283"/>
        <w:jc w:val="left"/>
        <w:rPr/>
      </w:pPr>
      <w:r>
        <w:rPr/>
        <w:t>     </w:t>
      </w:r>
      <w:r>
        <w:rPr>
          <w:rFonts w:ascii="Times New Roman;Times;serif" w:hAnsi="Times New Roman;Times;serif"/>
          <w:sz w:val="17"/>
        </w:rPr>
        <w:t xml:space="preserve">We believe that cash flows from operations, available credit facilities, and expected long-term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February 2007 and April 2008 and are with separate banks. Under the terms of these agreements, we are advanced funds for working capital purposes. Total credit available under the combined short-term borrowing agreements was $24 million, with a weighted-average interest rate of 5.8% and 4.8% at April 30, 2006 and October 31, 2005. Under these credit facilities, we had $4.4 million and $1.4 million outstanding as of April 30, 2006 and October 31, 2005. The credit facilities contain various financial covenants with which we were in compliance at April 30, 2006. The most significant financial covenants relate to working capital, tangible net worth (as defined), and Earnings Before Interest, Taxes, Depreciation and Amortization (EBITDA) (as defined) requirements.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12" w:name="109"/>
      <w:bookmarkStart w:id="13" w:name="109"/>
      <w:bookmarkEnd w:id="13"/>
    </w:p>
    <w:tbl>
      <w:tblPr>
        <w:tblW w:w="5000" w:type="pct"/>
        <w:jc w:val="left"/>
        <w:tblInd w:w="0" w:type="dxa"/>
        <w:tblCellMar>
          <w:top w:w="0" w:type="dxa"/>
          <w:left w:w="0" w:type="dxa"/>
          <w:bottom w:w="0" w:type="dxa"/>
          <w:right w:w="0" w:type="dxa"/>
        </w:tblCellMar>
      </w:tblPr>
      <w:tblGrid>
        <w:gridCol w:w="919"/>
        <w:gridCol w:w="125"/>
        <w:gridCol w:w="9161"/>
      </w:tblGrid>
      <w:tr>
        <w:trPr/>
        <w:tc>
          <w:tcPr>
            <w:tcW w:w="91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61" w:type="dxa"/>
            <w:tcBorders/>
            <w:shd w:fill="auto" w:val="clear"/>
            <w:vAlign w:val="center"/>
          </w:tcPr>
          <w:p>
            <w:pPr>
              <w:pStyle w:val="TableContents"/>
              <w:spacing w:before="0" w:after="283"/>
              <w:rPr>
                <w:sz w:val="4"/>
                <w:szCs w:val="4"/>
              </w:rPr>
            </w:pPr>
            <w:r>
              <w:rPr>
                <w:sz w:val="4"/>
                <w:szCs w:val="4"/>
              </w:rPr>
            </w:r>
          </w:p>
        </w:tc>
      </w:tr>
      <w:tr>
        <w:trPr/>
        <w:tc>
          <w:tcPr>
            <w:tcW w:w="919" w:type="dxa"/>
            <w:tcBorders/>
            <w:shd w:fill="auto" w:val="clear"/>
          </w:tcPr>
          <w:p>
            <w:pPr>
              <w:pStyle w:val="TableContents"/>
              <w:spacing w:before="0" w:after="283"/>
              <w:jc w:val="left"/>
              <w:rPr>
                <w:b/>
              </w:rPr>
            </w:pPr>
            <w:r>
              <w:rPr>
                <w:b/>
              </w:rPr>
              <w:t>ITEM 3.</w:t>
            </w:r>
          </w:p>
        </w:tc>
        <w:tc>
          <w:tcPr>
            <w:tcW w:w="125" w:type="dxa"/>
            <w:tcBorders/>
            <w:shd w:fill="auto" w:val="clear"/>
          </w:tcPr>
          <w:p>
            <w:pPr>
              <w:pStyle w:val="TableContents"/>
              <w:spacing w:before="0" w:after="283"/>
              <w:rPr/>
            </w:pPr>
            <w:r>
              <w:rPr/>
              <w:t> </w:t>
            </w:r>
          </w:p>
        </w:tc>
        <w:tc>
          <w:tcPr>
            <w:tcW w:w="9161" w:type="dxa"/>
            <w:tcBorders/>
            <w:shd w:fill="auto" w:val="clear"/>
          </w:tcPr>
          <w:p>
            <w:pPr>
              <w:pStyle w:val="TableContents"/>
              <w:spacing w:before="0" w:after="283"/>
              <w:rPr>
                <w:b/>
              </w:rPr>
            </w:pPr>
            <w:r>
              <w:rPr>
                <w:b/>
              </w:rPr>
              <w:t>QUANTITATIVE AND QUALITATIVE DISCLOSURES ABOUT MARKET RISK</w:t>
            </w:r>
          </w:p>
        </w:tc>
      </w:tr>
    </w:tbl>
    <w:p>
      <w:pPr>
        <w:pStyle w:val="TextBody"/>
        <w:spacing w:before="120" w:after="283"/>
        <w:jc w:val="left"/>
        <w:rPr/>
      </w:pPr>
      <w:r>
        <w:rPr/>
        <w:t>     </w:t>
      </w:r>
      <w:r>
        <w:rPr>
          <w:rFonts w:ascii="Times New Roman;Times;serif" w:hAnsi="Times New Roman;Times;serif"/>
          <w:sz w:val="17"/>
        </w:rPr>
        <w:t xml:space="preserve">Our financial instruments include cash and cash equivalents, accounts receivable,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2006. </w:t>
      </w:r>
    </w:p>
    <w:tbl>
      <w:tblPr>
        <w:tblW w:w="5000" w:type="pct"/>
        <w:jc w:val="center"/>
        <w:tblInd w:w="0" w:type="dxa"/>
        <w:tblCellMar>
          <w:top w:w="0" w:type="dxa"/>
          <w:left w:w="0" w:type="dxa"/>
          <w:bottom w:w="0" w:type="dxa"/>
          <w:right w:w="0" w:type="dxa"/>
        </w:tblCellMar>
      </w:tblPr>
      <w:tblGrid>
        <w:gridCol w:w="2658"/>
        <w:gridCol w:w="75"/>
        <w:gridCol w:w="144"/>
        <w:gridCol w:w="680"/>
        <w:gridCol w:w="64"/>
        <w:gridCol w:w="75"/>
        <w:gridCol w:w="144"/>
        <w:gridCol w:w="561"/>
        <w:gridCol w:w="69"/>
        <w:gridCol w:w="75"/>
        <w:gridCol w:w="144"/>
        <w:gridCol w:w="561"/>
        <w:gridCol w:w="70"/>
        <w:gridCol w:w="75"/>
        <w:gridCol w:w="144"/>
        <w:gridCol w:w="561"/>
        <w:gridCol w:w="70"/>
        <w:gridCol w:w="75"/>
        <w:gridCol w:w="143"/>
        <w:gridCol w:w="561"/>
        <w:gridCol w:w="70"/>
        <w:gridCol w:w="75"/>
        <w:gridCol w:w="187"/>
        <w:gridCol w:w="733"/>
        <w:gridCol w:w="89"/>
        <w:gridCol w:w="75"/>
        <w:gridCol w:w="144"/>
        <w:gridCol w:w="680"/>
        <w:gridCol w:w="69"/>
        <w:gridCol w:w="75"/>
        <w:gridCol w:w="167"/>
        <w:gridCol w:w="792"/>
        <w:gridCol w:w="100"/>
      </w:tblGrid>
      <w:tr>
        <w:trPr/>
        <w:tc>
          <w:tcPr>
            <w:tcW w:w="265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72" w:type="dxa"/>
            <w:gridSpan w:val="31"/>
            <w:tcBorders>
              <w:bottom w:val="single" w:sz="2" w:space="0" w:color="000000"/>
            </w:tcBorders>
            <w:shd w:fill="auto" w:val="clear"/>
            <w:tcMar>
              <w:bottom w:w="28" w:type="dxa"/>
            </w:tcMar>
            <w:vAlign w:val="bottom"/>
          </w:tcPr>
          <w:p>
            <w:pPr>
              <w:pStyle w:val="TableContents"/>
              <w:spacing w:before="0" w:after="283"/>
              <w:jc w:val="center"/>
              <w:rPr/>
            </w:pPr>
            <w:r>
              <w:rPr/>
              <w:t>Expected maturity date April 30,</w:t>
            </w:r>
          </w:p>
        </w:tc>
      </w:tr>
      <w:tr>
        <w:trPr/>
        <w:tc>
          <w:tcPr>
            <w:tcW w:w="2658" w:type="dxa"/>
            <w:tcBorders>
              <w:bottom w:val="single" w:sz="2" w:space="0" w:color="000000"/>
            </w:tcBorders>
            <w:shd w:fill="auto" w:val="clear"/>
            <w:tcMar>
              <w:bottom w:w="28" w:type="dxa"/>
            </w:tcMar>
            <w:vAlign w:val="bottom"/>
          </w:tcPr>
          <w:p>
            <w:pPr>
              <w:pStyle w:val="TableContents"/>
              <w:spacing w:before="0" w:after="283"/>
              <w:jc w:val="left"/>
              <w:rPr/>
            </w:pPr>
            <w:r>
              <w:rPr/>
              <w:t>(All amounts in thousands)</w:t>
            </w:r>
          </w:p>
        </w:tc>
        <w:tc>
          <w:tcPr>
            <w:tcW w:w="75" w:type="dxa"/>
            <w:tcBorders/>
            <w:shd w:fill="auto" w:val="clear"/>
            <w:vAlign w:val="bottom"/>
          </w:tcPr>
          <w:p>
            <w:pPr>
              <w:pStyle w:val="TableContents"/>
              <w:spacing w:before="0" w:after="283"/>
              <w:rPr/>
            </w:pPr>
            <w:r>
              <w:rPr/>
              <w:t> </w:t>
            </w:r>
          </w:p>
        </w:tc>
        <w:tc>
          <w:tcPr>
            <w:tcW w:w="888"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75" w:type="dxa"/>
            <w:tcBorders/>
            <w:shd w:fill="auto" w:val="clear"/>
            <w:vAlign w:val="bottom"/>
          </w:tcPr>
          <w:p>
            <w:pPr>
              <w:pStyle w:val="TableContents"/>
              <w:spacing w:before="0" w:after="283"/>
              <w:rPr/>
            </w:pPr>
            <w:r>
              <w:rPr/>
              <w:t> </w:t>
            </w:r>
          </w:p>
        </w:tc>
        <w:tc>
          <w:tcPr>
            <w:tcW w:w="77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75" w:type="dxa"/>
            <w:tcBorders/>
            <w:shd w:fill="auto" w:val="clear"/>
            <w:vAlign w:val="bottom"/>
          </w:tcPr>
          <w:p>
            <w:pPr>
              <w:pStyle w:val="TableContents"/>
              <w:spacing w:before="0" w:after="283"/>
              <w:rPr/>
            </w:pPr>
            <w:r>
              <w:rPr/>
              <w:t> </w:t>
            </w:r>
          </w:p>
        </w:tc>
        <w:tc>
          <w:tcPr>
            <w:tcW w:w="77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75" w:type="dxa"/>
            <w:tcBorders/>
            <w:shd w:fill="auto" w:val="clear"/>
            <w:vAlign w:val="bottom"/>
          </w:tcPr>
          <w:p>
            <w:pPr>
              <w:pStyle w:val="TableContents"/>
              <w:spacing w:before="0" w:after="283"/>
              <w:rPr/>
            </w:pPr>
            <w:r>
              <w:rPr/>
              <w:t> </w:t>
            </w:r>
          </w:p>
        </w:tc>
        <w:tc>
          <w:tcPr>
            <w:tcW w:w="77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75" w:type="dxa"/>
            <w:tcBorders/>
            <w:shd w:fill="auto" w:val="clear"/>
            <w:vAlign w:val="bottom"/>
          </w:tcPr>
          <w:p>
            <w:pPr>
              <w:pStyle w:val="TableContents"/>
              <w:spacing w:before="0" w:after="283"/>
              <w:rPr/>
            </w:pPr>
            <w:r>
              <w:rPr/>
              <w:t> </w:t>
            </w:r>
          </w:p>
        </w:tc>
        <w:tc>
          <w:tcPr>
            <w:tcW w:w="774" w:type="dxa"/>
            <w:gridSpan w:val="3"/>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75" w:type="dxa"/>
            <w:tcBorders/>
            <w:shd w:fill="auto" w:val="clear"/>
            <w:vAlign w:val="bottom"/>
          </w:tcPr>
          <w:p>
            <w:pPr>
              <w:pStyle w:val="TableContents"/>
              <w:spacing w:before="0" w:after="283"/>
              <w:rPr/>
            </w:pPr>
            <w:r>
              <w:rPr/>
              <w:t> </w:t>
            </w:r>
          </w:p>
        </w:tc>
        <w:tc>
          <w:tcPr>
            <w:tcW w:w="1009" w:type="dxa"/>
            <w:gridSpan w:val="3"/>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75" w:type="dxa"/>
            <w:tcBorders/>
            <w:shd w:fill="auto" w:val="clear"/>
            <w:vAlign w:val="bottom"/>
          </w:tcPr>
          <w:p>
            <w:pPr>
              <w:pStyle w:val="TableContents"/>
              <w:spacing w:before="0" w:after="283"/>
              <w:rPr/>
            </w:pPr>
            <w:r>
              <w:rPr/>
              <w:t> </w:t>
            </w:r>
          </w:p>
        </w:tc>
        <w:tc>
          <w:tcPr>
            <w:tcW w:w="893"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75" w:type="dxa"/>
            <w:tcBorders/>
            <w:shd w:fill="auto" w:val="clear"/>
            <w:vAlign w:val="bottom"/>
          </w:tcPr>
          <w:p>
            <w:pPr>
              <w:pStyle w:val="TableContents"/>
              <w:spacing w:before="0" w:after="283"/>
              <w:rPr/>
            </w:pPr>
            <w:r>
              <w:rPr/>
              <w:t> </w:t>
            </w:r>
          </w:p>
        </w:tc>
        <w:tc>
          <w:tcPr>
            <w:tcW w:w="1059" w:type="dxa"/>
            <w:gridSpan w:val="3"/>
            <w:tcBorders>
              <w:bottom w:val="single" w:sz="2" w:space="0" w:color="000000"/>
            </w:tcBorders>
            <w:shd w:fill="auto" w:val="clear"/>
            <w:tcMar>
              <w:bottom w:w="28" w:type="dxa"/>
            </w:tcMar>
            <w:vAlign w:val="bottom"/>
          </w:tcPr>
          <w:p>
            <w:pPr>
              <w:pStyle w:val="TableContents"/>
              <w:spacing w:before="0" w:after="283"/>
              <w:jc w:val="center"/>
              <w:rPr/>
            </w:pPr>
            <w:r>
              <w:rPr/>
              <w:t>Fair Value</w:t>
            </w:r>
          </w:p>
        </w:tc>
      </w:tr>
      <w:tr>
        <w:trPr/>
        <w:tc>
          <w:tcPr>
            <w:tcW w:w="2658" w:type="dxa"/>
            <w:tcBorders/>
            <w:shd w:fill="CCEEFF" w:val="clear"/>
            <w:vAlign w:val="bottom"/>
          </w:tcPr>
          <w:p>
            <w:pPr>
              <w:pStyle w:val="TableContents"/>
              <w:spacing w:before="0" w:after="0"/>
              <w:ind w:left="225" w:right="0" w:hanging="225"/>
              <w:rPr/>
            </w:pPr>
            <w:r>
              <w:rPr/>
              <w:t>Assets</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Cash and cash equivalents (1)</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287</w:t>
            </w:r>
          </w:p>
        </w:tc>
        <w:tc>
          <w:tcPr>
            <w:tcW w:w="6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287</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287</w:t>
            </w:r>
          </w:p>
        </w:tc>
        <w:tc>
          <w:tcPr>
            <w:tcW w:w="100"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Accounts receivable (1)</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30,162</w:t>
            </w:r>
          </w:p>
        </w:tc>
        <w:tc>
          <w:tcPr>
            <w:tcW w:w="6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30,162</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30,162</w:t>
            </w:r>
          </w:p>
        </w:tc>
        <w:tc>
          <w:tcPr>
            <w:tcW w:w="100" w:type="dxa"/>
            <w:tcBorders/>
            <w:shd w:fill="CCEEFF"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Notes receivable from shareholders (2)</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2,461</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2,461</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2,328</w:t>
            </w:r>
          </w:p>
        </w:tc>
        <w:tc>
          <w:tcPr>
            <w:tcW w:w="100"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Liabilities</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Payable to growers (1)</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10,428</w:t>
            </w:r>
          </w:p>
        </w:tc>
        <w:tc>
          <w:tcPr>
            <w:tcW w:w="6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10,428</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10,428</w:t>
            </w:r>
          </w:p>
        </w:tc>
        <w:tc>
          <w:tcPr>
            <w:tcW w:w="100"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Accounts payable (1)</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1,742</w:t>
            </w:r>
          </w:p>
        </w:tc>
        <w:tc>
          <w:tcPr>
            <w:tcW w:w="6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1,742</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1,742</w:t>
            </w:r>
          </w:p>
        </w:tc>
        <w:tc>
          <w:tcPr>
            <w:tcW w:w="100" w:type="dxa"/>
            <w:tcBorders/>
            <w:shd w:fill="CCEEFF"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Current borrowings pursuant to credit facilities (1)</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4,354</w:t>
            </w:r>
          </w:p>
        </w:tc>
        <w:tc>
          <w:tcPr>
            <w:tcW w:w="6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4,354</w:t>
            </w:r>
          </w:p>
        </w:tc>
        <w:tc>
          <w:tcPr>
            <w:tcW w:w="6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4,354</w:t>
            </w:r>
          </w:p>
        </w:tc>
        <w:tc>
          <w:tcPr>
            <w:tcW w:w="100"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Fixed-rate long-term obligations (3)</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1,309</w:t>
            </w:r>
          </w:p>
        </w:tc>
        <w:tc>
          <w:tcPr>
            <w:tcW w:w="6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1,308</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1,307</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1,300</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1,300</w:t>
            </w:r>
          </w:p>
        </w:tc>
        <w:tc>
          <w:tcPr>
            <w:tcW w:w="7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6,500</w:t>
            </w:r>
          </w:p>
        </w:tc>
        <w:tc>
          <w:tcPr>
            <w:tcW w:w="8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13,024</w:t>
            </w:r>
          </w:p>
        </w:tc>
        <w:tc>
          <w:tcPr>
            <w:tcW w:w="6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12,197</w:t>
            </w:r>
          </w:p>
        </w:tc>
        <w:tc>
          <w:tcPr>
            <w:tcW w:w="10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383"/>
        <w:gridCol w:w="2121"/>
        <w:gridCol w:w="1701"/>
      </w:tblGrid>
      <w:tr>
        <w:trPr/>
        <w:tc>
          <w:tcPr>
            <w:tcW w:w="638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(1)</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We believe the carrying amounts of cash and cash equivalents, accounts receivable, payable to growers, accounts payable, and current borrowings pursuant to credit facilities approximate their fair value due to the short maturity of these financial instruments.</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(2)</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Notes receivable from shareholders bear interest at 7.0%. We believe that a portfolio of loans with a similar risk profile would currently yield a return of 10.00%. We project the impact of an increase or decrease in interest rates of 100 basis points would result in a change of fair value of approximately $42,000.</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(3)</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Fixed-rate long-term obligations bear interest rates ranging from 3.3% to 8.2% with a weighted-average interest rate of 5.7%. We believe that loans with a similar risk profile would currently yield a return of 7.2%. We project the impact of an increase or decrease in interest rates of 100 basis points would result in a change of fair value of approximately $511,000.</w:t>
            </w:r>
          </w:p>
        </w:tc>
      </w:tr>
    </w:tbl>
    <w:p>
      <w:pPr>
        <w:pStyle w:val="TextBody"/>
        <w:spacing w:before="120" w:after="283"/>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spacing w:before="120" w:after="283"/>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2005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14" w:name="110"/>
      <w:bookmarkStart w:id="15" w:name="110"/>
      <w:bookmarkEnd w:id="15"/>
    </w:p>
    <w:tbl>
      <w:tblPr>
        <w:tblW w:w="5000" w:type="pct"/>
        <w:jc w:val="left"/>
        <w:tblInd w:w="0" w:type="dxa"/>
        <w:tblCellMar>
          <w:top w:w="0" w:type="dxa"/>
          <w:left w:w="0" w:type="dxa"/>
          <w:bottom w:w="0" w:type="dxa"/>
          <w:right w:w="0" w:type="dxa"/>
        </w:tblCellMar>
      </w:tblPr>
      <w:tblGrid>
        <w:gridCol w:w="928"/>
        <w:gridCol w:w="127"/>
        <w:gridCol w:w="9150"/>
      </w:tblGrid>
      <w:tr>
        <w:trPr/>
        <w:tc>
          <w:tcPr>
            <w:tcW w:w="92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150" w:type="dxa"/>
            <w:tcBorders/>
            <w:shd w:fill="auto" w:val="clear"/>
            <w:vAlign w:val="center"/>
          </w:tcPr>
          <w:p>
            <w:pPr>
              <w:pStyle w:val="TableContents"/>
              <w:spacing w:before="0" w:after="283"/>
              <w:rPr>
                <w:sz w:val="4"/>
                <w:szCs w:val="4"/>
              </w:rPr>
            </w:pPr>
            <w:r>
              <w:rPr>
                <w:sz w:val="4"/>
                <w:szCs w:val="4"/>
              </w:rPr>
            </w:r>
          </w:p>
        </w:tc>
      </w:tr>
      <w:tr>
        <w:trPr/>
        <w:tc>
          <w:tcPr>
            <w:tcW w:w="928" w:type="dxa"/>
            <w:tcBorders/>
            <w:shd w:fill="auto" w:val="clear"/>
          </w:tcPr>
          <w:p>
            <w:pPr>
              <w:pStyle w:val="TableContents"/>
              <w:spacing w:before="0" w:after="283"/>
              <w:jc w:val="left"/>
              <w:rPr>
                <w:b/>
              </w:rPr>
            </w:pPr>
            <w:r>
              <w:rPr>
                <w:b/>
              </w:rPr>
              <w:t>ITEM 4.</w:t>
            </w:r>
          </w:p>
        </w:tc>
        <w:tc>
          <w:tcPr>
            <w:tcW w:w="127" w:type="dxa"/>
            <w:tcBorders/>
            <w:shd w:fill="auto" w:val="clear"/>
          </w:tcPr>
          <w:p>
            <w:pPr>
              <w:pStyle w:val="TableContents"/>
              <w:spacing w:before="0" w:after="283"/>
              <w:rPr/>
            </w:pPr>
            <w:r>
              <w:rPr/>
              <w:t> </w:t>
            </w:r>
          </w:p>
        </w:tc>
        <w:tc>
          <w:tcPr>
            <w:tcW w:w="9150" w:type="dxa"/>
            <w:tcBorders/>
            <w:shd w:fill="auto" w:val="clear"/>
          </w:tcPr>
          <w:p>
            <w:pPr>
              <w:pStyle w:val="TableContents"/>
              <w:spacing w:before="0" w:after="283"/>
              <w:rPr>
                <w:b/>
              </w:rPr>
            </w:pPr>
            <w:r>
              <w:rPr>
                <w:b/>
              </w:rPr>
              <w:t>CONTROLS AND PROCEDURES</w:t>
            </w:r>
          </w:p>
        </w:tc>
      </w:tr>
    </w:tbl>
    <w:p>
      <w:pPr>
        <w:pStyle w:val="TextBody"/>
        <w:spacing w:before="120" w:after="283"/>
        <w:jc w:val="left"/>
        <w:rPr/>
      </w:pPr>
      <w:r>
        <w:rPr/>
        <w:t>          </w:t>
      </w:r>
      <w:r>
        <w:rPr>
          <w:rFonts w:ascii="Times New Roman;Times;serif" w:hAnsi="Times New Roman;Times;serif"/>
          <w:sz w:val="17"/>
        </w:rPr>
        <w:t xml:space="preserve">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w:t>
      </w:r>
    </w:p>
    <w:p>
      <w:pPr>
        <w:pStyle w:val="TextBody"/>
        <w:spacing w:before="120" w:after="283"/>
        <w:jc w:val="left"/>
        <w:rPr/>
      </w:pPr>
      <w:r>
        <w:rPr/>
        <w:t>          </w:t>
      </w:r>
      <w:r>
        <w:rPr>
          <w:rFonts w:ascii="Times New Roman;Times;serif" w:hAnsi="Times New Roman;Times;serif"/>
          <w:sz w:val="17"/>
        </w:rPr>
        <w:t xml:space="preserve">There were no substantial changes in the Companys internal control over financial reporting during the quarter ended April 30, 2006 that have materially affected, or are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6" w:name="111"/>
      <w:bookmarkEnd w:id="16"/>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7" w:name="112"/>
      <w:bookmarkEnd w:id="17"/>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spacing w:before="240" w:after="283"/>
        <w:jc w:val="left"/>
        <w:rPr>
          <w:rFonts w:ascii="Times New Roman;Times;serif" w:hAnsi="Times New Roman;Times;serif"/>
          <w:sz w:val="17"/>
        </w:rPr>
      </w:pPr>
      <w:bookmarkStart w:id="18" w:name="115"/>
      <w:bookmarkEnd w:id="18"/>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April 26, 2006, we held the annual meeting of shareholders of Calavo Growers, Inc. at 15765 W. Telegraph Road, Santa Paula, California, 93060. At the meeting, the holders of our outstanding common stock acted on the following matters: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shareholders voted on a cumulative basis for 13 directors, each to serve for a term of one year. Each nominee received the following votes:</w:t>
            </w:r>
          </w:p>
        </w:tc>
      </w:tr>
    </w:tbl>
    <w:tbl>
      <w:tblPr>
        <w:tblW w:w="3750" w:type="pct"/>
        <w:jc w:val="center"/>
        <w:tblInd w:w="0" w:type="dxa"/>
        <w:tblCellMar>
          <w:top w:w="0" w:type="dxa"/>
          <w:left w:w="0" w:type="dxa"/>
          <w:bottom w:w="0" w:type="dxa"/>
          <w:right w:w="0" w:type="dxa"/>
        </w:tblCellMar>
      </w:tblPr>
      <w:tblGrid>
        <w:gridCol w:w="4670"/>
        <w:gridCol w:w="276"/>
        <w:gridCol w:w="93"/>
        <w:gridCol w:w="1106"/>
        <w:gridCol w:w="93"/>
        <w:gridCol w:w="276"/>
        <w:gridCol w:w="93"/>
        <w:gridCol w:w="866"/>
        <w:gridCol w:w="93"/>
        <w:gridCol w:w="23"/>
        <w:gridCol w:w="64"/>
      </w:tblGrid>
      <w:tr>
        <w:trPr/>
        <w:tc>
          <w:tcPr>
            <w:tcW w:w="467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4" w:type="dxa"/>
            <w:tcBorders/>
            <w:shd w:fill="auto"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jc w:val="center"/>
              <w:rPr>
                <w:b/>
              </w:rPr>
            </w:pPr>
            <w:r>
              <w:rPr>
                <w:b/>
              </w:rPr>
              <w:t>Votes</w:t>
            </w:r>
          </w:p>
        </w:tc>
        <w:tc>
          <w:tcPr>
            <w:tcW w:w="93" w:type="dxa"/>
            <w:tcBorders/>
            <w:shd w:fill="auto" w:val="clear"/>
            <w:vAlign w:val="bottom"/>
          </w:tcPr>
          <w:p>
            <w:pPr>
              <w:pStyle w:val="TableContents"/>
              <w:spacing w:before="0" w:after="283"/>
              <w:rPr/>
            </w:pPr>
            <w:r>
              <w:rPr/>
              <w:t> </w:t>
            </w:r>
          </w:p>
        </w:tc>
        <w:tc>
          <w:tcPr>
            <w:tcW w:w="1351" w:type="dxa"/>
            <w:gridSpan w:val="5"/>
            <w:tcBorders/>
            <w:shd w:fill="auto" w:val="clear"/>
            <w:vAlign w:val="bottom"/>
          </w:tcPr>
          <w:p>
            <w:pPr>
              <w:pStyle w:val="TableContents"/>
              <w:spacing w:before="0" w:after="283"/>
              <w:jc w:val="center"/>
              <w:rPr>
                <w:b/>
              </w:rPr>
            </w:pPr>
            <w:r>
              <w:rPr>
                <w:b/>
              </w:rPr>
              <w:t>Votes</w:t>
            </w:r>
          </w:p>
        </w:tc>
        <w:tc>
          <w:tcPr>
            <w:tcW w:w="64" w:type="dxa"/>
            <w:tcBorders/>
            <w:shd w:fill="auto" w:val="clear"/>
            <w:vAlign w:val="bottom"/>
          </w:tcPr>
          <w:p>
            <w:pPr>
              <w:pStyle w:val="TableContents"/>
              <w:spacing w:before="0" w:after="283"/>
              <w:rPr/>
            </w:pPr>
            <w:r>
              <w:rPr/>
              <w:t> </w:t>
            </w:r>
          </w:p>
        </w:tc>
      </w:tr>
      <w:tr>
        <w:trPr/>
        <w:tc>
          <w:tcPr>
            <w:tcW w:w="4670" w:type="dxa"/>
            <w:tcBorders/>
            <w:shd w:fill="auto" w:val="clear"/>
            <w:vAlign w:val="bottom"/>
          </w:tcPr>
          <w:p>
            <w:pPr>
              <w:pStyle w:val="TableContents"/>
              <w:spacing w:before="0" w:after="283"/>
              <w:jc w:val="left"/>
              <w:rPr>
                <w:sz w:val="17"/>
              </w:rPr>
            </w:pPr>
            <w:r>
              <w:rPr>
                <w:sz w:val="17"/>
              </w:rPr>
              <w:t>(i) Name of Nominee</w:t>
            </w:r>
          </w:p>
        </w:tc>
        <w:tc>
          <w:tcPr>
            <w:tcW w:w="276" w:type="dxa"/>
            <w:tcBorders/>
            <w:shd w:fill="auto" w:val="clear"/>
            <w:vAlign w:val="bottom"/>
          </w:tcPr>
          <w:p>
            <w:pPr>
              <w:pStyle w:val="TableContents"/>
              <w:spacing w:before="0" w:after="283"/>
              <w:rPr/>
            </w:pPr>
            <w:r>
              <w:rPr/>
              <w:t> </w:t>
            </w:r>
          </w:p>
        </w:tc>
        <w:tc>
          <w:tcPr>
            <w:tcW w:w="11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For</w:t>
            </w:r>
          </w:p>
        </w:tc>
        <w:tc>
          <w:tcPr>
            <w:tcW w:w="93" w:type="dxa"/>
            <w:tcBorders/>
            <w:shd w:fill="auto" w:val="clear"/>
            <w:vAlign w:val="bottom"/>
          </w:tcPr>
          <w:p>
            <w:pPr>
              <w:pStyle w:val="TableContents"/>
              <w:spacing w:before="0" w:after="283"/>
              <w:rPr/>
            </w:pPr>
            <w:r>
              <w:rPr/>
              <w:t> </w:t>
            </w:r>
          </w:p>
        </w:tc>
        <w:tc>
          <w:tcPr>
            <w:tcW w:w="1351" w:type="dxa"/>
            <w:gridSpan w:val="5"/>
            <w:tcBorders>
              <w:bottom w:val="single" w:sz="2" w:space="0" w:color="000000"/>
            </w:tcBorders>
            <w:shd w:fill="auto" w:val="clear"/>
            <w:tcMar>
              <w:bottom w:w="28" w:type="dxa"/>
            </w:tcMar>
            <w:vAlign w:val="bottom"/>
          </w:tcPr>
          <w:p>
            <w:pPr>
              <w:pStyle w:val="TableContents"/>
              <w:spacing w:before="0" w:after="283"/>
              <w:jc w:val="center"/>
              <w:rPr>
                <w:b/>
              </w:rPr>
            </w:pPr>
            <w:r>
              <w:rPr>
                <w:b/>
              </w:rPr>
              <w:t>Withheld</w:t>
            </w:r>
          </w:p>
        </w:tc>
        <w:tc>
          <w:tcPr>
            <w:tcW w:w="64" w:type="dxa"/>
            <w:tcBorders/>
            <w:shd w:fill="auto" w:val="clear"/>
            <w:vAlign w:val="bottom"/>
          </w:tcPr>
          <w:p>
            <w:pPr>
              <w:pStyle w:val="TableContents"/>
              <w:spacing w:before="0" w:after="283"/>
              <w:rPr/>
            </w:pPr>
            <w:r>
              <w:rPr/>
              <w:t> </w:t>
            </w:r>
          </w:p>
        </w:tc>
      </w:tr>
      <w:tr>
        <w:trPr/>
        <w:tc>
          <w:tcPr>
            <w:tcW w:w="4670" w:type="dxa"/>
            <w:tcBorders/>
            <w:shd w:fill="auto" w:val="clear"/>
            <w:vAlign w:val="center"/>
          </w:tcPr>
          <w:p>
            <w:pPr>
              <w:pStyle w:val="TableContents"/>
              <w:spacing w:before="0" w:after="283"/>
              <w:rPr/>
            </w:pPr>
            <w:r>
              <w:rPr/>
              <w:t> </w:t>
            </w:r>
          </w:p>
        </w:tc>
        <w:tc>
          <w:tcPr>
            <w:tcW w:w="2983" w:type="dxa"/>
            <w:gridSpan w:val="10"/>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Lecil E. Cole</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27,999,970</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94,494</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0"/>
              <w:ind w:left="225" w:right="0" w:hanging="225"/>
              <w:rPr/>
            </w:pPr>
            <w:r>
              <w:rPr/>
              <w:t>George H. Barnes</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7,044,975</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164,707</w:t>
            </w:r>
          </w:p>
        </w:tc>
        <w:tc>
          <w:tcPr>
            <w:tcW w:w="93" w:type="dxa"/>
            <w:tcBorders/>
            <w:shd w:fill="auto" w:val="clear"/>
            <w:vAlign w:val="bottom"/>
          </w:tcPr>
          <w:p>
            <w:pPr>
              <w:pStyle w:val="TableContents"/>
              <w:spacing w:before="0" w:after="283"/>
              <w:rPr/>
            </w:pPr>
            <w:r>
              <w:rPr/>
              <w:t> </w:t>
            </w:r>
          </w:p>
        </w:tc>
        <w:tc>
          <w:tcPr>
            <w:tcW w:w="87" w:type="dxa"/>
            <w:gridSpan w:val="2"/>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Michael D. Hause</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7,438,537</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98,918</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0"/>
              <w:ind w:left="225" w:right="0" w:hanging="225"/>
              <w:rPr/>
            </w:pPr>
            <w:r>
              <w:rPr/>
              <w:t>Donald M. Sanders</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10,790,806</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87,967</w:t>
            </w:r>
          </w:p>
        </w:tc>
        <w:tc>
          <w:tcPr>
            <w:tcW w:w="93" w:type="dxa"/>
            <w:tcBorders/>
            <w:shd w:fill="auto" w:val="clear"/>
            <w:vAlign w:val="bottom"/>
          </w:tcPr>
          <w:p>
            <w:pPr>
              <w:pStyle w:val="TableContents"/>
              <w:spacing w:before="0" w:after="283"/>
              <w:rPr/>
            </w:pPr>
            <w:r>
              <w:rPr/>
              <w:t> </w:t>
            </w:r>
          </w:p>
        </w:tc>
        <w:tc>
          <w:tcPr>
            <w:tcW w:w="87" w:type="dxa"/>
            <w:gridSpan w:val="2"/>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Fred J. Ferrazzano</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7,584,770</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77,135</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0"/>
              <w:ind w:left="225" w:right="0" w:hanging="225"/>
              <w:rPr/>
            </w:pPr>
            <w:r>
              <w:rPr/>
              <w:t>Alva V. Snider</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8,411,511</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181,264</w:t>
            </w:r>
          </w:p>
        </w:tc>
        <w:tc>
          <w:tcPr>
            <w:tcW w:w="93" w:type="dxa"/>
            <w:tcBorders/>
            <w:shd w:fill="auto" w:val="clear"/>
            <w:vAlign w:val="bottom"/>
          </w:tcPr>
          <w:p>
            <w:pPr>
              <w:pStyle w:val="TableContents"/>
              <w:spacing w:before="0" w:after="283"/>
              <w:rPr/>
            </w:pPr>
            <w:r>
              <w:rPr/>
              <w:t> </w:t>
            </w:r>
          </w:p>
        </w:tc>
        <w:tc>
          <w:tcPr>
            <w:tcW w:w="87" w:type="dxa"/>
            <w:gridSpan w:val="2"/>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Scott Van Der Kar</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9,201,499</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111,526</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0"/>
              <w:ind w:left="225" w:right="0" w:hanging="225"/>
              <w:rPr/>
            </w:pPr>
            <w:r>
              <w:rPr/>
              <w:t>J. Link Leavens</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12,434,856</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125,727</w:t>
            </w:r>
          </w:p>
        </w:tc>
        <w:tc>
          <w:tcPr>
            <w:tcW w:w="93" w:type="dxa"/>
            <w:tcBorders/>
            <w:shd w:fill="auto" w:val="clear"/>
            <w:vAlign w:val="bottom"/>
          </w:tcPr>
          <w:p>
            <w:pPr>
              <w:pStyle w:val="TableContents"/>
              <w:spacing w:before="0" w:after="283"/>
              <w:rPr/>
            </w:pPr>
            <w:r>
              <w:rPr/>
              <w:t> </w:t>
            </w:r>
          </w:p>
        </w:tc>
        <w:tc>
          <w:tcPr>
            <w:tcW w:w="87" w:type="dxa"/>
            <w:gridSpan w:val="2"/>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Dorcas H. McFarlane</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8,725,542</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133,756</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0"/>
              <w:ind w:left="225" w:right="0" w:hanging="225"/>
              <w:rPr/>
            </w:pPr>
            <w:r>
              <w:rPr/>
              <w:t>John M. Hunt</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8,767,676</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110,995</w:t>
            </w:r>
          </w:p>
        </w:tc>
        <w:tc>
          <w:tcPr>
            <w:tcW w:w="93" w:type="dxa"/>
            <w:tcBorders/>
            <w:shd w:fill="auto" w:val="clear"/>
            <w:vAlign w:val="bottom"/>
          </w:tcPr>
          <w:p>
            <w:pPr>
              <w:pStyle w:val="TableContents"/>
              <w:spacing w:before="0" w:after="283"/>
              <w:rPr/>
            </w:pPr>
            <w:r>
              <w:rPr/>
              <w:t> </w:t>
            </w:r>
          </w:p>
        </w:tc>
        <w:tc>
          <w:tcPr>
            <w:tcW w:w="87" w:type="dxa"/>
            <w:gridSpan w:val="2"/>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Egidio Carbone, Jr.</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6,981,217</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95,862</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r>
        <w:trPr/>
        <w:tc>
          <w:tcPr>
            <w:tcW w:w="4670" w:type="dxa"/>
            <w:tcBorders/>
            <w:shd w:fill="auto" w:val="clear"/>
            <w:vAlign w:val="bottom"/>
          </w:tcPr>
          <w:p>
            <w:pPr>
              <w:pStyle w:val="TableContents"/>
              <w:spacing w:before="0" w:after="0"/>
              <w:ind w:left="225" w:right="0" w:hanging="225"/>
              <w:rPr/>
            </w:pPr>
            <w:r>
              <w:rPr/>
              <w:t>Harold Edwards</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19,971,944</w:t>
            </w:r>
          </w:p>
        </w:tc>
        <w:tc>
          <w:tcPr>
            <w:tcW w:w="9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118,638</w:t>
            </w:r>
          </w:p>
        </w:tc>
        <w:tc>
          <w:tcPr>
            <w:tcW w:w="93" w:type="dxa"/>
            <w:tcBorders/>
            <w:shd w:fill="auto" w:val="clear"/>
            <w:vAlign w:val="bottom"/>
          </w:tcPr>
          <w:p>
            <w:pPr>
              <w:pStyle w:val="TableContents"/>
              <w:spacing w:before="0" w:after="283"/>
              <w:rPr/>
            </w:pPr>
            <w:r>
              <w:rPr/>
              <w:t> </w:t>
            </w:r>
          </w:p>
        </w:tc>
        <w:tc>
          <w:tcPr>
            <w:tcW w:w="87" w:type="dxa"/>
            <w:gridSpan w:val="2"/>
            <w:tcBorders/>
            <w:shd w:fill="auto" w:val="clear"/>
          </w:tcPr>
          <w:p>
            <w:pPr>
              <w:pStyle w:val="TableContents"/>
              <w:spacing w:before="0" w:after="283"/>
              <w:rPr>
                <w:sz w:val="4"/>
                <w:szCs w:val="4"/>
              </w:rPr>
            </w:pPr>
            <w:r>
              <w:rPr>
                <w:sz w:val="4"/>
                <w:szCs w:val="4"/>
              </w:rPr>
            </w:r>
          </w:p>
        </w:tc>
      </w:tr>
      <w:tr>
        <w:trPr/>
        <w:tc>
          <w:tcPr>
            <w:tcW w:w="4670" w:type="dxa"/>
            <w:tcBorders/>
            <w:shd w:fill="CCEEFF" w:val="clear"/>
            <w:vAlign w:val="bottom"/>
          </w:tcPr>
          <w:p>
            <w:pPr>
              <w:pStyle w:val="TableContents"/>
              <w:spacing w:before="0" w:after="0"/>
              <w:ind w:left="225" w:right="0" w:hanging="225"/>
              <w:rPr/>
            </w:pPr>
            <w:r>
              <w:rPr/>
              <w:t>Alan Van Wagner</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7,504,004</w:t>
            </w:r>
          </w:p>
        </w:tc>
        <w:tc>
          <w:tcPr>
            <w:tcW w:w="9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84,222</w:t>
            </w:r>
          </w:p>
        </w:tc>
        <w:tc>
          <w:tcPr>
            <w:tcW w:w="93" w:type="dxa"/>
            <w:tcBorders/>
            <w:shd w:fill="CCEEFF" w:val="clear"/>
            <w:vAlign w:val="bottom"/>
          </w:tcPr>
          <w:p>
            <w:pPr>
              <w:pStyle w:val="TableContents"/>
              <w:spacing w:before="0" w:after="283"/>
              <w:rPr/>
            </w:pPr>
            <w:r>
              <w:rPr/>
              <w:t> </w:t>
            </w:r>
          </w:p>
        </w:tc>
        <w:tc>
          <w:tcPr>
            <w:tcW w:w="87" w:type="dxa"/>
            <w:gridSpan w:val="2"/>
            <w:tcBorders/>
            <w:shd w:fill="CCEEFF"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shareholders voted for the ratification of the appointment of Deloitte &amp; Touche LLP as our independent accountants for fiscal 2006. Votes cast were as follows:</w:t>
            </w:r>
          </w:p>
        </w:tc>
      </w:tr>
    </w:tbl>
    <w:tbl>
      <w:tblPr>
        <w:tblW w:w="2000" w:type="pct"/>
        <w:jc w:val="center"/>
        <w:tblInd w:w="0" w:type="dxa"/>
        <w:tblCellMar>
          <w:top w:w="0" w:type="dxa"/>
          <w:left w:w="0" w:type="dxa"/>
          <w:bottom w:w="0" w:type="dxa"/>
          <w:right w:w="0" w:type="dxa"/>
        </w:tblCellMar>
      </w:tblPr>
      <w:tblGrid>
        <w:gridCol w:w="2644"/>
        <w:gridCol w:w="176"/>
        <w:gridCol w:w="78"/>
        <w:gridCol w:w="1103"/>
        <w:gridCol w:w="81"/>
      </w:tblGrid>
      <w:tr>
        <w:trPr/>
        <w:tc>
          <w:tcPr>
            <w:tcW w:w="264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2644" w:type="dxa"/>
            <w:tcBorders/>
            <w:shd w:fill="CCEEFF" w:val="clear"/>
            <w:vAlign w:val="bottom"/>
          </w:tcPr>
          <w:p>
            <w:pPr>
              <w:pStyle w:val="TableContents"/>
              <w:spacing w:before="0" w:after="0"/>
              <w:ind w:left="225" w:right="0" w:hanging="225"/>
              <w:rPr/>
            </w:pPr>
            <w:r>
              <w:rPr/>
              <w:t>For</w:t>
            </w:r>
          </w:p>
        </w:tc>
        <w:tc>
          <w:tcPr>
            <w:tcW w:w="17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11,065,563</w:t>
            </w:r>
          </w:p>
        </w:tc>
        <w:tc>
          <w:tcPr>
            <w:tcW w:w="81" w:type="dxa"/>
            <w:tcBorders/>
            <w:shd w:fill="CCEEFF" w:val="clear"/>
            <w:vAlign w:val="bottom"/>
          </w:tcPr>
          <w:p>
            <w:pPr>
              <w:pStyle w:val="TableContents"/>
              <w:spacing w:before="0" w:after="283"/>
              <w:rPr/>
            </w:pPr>
            <w:r>
              <w:rPr/>
              <w:t> </w:t>
            </w:r>
          </w:p>
        </w:tc>
      </w:tr>
      <w:tr>
        <w:trPr/>
        <w:tc>
          <w:tcPr>
            <w:tcW w:w="2644" w:type="dxa"/>
            <w:tcBorders/>
            <w:shd w:fill="auto" w:val="clear"/>
            <w:vAlign w:val="bottom"/>
          </w:tcPr>
          <w:p>
            <w:pPr>
              <w:pStyle w:val="TableContents"/>
              <w:spacing w:before="0" w:after="0"/>
              <w:ind w:left="225" w:right="0" w:hanging="225"/>
              <w:rPr/>
            </w:pPr>
            <w:r>
              <w:rPr/>
              <w:t>Against</w:t>
            </w:r>
          </w:p>
        </w:tc>
        <w:tc>
          <w:tcPr>
            <w:tcW w:w="17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3,438</w:t>
            </w:r>
          </w:p>
        </w:tc>
        <w:tc>
          <w:tcPr>
            <w:tcW w:w="81" w:type="dxa"/>
            <w:tcBorders/>
            <w:shd w:fill="auto" w:val="clear"/>
            <w:vAlign w:val="bottom"/>
          </w:tcPr>
          <w:p>
            <w:pPr>
              <w:pStyle w:val="TableContents"/>
              <w:spacing w:before="0" w:after="283"/>
              <w:rPr/>
            </w:pPr>
            <w:r>
              <w:rPr/>
              <w:t> </w:t>
            </w:r>
          </w:p>
        </w:tc>
      </w:tr>
      <w:tr>
        <w:trPr/>
        <w:tc>
          <w:tcPr>
            <w:tcW w:w="2644" w:type="dxa"/>
            <w:tcBorders/>
            <w:shd w:fill="CCEEFF" w:val="clear"/>
            <w:vAlign w:val="bottom"/>
          </w:tcPr>
          <w:p>
            <w:pPr>
              <w:pStyle w:val="TableContents"/>
              <w:spacing w:before="0" w:after="0"/>
              <w:ind w:left="225" w:right="0" w:hanging="225"/>
              <w:rPr/>
            </w:pPr>
            <w:r>
              <w:rPr/>
              <w:t>Abstain</w:t>
            </w:r>
          </w:p>
        </w:tc>
        <w:tc>
          <w:tcPr>
            <w:tcW w:w="17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34,271</w:t>
            </w:r>
          </w:p>
        </w:tc>
        <w:tc>
          <w:tcPr>
            <w:tcW w:w="81"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bookmarkStart w:id="19" w:name="116"/>
      <w:bookmarkEnd w:id="19"/>
      <w:r>
        <w:rPr>
          <w:rFonts w:ascii="Times New Roman;Times;serif" w:hAnsi="Times New Roman;Times;serif"/>
          <w:b/>
          <w:sz w:val="17"/>
        </w:rPr>
        <w:t>ITEM 5. OTHER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second quarter ended April 30, 2006, Lecil Coles based salary increased $40,000, from $350,000 to $390,000. In conjunction with such salary increase, however, Mr. Cole will no longer receive director compensation. The difference between Mr. Coles salary increase and director compensation is insignificant.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0" w:name="113"/>
      <w:bookmarkEnd w:id="20"/>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775"/>
        <w:gridCol w:w="445"/>
        <w:gridCol w:w="116"/>
        <w:gridCol w:w="8869"/>
      </w:tblGrid>
      <w:tr>
        <w:trPr/>
        <w:tc>
          <w:tcPr>
            <w:tcW w:w="775"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31.1</w:t>
            </w:r>
          </w:p>
        </w:tc>
        <w:tc>
          <w:tcPr>
            <w:tcW w:w="116" w:type="dxa"/>
            <w:tcBorders/>
            <w:shd w:fill="auto" w:val="clear"/>
          </w:tcPr>
          <w:p>
            <w:pPr>
              <w:pStyle w:val="TableContents"/>
              <w:spacing w:before="0" w:after="283"/>
              <w:rPr/>
            </w:pPr>
            <w:r>
              <w:rPr/>
              <w:t> </w:t>
            </w:r>
          </w:p>
        </w:tc>
        <w:tc>
          <w:tcPr>
            <w:tcW w:w="8869" w:type="dxa"/>
            <w:tcBorders/>
            <w:shd w:fill="auto" w:val="clear"/>
          </w:tcPr>
          <w:p>
            <w:pPr>
              <w:pStyle w:val="TableContents"/>
              <w:spacing w:before="0" w:after="283"/>
              <w:rPr/>
            </w:pPr>
            <w:r>
              <w:rPr/>
              <w:t>Certification of Chief Executive Officer Pursuant to 15 U.S.C. § 7241, as Adopted Pursuant to Section 302 of the Sarbanes-Oxley Act of 2002.</w:t>
            </w:r>
          </w:p>
        </w:tc>
      </w:tr>
      <w:tr>
        <w:trPr/>
        <w:tc>
          <w:tcPr>
            <w:tcW w:w="775" w:type="dxa"/>
            <w:tcBorders/>
            <w:shd w:fill="auto" w:val="clear"/>
            <w:vAlign w:val="center"/>
          </w:tcPr>
          <w:p>
            <w:pPr>
              <w:pStyle w:val="TableContents"/>
              <w:spacing w:before="0" w:after="283"/>
              <w:rPr/>
            </w:pPr>
            <w:r>
              <w:rPr/>
              <w:t> </w:t>
            </w:r>
          </w:p>
        </w:tc>
        <w:tc>
          <w:tcPr>
            <w:tcW w:w="9430" w:type="dxa"/>
            <w:gridSpan w:val="3"/>
            <w:tcBorders/>
            <w:shd w:fill="auto" w:val="clear"/>
          </w:tcPr>
          <w:p>
            <w:pPr>
              <w:pStyle w:val="TableContents"/>
              <w:spacing w:before="0" w:after="283"/>
              <w:rPr>
                <w:sz w:val="4"/>
                <w:szCs w:val="4"/>
              </w:rPr>
            </w:pPr>
            <w:r>
              <w:rPr>
                <w:sz w:val="4"/>
                <w:szCs w:val="4"/>
              </w:rPr>
            </w:r>
          </w:p>
        </w:tc>
      </w:tr>
      <w:tr>
        <w:trPr/>
        <w:tc>
          <w:tcPr>
            <w:tcW w:w="775"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31.2</w:t>
            </w:r>
          </w:p>
        </w:tc>
        <w:tc>
          <w:tcPr>
            <w:tcW w:w="116" w:type="dxa"/>
            <w:tcBorders/>
            <w:shd w:fill="auto" w:val="clear"/>
          </w:tcPr>
          <w:p>
            <w:pPr>
              <w:pStyle w:val="TableContents"/>
              <w:spacing w:before="0" w:after="283"/>
              <w:rPr/>
            </w:pPr>
            <w:r>
              <w:rPr/>
              <w:t> </w:t>
            </w:r>
          </w:p>
        </w:tc>
        <w:tc>
          <w:tcPr>
            <w:tcW w:w="8869" w:type="dxa"/>
            <w:tcBorders/>
            <w:shd w:fill="auto" w:val="clear"/>
          </w:tcPr>
          <w:p>
            <w:pPr>
              <w:pStyle w:val="TableContents"/>
              <w:spacing w:before="0" w:after="283"/>
              <w:rPr/>
            </w:pPr>
            <w:r>
              <w:rPr/>
              <w:t>Certification of Principal Financial Officer Pursuant to 15 U.S.C. § 7241, as Adopted Pursuant to Section 302 of the Sarbanes-Oxley Act of 2002.</w:t>
            </w:r>
          </w:p>
        </w:tc>
      </w:tr>
      <w:tr>
        <w:trPr/>
        <w:tc>
          <w:tcPr>
            <w:tcW w:w="775" w:type="dxa"/>
            <w:tcBorders/>
            <w:shd w:fill="auto" w:val="clear"/>
            <w:vAlign w:val="center"/>
          </w:tcPr>
          <w:p>
            <w:pPr>
              <w:pStyle w:val="TableContents"/>
              <w:spacing w:before="0" w:after="283"/>
              <w:rPr/>
            </w:pPr>
            <w:r>
              <w:rPr/>
              <w:t> </w:t>
            </w:r>
          </w:p>
        </w:tc>
        <w:tc>
          <w:tcPr>
            <w:tcW w:w="9430" w:type="dxa"/>
            <w:gridSpan w:val="3"/>
            <w:tcBorders/>
            <w:shd w:fill="auto" w:val="clear"/>
          </w:tcPr>
          <w:p>
            <w:pPr>
              <w:pStyle w:val="TableContents"/>
              <w:spacing w:before="0" w:after="283"/>
              <w:rPr>
                <w:sz w:val="4"/>
                <w:szCs w:val="4"/>
              </w:rPr>
            </w:pPr>
            <w:r>
              <w:rPr>
                <w:sz w:val="4"/>
                <w:szCs w:val="4"/>
              </w:rPr>
            </w:r>
          </w:p>
        </w:tc>
      </w:tr>
      <w:tr>
        <w:trPr/>
        <w:tc>
          <w:tcPr>
            <w:tcW w:w="775"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32</w:t>
            </w:r>
          </w:p>
        </w:tc>
        <w:tc>
          <w:tcPr>
            <w:tcW w:w="116" w:type="dxa"/>
            <w:tcBorders/>
            <w:shd w:fill="auto" w:val="clear"/>
          </w:tcPr>
          <w:p>
            <w:pPr>
              <w:pStyle w:val="TableContents"/>
              <w:spacing w:before="0" w:after="283"/>
              <w:rPr/>
            </w:pPr>
            <w:r>
              <w:rPr/>
              <w:t> </w:t>
            </w:r>
          </w:p>
        </w:tc>
        <w:tc>
          <w:tcPr>
            <w:tcW w:w="8869" w:type="dxa"/>
            <w:tcBorders/>
            <w:shd w:fill="auto" w:val="clear"/>
          </w:tcPr>
          <w:p>
            <w:pPr>
              <w:pStyle w:val="TableContents"/>
              <w:spacing w:before="0" w:after="283"/>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1" w:name="114"/>
      <w:bookmarkEnd w:id="21"/>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4718"/>
        <w:gridCol w:w="117"/>
        <w:gridCol w:w="309"/>
        <w:gridCol w:w="117"/>
        <w:gridCol w:w="4612"/>
        <w:gridCol w:w="117"/>
        <w:gridCol w:w="215"/>
      </w:tblGrid>
      <w:tr>
        <w:trPr/>
        <w:tc>
          <w:tcPr>
            <w:tcW w:w="471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4718"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038" w:type="dxa"/>
            <w:gridSpan w:val="3"/>
            <w:tcBorders/>
            <w:shd w:fill="auto" w:val="clear"/>
          </w:tcPr>
          <w:p>
            <w:pPr>
              <w:pStyle w:val="TableContents"/>
              <w:spacing w:before="0" w:after="283"/>
              <w:jc w:val="left"/>
              <w:rPr/>
            </w:pPr>
            <w:r>
              <w:rPr/>
              <w:t>Calavo Growers, Inc.</w:t>
              <w:br/>
              <w:t>(Registrant)</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Date: June 8, 2006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/s/ Lecil E. Cole</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4612" w:type="dxa"/>
            <w:tcBorders>
              <w:top w:val="single" w:sz="2" w:space="0" w:color="000000"/>
            </w:tcBorders>
            <w:shd w:fill="auto" w:val="clear"/>
            <w:tcMar>
              <w:top w:w="28" w:type="dxa"/>
            </w:tcM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Lecil E. Cole</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Chairman of the Board of Directors,</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Chief Executive Officer and President</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(Principal Executive Officer)</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Date: June 8, 2006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/s/ Arthur J. Bruno</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4612" w:type="dxa"/>
            <w:tcBorders>
              <w:top w:val="single" w:sz="2" w:space="0" w:color="000000"/>
            </w:tcBorders>
            <w:shd w:fill="auto" w:val="clear"/>
            <w:tcMar>
              <w:top w:w="28" w:type="dxa"/>
            </w:tcM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Arthur J. Bruno</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Chief Operating Officer, Chief Financial Officer and</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Corporate Secretary</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r>
        <w:trPr/>
        <w:tc>
          <w:tcPr>
            <w:tcW w:w="4718"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12" w:type="dxa"/>
            <w:tcBorders/>
            <w:shd w:fill="auto" w:val="clear"/>
          </w:tcPr>
          <w:p>
            <w:pPr>
              <w:pStyle w:val="TableContents"/>
              <w:spacing w:before="0" w:after="283"/>
              <w:jc w:val="left"/>
              <w:rPr/>
            </w:pPr>
            <w:r>
              <w:rPr/>
              <w:t xml:space="preserve">(Principal Financial Officer) </w:t>
            </w:r>
          </w:p>
        </w:tc>
        <w:tc>
          <w:tcPr>
            <w:tcW w:w="117" w:type="dxa"/>
            <w:tcBorders/>
            <w:shd w:fill="auto" w:val="clear"/>
            <w:vAlign w:val="bottom"/>
          </w:tcPr>
          <w:p>
            <w:pPr>
              <w:pStyle w:val="TableContents"/>
              <w:spacing w:before="0" w:after="283"/>
              <w:rPr/>
            </w:pPr>
            <w:r>
              <w:rPr/>
              <w:t> </w:t>
            </w:r>
          </w:p>
        </w:tc>
        <w:tc>
          <w:tcPr>
            <w:tcW w:w="215"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2" w:name="1151"/>
      <w:bookmarkEnd w:id="22"/>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28"/>
        <w:gridCol w:w="318"/>
        <w:gridCol w:w="9059"/>
      </w:tblGrid>
      <w:tr>
        <w:trPr/>
        <w:tc>
          <w:tcPr>
            <w:tcW w:w="828"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9059" w:type="dxa"/>
            <w:tcBorders/>
            <w:shd w:fill="auto" w:val="clear"/>
            <w:vAlign w:val="bottom"/>
          </w:tcPr>
          <w:p>
            <w:pPr>
              <w:pStyle w:val="TableContents"/>
              <w:spacing w:before="0" w:after="283"/>
              <w:rPr/>
            </w:pPr>
            <w:r>
              <w:rPr/>
              <w:t> </w:t>
            </w:r>
          </w:p>
        </w:tc>
      </w:tr>
      <w:tr>
        <w:trPr/>
        <w:tc>
          <w:tcPr>
            <w:tcW w:w="828" w:type="dxa"/>
            <w:tcBorders/>
            <w:shd w:fill="auto" w:val="clear"/>
          </w:tcPr>
          <w:p>
            <w:pPr>
              <w:pStyle w:val="TableContents"/>
              <w:spacing w:before="0" w:after="283"/>
              <w:jc w:val="left"/>
              <w:rPr/>
            </w:pPr>
            <w:r>
              <w:rPr/>
              <w:t>Exhibit</w:t>
            </w:r>
          </w:p>
        </w:tc>
        <w:tc>
          <w:tcPr>
            <w:tcW w:w="318" w:type="dxa"/>
            <w:tcBorders/>
            <w:shd w:fill="auto" w:val="clear"/>
            <w:vAlign w:val="bottom"/>
          </w:tcPr>
          <w:p>
            <w:pPr>
              <w:pStyle w:val="TableContents"/>
              <w:spacing w:before="0" w:after="283"/>
              <w:rPr/>
            </w:pPr>
            <w:r>
              <w:rPr/>
              <w:t> </w:t>
            </w:r>
          </w:p>
        </w:tc>
        <w:tc>
          <w:tcPr>
            <w:tcW w:w="9059" w:type="dxa"/>
            <w:tcBorders/>
            <w:shd w:fill="auto" w:val="clear"/>
            <w:vAlign w:val="bottom"/>
          </w:tcPr>
          <w:p>
            <w:pPr>
              <w:pStyle w:val="TableContents"/>
              <w:spacing w:before="0" w:after="283"/>
              <w:jc w:val="center"/>
              <w:rPr/>
            </w:pPr>
            <w:r>
              <w:rPr/>
              <w:t> </w:t>
            </w:r>
          </w:p>
        </w:tc>
      </w:tr>
      <w:tr>
        <w:trPr/>
        <w:tc>
          <w:tcPr>
            <w:tcW w:w="828" w:type="dxa"/>
            <w:tcBorders>
              <w:bottom w:val="single" w:sz="2" w:space="0" w:color="000000"/>
            </w:tcBorders>
            <w:shd w:fill="auto" w:val="clear"/>
            <w:tcMar>
              <w:bottom w:w="28" w:type="dxa"/>
            </w:tcMar>
          </w:tcPr>
          <w:p>
            <w:pPr>
              <w:pStyle w:val="TableContents"/>
              <w:spacing w:before="0" w:after="283"/>
              <w:jc w:val="left"/>
              <w:rPr/>
            </w:pPr>
            <w:r>
              <w:rPr/>
              <w:t>Number</w:t>
            </w:r>
          </w:p>
        </w:tc>
        <w:tc>
          <w:tcPr>
            <w:tcW w:w="318" w:type="dxa"/>
            <w:tcBorders/>
            <w:shd w:fill="auto" w:val="clear"/>
            <w:vAlign w:val="bottom"/>
          </w:tcPr>
          <w:p>
            <w:pPr>
              <w:pStyle w:val="TableContents"/>
              <w:spacing w:before="0" w:after="283"/>
              <w:rPr/>
            </w:pPr>
            <w:r>
              <w:rPr/>
              <w:t> </w:t>
            </w:r>
          </w:p>
        </w:tc>
        <w:tc>
          <w:tcPr>
            <w:tcW w:w="9059"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28" w:type="dxa"/>
            <w:tcBorders/>
            <w:shd w:fill="auto" w:val="clear"/>
          </w:tcPr>
          <w:p>
            <w:pPr>
              <w:pStyle w:val="TableContents"/>
              <w:spacing w:before="0" w:after="0"/>
              <w:ind w:left="0" w:right="0" w:hanging="0"/>
              <w:jc w:val="center"/>
              <w:rPr/>
            </w:pPr>
            <w:r>
              <w:rPr/>
              <w:t xml:space="preserve">31.1 </w:t>
            </w:r>
          </w:p>
        </w:tc>
        <w:tc>
          <w:tcPr>
            <w:tcW w:w="318" w:type="dxa"/>
            <w:tcBorders/>
            <w:shd w:fill="auto" w:val="clear"/>
            <w:vAlign w:val="bottom"/>
          </w:tcPr>
          <w:p>
            <w:pPr>
              <w:pStyle w:val="TableContents"/>
              <w:spacing w:before="0" w:after="283"/>
              <w:rPr/>
            </w:pPr>
            <w:r>
              <w:rPr/>
              <w:t> </w:t>
            </w:r>
          </w:p>
        </w:tc>
        <w:tc>
          <w:tcPr>
            <w:tcW w:w="9059"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318" w:type="dxa"/>
            <w:tcBorders/>
            <w:shd w:fill="auto" w:val="clear"/>
            <w:vAlign w:val="bottom"/>
          </w:tcPr>
          <w:p>
            <w:pPr>
              <w:pStyle w:val="TableContents"/>
              <w:spacing w:before="0" w:after="283"/>
              <w:rPr/>
            </w:pPr>
            <w:r>
              <w:rPr/>
              <w:t> </w:t>
            </w:r>
          </w:p>
        </w:tc>
        <w:tc>
          <w:tcPr>
            <w:tcW w:w="9059"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31.2 </w:t>
            </w:r>
          </w:p>
        </w:tc>
        <w:tc>
          <w:tcPr>
            <w:tcW w:w="318" w:type="dxa"/>
            <w:tcBorders/>
            <w:shd w:fill="auto" w:val="clear"/>
            <w:vAlign w:val="bottom"/>
          </w:tcPr>
          <w:p>
            <w:pPr>
              <w:pStyle w:val="TableContents"/>
              <w:spacing w:before="0" w:after="283"/>
              <w:rPr/>
            </w:pPr>
            <w:r>
              <w:rPr/>
              <w:t> </w:t>
            </w:r>
          </w:p>
        </w:tc>
        <w:tc>
          <w:tcPr>
            <w:tcW w:w="9059"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318" w:type="dxa"/>
            <w:tcBorders/>
            <w:shd w:fill="auto" w:val="clear"/>
            <w:vAlign w:val="bottom"/>
          </w:tcPr>
          <w:p>
            <w:pPr>
              <w:pStyle w:val="TableContents"/>
              <w:spacing w:before="0" w:after="283"/>
              <w:rPr/>
            </w:pPr>
            <w:r>
              <w:rPr/>
              <w:t> </w:t>
            </w:r>
          </w:p>
        </w:tc>
        <w:tc>
          <w:tcPr>
            <w:tcW w:w="9059"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32    </w:t>
            </w:r>
          </w:p>
        </w:tc>
        <w:tc>
          <w:tcPr>
            <w:tcW w:w="318" w:type="dxa"/>
            <w:tcBorders/>
            <w:shd w:fill="auto" w:val="clear"/>
            <w:vAlign w:val="bottom"/>
          </w:tcPr>
          <w:p>
            <w:pPr>
              <w:pStyle w:val="TableContents"/>
              <w:spacing w:before="0" w:after="283"/>
              <w:rPr/>
            </w:pPr>
            <w:r>
              <w:rPr/>
              <w:t> </w:t>
            </w:r>
          </w:p>
        </w:tc>
        <w:tc>
          <w:tcPr>
            <w:tcW w:w="9059" w:type="dxa"/>
            <w:tcBorders/>
            <w:shd w:fill="auto" w:val="clear"/>
          </w:tcPr>
          <w:p>
            <w:pPr>
              <w:pStyle w:val="TableContents"/>
              <w:spacing w:before="0" w:after="283"/>
              <w:jc w:val="left"/>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r>
        <w:br w:type="page"/>
      </w:r>
    </w:p>
    <w:p>
      <w:pPr>
        <w:pStyle w:val="Heading5"/>
        <w:jc w:val="left"/>
        <w:rPr/>
      </w:pPr>
      <w:bookmarkStart w:id="23" w:name="v21225exv31w1.htm"/>
      <w:bookmarkStart w:id="24" w:name="ksv21225exv31w1"/>
      <w:bookmarkEnd w:id="23"/>
      <w:bookmarkEnd w:id="24"/>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Lecil E. Cole, certify that: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 have reviewed this quarterly report on Form 10-Q of Calavo Growers, Inc.;</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408"/>
        <w:gridCol w:w="305"/>
        <w:gridCol w:w="102"/>
        <w:gridCol w:w="9390"/>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4901"/>
        <w:gridCol w:w="201"/>
        <w:gridCol w:w="4086"/>
        <w:gridCol w:w="201"/>
        <w:gridCol w:w="816"/>
      </w:tblGrid>
      <w:tr>
        <w:trPr/>
        <w:tc>
          <w:tcPr>
            <w:tcW w:w="490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408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r>
      <w:tr>
        <w:trPr/>
        <w:tc>
          <w:tcPr>
            <w:tcW w:w="4901" w:type="dxa"/>
            <w:tcBorders/>
            <w:shd w:fill="auto" w:val="clear"/>
          </w:tcPr>
          <w:p>
            <w:pPr>
              <w:pStyle w:val="TableContents"/>
              <w:spacing w:before="0" w:after="0"/>
              <w:ind w:left="0" w:right="0" w:hanging="0"/>
              <w:rPr/>
            </w:pPr>
            <w:r>
              <w:rPr/>
              <w:t xml:space="preserve">Date: June 8, 2006 </w:t>
            </w:r>
          </w:p>
        </w:tc>
        <w:tc>
          <w:tcPr>
            <w:tcW w:w="201"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283"/>
              <w:jc w:val="left"/>
              <w:rPr/>
            </w:pPr>
            <w:r>
              <w:rPr/>
              <w:t>/s/ Lecil E. Cole</w:t>
            </w:r>
          </w:p>
        </w:tc>
        <w:tc>
          <w:tcPr>
            <w:tcW w:w="201" w:type="dxa"/>
            <w:tcBorders/>
            <w:shd w:fill="auto" w:val="clear"/>
            <w:vAlign w:val="bottom"/>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4086" w:type="dxa"/>
            <w:tcBorders>
              <w:top w:val="single" w:sz="2" w:space="0" w:color="000000"/>
            </w:tcBorders>
            <w:shd w:fill="auto" w:val="clear"/>
            <w:tcMar>
              <w:top w:w="28" w:type="dxa"/>
            </w:tcMa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283"/>
              <w:jc w:val="left"/>
              <w:rPr/>
            </w:pPr>
            <w:r>
              <w:rPr/>
              <w:t>Lecil E. Cole</w:t>
            </w:r>
          </w:p>
        </w:tc>
        <w:tc>
          <w:tcPr>
            <w:tcW w:w="201" w:type="dxa"/>
            <w:tcBorders/>
            <w:shd w:fill="auto" w:val="clear"/>
            <w:vAlign w:val="bottom"/>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283"/>
              <w:jc w:val="left"/>
              <w:rPr/>
            </w:pPr>
            <w:r>
              <w:rPr/>
              <w:t>Chairman of the Board of Directors,</w:t>
            </w:r>
          </w:p>
        </w:tc>
        <w:tc>
          <w:tcPr>
            <w:tcW w:w="201" w:type="dxa"/>
            <w:tcBorders/>
            <w:shd w:fill="auto" w:val="clear"/>
            <w:vAlign w:val="bottom"/>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283"/>
              <w:jc w:val="left"/>
              <w:rPr/>
            </w:pPr>
            <w:r>
              <w:rPr/>
              <w:t xml:space="preserve">President and Chief Executive Officer </w:t>
            </w:r>
          </w:p>
        </w:tc>
        <w:tc>
          <w:tcPr>
            <w:tcW w:w="201" w:type="dxa"/>
            <w:tcBorders/>
            <w:shd w:fill="auto" w:val="clear"/>
            <w:vAlign w:val="bottom"/>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r>
        <w:br w:type="page"/>
      </w:r>
    </w:p>
    <w:p>
      <w:pPr>
        <w:pStyle w:val="Heading5"/>
        <w:jc w:val="left"/>
        <w:rPr/>
      </w:pPr>
      <w:bookmarkStart w:id="25" w:name="v21225exv31w2.htm"/>
      <w:bookmarkStart w:id="26" w:name="ksv21225exv31w2"/>
      <w:bookmarkEnd w:id="25"/>
      <w:bookmarkEnd w:id="26"/>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 have reviewed this quarterly report on Form 10-Q of Calavo Growers, Inc.;</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408"/>
        <w:gridCol w:w="305"/>
        <w:gridCol w:w="102"/>
        <w:gridCol w:w="9390"/>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4696"/>
        <w:gridCol w:w="201"/>
        <w:gridCol w:w="4596"/>
        <w:gridCol w:w="202"/>
        <w:gridCol w:w="510"/>
      </w:tblGrid>
      <w:tr>
        <w:trPr/>
        <w:tc>
          <w:tcPr>
            <w:tcW w:w="469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459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r>
      <w:tr>
        <w:trPr/>
        <w:tc>
          <w:tcPr>
            <w:tcW w:w="4696" w:type="dxa"/>
            <w:tcBorders/>
            <w:shd w:fill="auto" w:val="clear"/>
          </w:tcPr>
          <w:p>
            <w:pPr>
              <w:pStyle w:val="TableContents"/>
              <w:spacing w:before="0" w:after="0"/>
              <w:ind w:left="0" w:right="0" w:hanging="0"/>
              <w:rPr/>
            </w:pPr>
            <w:r>
              <w:rPr/>
              <w:t xml:space="preserve">Date: June 8, 2006 </w:t>
            </w:r>
          </w:p>
        </w:tc>
        <w:tc>
          <w:tcPr>
            <w:tcW w:w="201" w:type="dxa"/>
            <w:tcBorders/>
            <w:shd w:fill="auto" w:val="clear"/>
            <w:vAlign w:val="bottom"/>
          </w:tcPr>
          <w:p>
            <w:pPr>
              <w:pStyle w:val="TableContents"/>
              <w:spacing w:before="0" w:after="283"/>
              <w:rPr/>
            </w:pPr>
            <w:r>
              <w:rPr/>
              <w:t> </w:t>
            </w:r>
          </w:p>
        </w:tc>
        <w:tc>
          <w:tcPr>
            <w:tcW w:w="4596" w:type="dxa"/>
            <w:tcBorders/>
            <w:shd w:fill="auto" w:val="clear"/>
          </w:tcPr>
          <w:p>
            <w:pPr>
              <w:pStyle w:val="TableContents"/>
              <w:spacing w:before="0" w:after="283"/>
              <w:jc w:val="left"/>
              <w:rPr/>
            </w:pPr>
            <w:r>
              <w:rPr/>
              <w:t>/s/ Arthur J. Bruno</w:t>
            </w:r>
          </w:p>
        </w:tc>
        <w:tc>
          <w:tcPr>
            <w:tcW w:w="2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r>
      <w:tr>
        <w:trPr/>
        <w:tc>
          <w:tcPr>
            <w:tcW w:w="4696" w:type="dxa"/>
            <w:tcBorders/>
            <w:shd w:fill="auto" w:val="clea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283"/>
              <w:rPr/>
            </w:pPr>
            <w:r>
              <w:rPr/>
              <w:t> </w:t>
            </w:r>
          </w:p>
        </w:tc>
        <w:tc>
          <w:tcPr>
            <w:tcW w:w="4596" w:type="dxa"/>
            <w:tcBorders>
              <w:top w:val="single" w:sz="2" w:space="0" w:color="000000"/>
            </w:tcBorders>
            <w:shd w:fill="auto" w:val="clear"/>
            <w:tcMar>
              <w:top w:w="28" w:type="dxa"/>
            </w:tcMar>
          </w:tcPr>
          <w:p>
            <w:pPr>
              <w:pStyle w:val="TableContents"/>
              <w:spacing w:before="0" w:after="283"/>
              <w:jc w:val="left"/>
              <w:rPr/>
            </w:pPr>
            <w:r>
              <w:rPr/>
              <w:t> </w:t>
            </w:r>
          </w:p>
        </w:tc>
        <w:tc>
          <w:tcPr>
            <w:tcW w:w="20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r>
      <w:tr>
        <w:trPr/>
        <w:tc>
          <w:tcPr>
            <w:tcW w:w="469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596" w:type="dxa"/>
            <w:tcBorders/>
            <w:shd w:fill="auto" w:val="clear"/>
          </w:tcPr>
          <w:p>
            <w:pPr>
              <w:pStyle w:val="TableContents"/>
              <w:spacing w:before="0" w:after="283"/>
              <w:jc w:val="left"/>
              <w:rPr/>
            </w:pPr>
            <w:r>
              <w:rPr/>
              <w:t>Arthur J. Bruno</w:t>
            </w:r>
          </w:p>
        </w:tc>
        <w:tc>
          <w:tcPr>
            <w:tcW w:w="2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r>
      <w:tr>
        <w:trPr/>
        <w:tc>
          <w:tcPr>
            <w:tcW w:w="469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596" w:type="dxa"/>
            <w:tcBorders/>
            <w:shd w:fill="auto" w:val="clear"/>
          </w:tcPr>
          <w:p>
            <w:pPr>
              <w:pStyle w:val="TableContents"/>
              <w:spacing w:before="0" w:after="283"/>
              <w:jc w:val="left"/>
              <w:rPr/>
            </w:pPr>
            <w:r>
              <w:rPr/>
              <w:t>Chief Operating Officer, Chief Financial Officer and</w:t>
            </w:r>
          </w:p>
        </w:tc>
        <w:tc>
          <w:tcPr>
            <w:tcW w:w="2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r>
      <w:tr>
        <w:trPr/>
        <w:tc>
          <w:tcPr>
            <w:tcW w:w="4696"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4596" w:type="dxa"/>
            <w:tcBorders/>
            <w:shd w:fill="auto" w:val="clear"/>
          </w:tcPr>
          <w:p>
            <w:pPr>
              <w:pStyle w:val="TableContents"/>
              <w:spacing w:before="0" w:after="283"/>
              <w:jc w:val="left"/>
              <w:rPr/>
            </w:pPr>
            <w:r>
              <w:rPr/>
              <w:t xml:space="preserve">Corporate Secretary (Principal Financial Officer) </w:t>
            </w:r>
          </w:p>
        </w:tc>
        <w:tc>
          <w:tcPr>
            <w:tcW w:w="202"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r>
        <w:br w:type="page"/>
      </w:r>
    </w:p>
    <w:p>
      <w:pPr>
        <w:pStyle w:val="Heading5"/>
        <w:jc w:val="left"/>
        <w:rPr/>
      </w:pPr>
      <w:bookmarkStart w:id="27" w:name="v21225exv32.htm"/>
      <w:bookmarkStart w:id="28" w:name="ksv21225exv32"/>
      <w:bookmarkEnd w:id="27"/>
      <w:bookmarkEnd w:id="28"/>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WRITTEN STATEMENT OF CHIEF EXECUTIVE OFFICER</w:t>
        <w:br/>
        <w:t xml:space="preserve">AND CHIEF FINANCIAL OFFICER </w:t>
      </w:r>
    </w:p>
    <w:p>
      <w:pPr>
        <w:pStyle w:val="TextBody"/>
        <w:spacing w:before="120" w:after="283"/>
        <w:jc w:val="left"/>
        <w:rPr/>
      </w:pPr>
      <w:r>
        <w:rPr/>
        <w:t>          </w:t>
      </w:r>
      <w:r>
        <w:rPr>
          <w:rFonts w:ascii="Times New Roman;Times;serif" w:hAnsi="Times New Roman;Times;serif"/>
          <w:sz w:val="17"/>
        </w:rPr>
        <w:t xml:space="preserve">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April 30, 2006,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June 8, 2006 </w:t>
      </w:r>
    </w:p>
    <w:tbl>
      <w:tblPr>
        <w:tblW w:w="5000" w:type="pct"/>
        <w:jc w:val="center"/>
        <w:tblInd w:w="0" w:type="dxa"/>
        <w:tblCellMar>
          <w:top w:w="0" w:type="dxa"/>
          <w:left w:w="0" w:type="dxa"/>
          <w:bottom w:w="0" w:type="dxa"/>
          <w:right w:w="0" w:type="dxa"/>
        </w:tblCellMar>
      </w:tblPr>
      <w:tblGrid>
        <w:gridCol w:w="4592"/>
        <w:gridCol w:w="508"/>
        <w:gridCol w:w="5105"/>
      </w:tblGrid>
      <w:tr>
        <w:trPr/>
        <w:tc>
          <w:tcPr>
            <w:tcW w:w="459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5105"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/s/ Lecil E. Cole</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top w:val="single" w:sz="2" w:space="0" w:color="000000"/>
            </w:tcBorders>
            <w:shd w:fill="auto" w:val="clear"/>
            <w:tcMar>
              <w:top w:w="28" w:type="dxa"/>
            </w:tcMar>
          </w:tcPr>
          <w:p>
            <w:pPr>
              <w:pStyle w:val="TableContents"/>
              <w:spacing w:before="0" w:after="283"/>
              <w:jc w:val="left"/>
              <w:rPr/>
            </w:pPr>
            <w:r>
              <w:rPr/>
              <w:t> </w:t>
            </w:r>
          </w:p>
        </w:tc>
        <w:tc>
          <w:tcPr>
            <w:tcW w:w="508" w:type="dxa"/>
            <w:tcBorders/>
            <w:shd w:fill="auto" w:val="clear"/>
            <w:vAlign w:val="center"/>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Lecil E. Cole</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Chairman of the Board and</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Chief Executive Officer</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/s/ Arthur J. Bruno</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top w:val="single" w:sz="2" w:space="0" w:color="000000"/>
            </w:tcBorders>
            <w:shd w:fill="auto" w:val="clear"/>
            <w:tcMar>
              <w:top w:w="28" w:type="dxa"/>
            </w:tcMar>
          </w:tcPr>
          <w:p>
            <w:pPr>
              <w:pStyle w:val="TableContents"/>
              <w:spacing w:before="0" w:after="283"/>
              <w:jc w:val="left"/>
              <w:rPr/>
            </w:pPr>
            <w:r>
              <w:rPr/>
              <w:t> </w:t>
            </w:r>
          </w:p>
        </w:tc>
        <w:tc>
          <w:tcPr>
            <w:tcW w:w="508" w:type="dxa"/>
            <w:tcBorders/>
            <w:shd w:fill="auto" w:val="clear"/>
            <w:vAlign w:val="center"/>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Arthur J. Bruno</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Chief Operating Officer,</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Chief Financial Officer and</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 xml:space="preserve">Corporate Secretary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11638</Words>
  <CharactersWithSpaces>76500</CharactersWithSpaces>
  <Paragraphs>5861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dc:title>
</cp:coreProperties>
</file>