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LEAVENS J LINK</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2530 RED HILL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CALAVO GROWERS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CVGW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07/07/2015</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361"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0000FF"/>
              </w:rPr>
              <w:t>07/13/2015</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20" w:type="dxa"/>
            <w:vAlign w:val="bottom"/>
            <w:gridSpan w:val="6"/>
            <w:vMerge w:val="restart"/>
          </w:tcPr>
          <w:p>
            <w:pPr>
              <w:ind w:left="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SANTA ANA</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w w:val="87"/>
              </w:rPr>
              <w:t>CA</w:t>
            </w:r>
          </w:p>
        </w:tc>
        <w:tc>
          <w:tcPr>
            <w:tcW w:w="1020" w:type="dxa"/>
            <w:vAlign w:val="bottom"/>
          </w:tcPr>
          <w:p>
            <w:pPr>
              <w:spacing w:after="0"/>
              <w:rPr>
                <w:sz w:val="12"/>
                <w:szCs w:val="12"/>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92705</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0000FF"/>
              </w:rPr>
              <w:t>07/07/2015</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0000FF"/>
              </w:rPr>
              <w:t>S</w:t>
            </w:r>
          </w:p>
        </w:tc>
        <w:tc>
          <w:tcPr>
            <w:tcW w:w="740" w:type="dxa"/>
            <w:vAlign w:val="bottom"/>
          </w:tcPr>
          <w:p>
            <w:pPr>
              <w:ind w:left="260"/>
              <w:spacing w:after="0"/>
              <w:rPr>
                <w:sz w:val="20"/>
                <w:szCs w:val="20"/>
                <w:color w:val="auto"/>
              </w:rPr>
            </w:pPr>
            <w:r>
              <w:rPr>
                <w:rFonts w:ascii="Times New Roman" w:cs="Times New Roman" w:eastAsia="Times New Roman" w:hAnsi="Times New Roman"/>
                <w:sz w:val="18"/>
                <w:szCs w:val="18"/>
                <w:color w:val="0000FF"/>
                <w:w w:val="92"/>
              </w:rPr>
              <w:t>10,000</w:t>
            </w:r>
          </w:p>
        </w:tc>
        <w:tc>
          <w:tcPr>
            <w:tcW w:w="70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52</w:t>
            </w:r>
          </w:p>
        </w:tc>
        <w:tc>
          <w:tcPr>
            <w:tcW w:w="360" w:type="dxa"/>
            <w:vAlign w:val="bottom"/>
          </w:tcPr>
          <w:p>
            <w:pPr>
              <w:spacing w:after="0"/>
              <w:rPr>
                <w:sz w:val="23"/>
                <w:szCs w:val="23"/>
                <w:color w:val="auto"/>
              </w:rPr>
            </w:pPr>
          </w:p>
        </w:tc>
        <w:tc>
          <w:tcPr>
            <w:tcW w:w="90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0000FF"/>
                <w:w w:val="92"/>
              </w:rPr>
              <w:t>94,778</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317"/>
              <w:spacing w:after="0"/>
              <w:rPr>
                <w:sz w:val="20"/>
                <w:szCs w:val="20"/>
                <w:color w:val="auto"/>
              </w:rPr>
            </w:pPr>
            <w:r>
              <w:rPr>
                <w:rFonts w:ascii="Times New Roman" w:cs="Times New Roman" w:eastAsia="Times New Roman" w:hAnsi="Times New Roman"/>
                <w:sz w:val="18"/>
                <w:szCs w:val="18"/>
                <w:color w:val="0000FF"/>
              </w:rPr>
              <w:t>282,574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780" w:type="dxa"/>
            <w:vAlign w:val="bottom"/>
            <w:tcBorders>
              <w:bottom w:val="single" w:sz="8" w:color="2C2C2C"/>
            </w:tcBorders>
          </w:tcPr>
          <w:p>
            <w:pPr>
              <w:ind w:left="60"/>
              <w:spacing w:after="0" w:line="324" w:lineRule="exact"/>
              <w:rPr>
                <w:sz w:val="20"/>
                <w:szCs w:val="20"/>
                <w:color w:val="auto"/>
              </w:rPr>
            </w:pPr>
            <w:r>
              <w:rPr>
                <w:rFonts w:ascii="Times New Roman" w:cs="Times New Roman" w:eastAsia="Times New Roman" w:hAnsi="Times New Roman"/>
                <w:sz w:val="35"/>
                <w:szCs w:val="35"/>
                <w:color w:val="0000FF"/>
                <w:vertAlign w:val="subscript"/>
              </w:rPr>
              <w:t>1</w:t>
            </w:r>
            <w:r>
              <w:rPr>
                <w:rFonts w:ascii="Times New Roman" w:cs="Times New Roman" w:eastAsia="Times New Roman" w:hAnsi="Times New Roman"/>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5"/>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indirectly owned by Reporting Person in the name of various partnerships of which Reporting Person shares voting and investment power with respect to these shares of Issuer's comon stock held by the partnerships.</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This form is being amended to correct the Security Code in Box 4 of Table I with "D" for Securities Disposed instead of "A" for Securities Acquired as was originally reported in error on 7/13/2015.</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 J. Link Leavens</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07/17/2015</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111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2020-01-22T09:50:40Z</dcterms:created>
  <dcterms:modified xsi:type="dcterms:W3CDTF">2020-01-22T09:50:40Z</dcterms:modified>
</cp:coreProperties>
</file>