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5241290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3968750</wp:posOffset>
            </wp:positionH>
            <wp:positionV relativeFrom="paragraph">
              <wp:posOffset>-624205</wp:posOffset>
            </wp:positionV>
            <wp:extent cx="57785" cy="637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741045</wp:posOffset>
            </wp:positionV>
            <wp:extent cx="6993890" cy="5378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378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LEAVENS J LINK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CALAVO GROWERS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CVGW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04/23/2025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CALAVO GROWERS,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1141-A CUMMINGS RD.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 PAULA 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93060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04/23/2025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2,220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85,599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282,572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2,220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04/23/2025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2,220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6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4,259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04/23/2025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4,259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4,259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-2190750</wp:posOffset>
            </wp:positionV>
            <wp:extent cx="29210" cy="21958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5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CVGW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indirectly owned by Reporting Person in the name of various partnerships of which Reporting Person shares voting and investment power with respect to these shares held by such partnerships.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fully vest on the date of Calavo Growers, Inc.'s 2025 annual meeting of shareholders.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80" w:firstLine="1"/>
        <w:spacing w:after="0" w:line="254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fully vest on the date that is the earlier of (i) the one-year anniversary of the date of grant, or (ii) Calavo Growers, Inc.'s 2026 annual meeting of shareholders provided such annual meeting occurs on or after April 8, 2026.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J. Link Leavens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04/24/2025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51114" TargetMode="External"/><Relationship Id="rId14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2025-04-24T18:46:30Z</dcterms:created>
  <dcterms:modified xsi:type="dcterms:W3CDTF">2025-04-24T18:46:30Z</dcterms:modified>
</cp:coreProperties>
</file>