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945515</wp:posOffset>
            </wp:positionH>
            <wp:positionV relativeFrom="page">
              <wp:posOffset>431800</wp:posOffset>
            </wp:positionV>
            <wp:extent cx="565785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57850" cy="34290"/>
                    </a:xfrm>
                    <a:prstGeom prst="rect">
                      <a:avLst/>
                    </a:prstGeom>
                    <a:noFill/>
                  </pic:spPr>
                </pic:pic>
              </a:graphicData>
            </a:graphic>
          </wp:anchor>
        </w:drawing>
        <w:drawing>
          <wp:anchor simplePos="0" relativeHeight="251657728" behindDoc="1" locked="0" layoutInCell="0" allowOverlap="1">
            <wp:simplePos x="0" y="0"/>
            <wp:positionH relativeFrom="page">
              <wp:posOffset>945515</wp:posOffset>
            </wp:positionH>
            <wp:positionV relativeFrom="page">
              <wp:posOffset>500380</wp:posOffset>
            </wp:positionV>
            <wp:extent cx="56578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0" cy="8255"/>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15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CURRENT REPORT PURSUANT</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TO SECTION 13 OR 15(d) OF THE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EXCHANGE ACT OF 1934</w:t>
      </w:r>
    </w:p>
    <w:p>
      <w:pPr>
        <w:spacing w:after="0" w:line="1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June 2, 2022</w:t>
      </w:r>
    </w:p>
    <w:p>
      <w:pPr>
        <w:spacing w:after="0" w:line="16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CALAVO GROWERS, INC.</w:t>
      </w:r>
    </w:p>
    <w:p>
      <w:pPr>
        <w:spacing w:after="0" w:line="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(Exact Name of Registrant as Specified in Charter)</w:t>
      </w:r>
    </w:p>
    <w:p>
      <w:pPr>
        <w:spacing w:after="0" w:line="201" w:lineRule="exact"/>
        <w:rPr>
          <w:sz w:val="24"/>
          <w:szCs w:val="24"/>
          <w:color w:val="auto"/>
        </w:rPr>
      </w:pPr>
    </w:p>
    <w:tbl>
      <w:tblPr>
        <w:tblLayout w:type="fixed"/>
        <w:tblInd w:w="60" w:type="dxa"/>
        <w:tblCellMar>
          <w:top w:w="0" w:type="dxa"/>
          <w:left w:w="0" w:type="dxa"/>
          <w:bottom w:w="0" w:type="dxa"/>
          <w:right w:w="0" w:type="dxa"/>
        </w:tblCellMar>
      </w:tblPr>
      <w:tr>
        <w:trPr>
          <w:trHeight w:val="238"/>
        </w:trPr>
        <w:tc>
          <w:tcPr>
            <w:tcW w:w="31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California</w:t>
            </w:r>
          </w:p>
        </w:tc>
        <w:tc>
          <w:tcPr>
            <w:tcW w:w="2700" w:type="dxa"/>
            <w:vAlign w:val="bottom"/>
          </w:tcPr>
          <w:p>
            <w:pPr>
              <w:jc w:val="right"/>
              <w:ind w:right="870"/>
              <w:spacing w:after="0"/>
              <w:rPr>
                <w:sz w:val="20"/>
                <w:szCs w:val="20"/>
                <w:color w:val="auto"/>
              </w:rPr>
            </w:pPr>
            <w:r>
              <w:rPr>
                <w:rFonts w:ascii="Times New Roman" w:cs="Times New Roman" w:eastAsia="Times New Roman" w:hAnsi="Times New Roman"/>
                <w:sz w:val="18"/>
                <w:szCs w:val="18"/>
                <w:b w:val="1"/>
                <w:bCs w:val="1"/>
                <w:color w:val="auto"/>
              </w:rPr>
              <w:t>000-33385</w:t>
            </w:r>
          </w:p>
        </w:tc>
        <w:tc>
          <w:tcPr>
            <w:tcW w:w="140" w:type="dxa"/>
            <w:vAlign w:val="bottom"/>
          </w:tcPr>
          <w:p>
            <w:pPr>
              <w:spacing w:after="0"/>
              <w:rPr>
                <w:sz w:val="20"/>
                <w:szCs w:val="20"/>
                <w:color w:val="auto"/>
              </w:rPr>
            </w:pPr>
          </w:p>
        </w:tc>
        <w:tc>
          <w:tcPr>
            <w:tcW w:w="29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33-0945304</w:t>
            </w:r>
          </w:p>
        </w:tc>
      </w:tr>
      <w:tr>
        <w:trPr>
          <w:trHeight w:val="191"/>
        </w:trPr>
        <w:tc>
          <w:tcPr>
            <w:tcW w:w="296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(State or Other</w:t>
            </w:r>
          </w:p>
        </w:tc>
        <w:tc>
          <w:tcPr>
            <w:tcW w:w="140" w:type="dxa"/>
            <w:vAlign w:val="bottom"/>
          </w:tcPr>
          <w:p>
            <w:pPr>
              <w:spacing w:after="0"/>
              <w:rPr>
                <w:sz w:val="16"/>
                <w:szCs w:val="16"/>
                <w:color w:val="auto"/>
              </w:rPr>
            </w:pPr>
          </w:p>
        </w:tc>
        <w:tc>
          <w:tcPr>
            <w:tcW w:w="27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(Commission File Number)</w:t>
            </w:r>
          </w:p>
        </w:tc>
        <w:tc>
          <w:tcPr>
            <w:tcW w:w="140" w:type="dxa"/>
            <w:vAlign w:val="bottom"/>
          </w:tcPr>
          <w:p>
            <w:pPr>
              <w:spacing w:after="0"/>
              <w:rPr>
                <w:sz w:val="16"/>
                <w:szCs w:val="16"/>
                <w:color w:val="auto"/>
              </w:rPr>
            </w:pPr>
          </w:p>
        </w:tc>
        <w:tc>
          <w:tcPr>
            <w:tcW w:w="296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31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Jurisdiction of Incorporation)</w:t>
            </w:r>
          </w:p>
        </w:tc>
        <w:tc>
          <w:tcPr>
            <w:tcW w:w="2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No.)</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1141-A Cummings Road, Santa Paula, California 93060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2157095</wp:posOffset>
            </wp:positionH>
            <wp:positionV relativeFrom="paragraph">
              <wp:posOffset>88265</wp:posOffset>
            </wp:positionV>
            <wp:extent cx="14058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spacing w:after="0" w:line="2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2157095</wp:posOffset>
            </wp:positionH>
            <wp:positionV relativeFrom="paragraph">
              <wp:posOffset>85725</wp:posOffset>
            </wp:positionV>
            <wp:extent cx="14058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05890" cy="8890"/>
                    </a:xfrm>
                    <a:prstGeom prst="rect">
                      <a:avLst/>
                    </a:prstGeom>
                    <a:noFill/>
                  </pic:spPr>
                </pic:pic>
              </a:graphicData>
            </a:graphic>
          </wp:anchor>
        </w:drawing>
      </w:r>
    </w:p>
    <w:p>
      <w:pPr>
        <w:spacing w:after="0" w:line="2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(805) 525-1245</w:t>
      </w:r>
    </w:p>
    <w:p>
      <w:pPr>
        <w:spacing w:after="0" w:line="189" w:lineRule="exact"/>
        <w:rPr>
          <w:sz w:val="24"/>
          <w:szCs w:val="24"/>
          <w:color w:val="auto"/>
        </w:rPr>
      </w:pPr>
    </w:p>
    <w:p>
      <w:pPr>
        <w:ind w:left="60" w:right="359"/>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21" w:lineRule="exact"/>
        <w:rPr>
          <w:sz w:val="24"/>
          <w:szCs w:val="24"/>
          <w:color w:val="auto"/>
        </w:rPr>
      </w:pPr>
    </w:p>
    <w:p>
      <w:pPr>
        <w:ind w:left="520" w:hanging="245"/>
        <w:spacing w:after="0"/>
        <w:tabs>
          <w:tab w:leader="none" w:pos="5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98" w:lineRule="exact"/>
        <w:rPr>
          <w:rFonts w:ascii="MS PGothic" w:cs="MS PGothic" w:eastAsia="MS PGothic" w:hAnsi="MS PGothic"/>
          <w:sz w:val="18"/>
          <w:szCs w:val="18"/>
          <w:color w:val="auto"/>
        </w:rPr>
      </w:pPr>
    </w:p>
    <w:p>
      <w:pPr>
        <w:ind w:left="520" w:hanging="245"/>
        <w:spacing w:after="0"/>
        <w:tabs>
          <w:tab w:leader="none" w:pos="5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84" w:lineRule="exact"/>
        <w:rPr>
          <w:rFonts w:ascii="MS PGothic" w:cs="MS PGothic" w:eastAsia="MS PGothic" w:hAnsi="MS PGothic"/>
          <w:sz w:val="18"/>
          <w:szCs w:val="18"/>
          <w:color w:val="auto"/>
        </w:rPr>
      </w:pPr>
    </w:p>
    <w:p>
      <w:pPr>
        <w:ind w:left="520" w:hanging="245"/>
        <w:spacing w:after="0"/>
        <w:tabs>
          <w:tab w:leader="none" w:pos="5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84" w:lineRule="exact"/>
        <w:rPr>
          <w:rFonts w:ascii="MS PGothic" w:cs="MS PGothic" w:eastAsia="MS PGothic" w:hAnsi="MS PGothic"/>
          <w:sz w:val="18"/>
          <w:szCs w:val="18"/>
          <w:color w:val="auto"/>
        </w:rPr>
      </w:pPr>
    </w:p>
    <w:p>
      <w:pPr>
        <w:ind w:left="520" w:hanging="245"/>
        <w:spacing w:after="0"/>
        <w:tabs>
          <w:tab w:leader="none" w:pos="5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2" w:lineRule="exact"/>
        <w:rPr>
          <w:rFonts w:ascii="MS PGothic" w:cs="MS PGothic" w:eastAsia="MS PGothic" w:hAnsi="MS PGothic"/>
          <w:sz w:val="18"/>
          <w:szCs w:val="18"/>
          <w:color w:val="auto"/>
        </w:rPr>
      </w:pPr>
    </w:p>
    <w:p>
      <w:pPr>
        <w:ind w:left="2640"/>
        <w:spacing w:after="0"/>
        <w:rPr>
          <w:rFonts w:ascii="MS PGothic" w:cs="MS PGothic" w:eastAsia="MS PGothic" w:hAnsi="MS PGothic"/>
          <w:sz w:val="18"/>
          <w:szCs w:val="18"/>
          <w:color w:val="auto"/>
        </w:rPr>
      </w:pPr>
      <w:r>
        <w:rPr>
          <w:rFonts w:ascii="Times New Roman" w:cs="Times New Roman" w:eastAsia="Times New Roman" w:hAnsi="Times New Roman"/>
          <w:sz w:val="16"/>
          <w:szCs w:val="16"/>
          <w:color w:val="auto"/>
        </w:rPr>
        <w:t>Securities registered pursuant to Section 12(b) of the Act:</w:t>
      </w:r>
    </w:p>
    <w:p>
      <w:pPr>
        <w:spacing w:after="0" w:line="257" w:lineRule="exact"/>
        <w:rPr>
          <w:sz w:val="24"/>
          <w:szCs w:val="24"/>
          <w:color w:val="auto"/>
        </w:rPr>
      </w:pPr>
    </w:p>
    <w:tbl>
      <w:tblPr>
        <w:tblLayout w:type="fixed"/>
        <w:tblInd w:w="60" w:type="dxa"/>
        <w:tblCellMar>
          <w:top w:w="0" w:type="dxa"/>
          <w:left w:w="0" w:type="dxa"/>
          <w:bottom w:w="0" w:type="dxa"/>
          <w:right w:w="0" w:type="dxa"/>
        </w:tblCellMar>
      </w:tblPr>
      <w:tr>
        <w:trPr>
          <w:trHeight w:val="234"/>
        </w:trPr>
        <w:tc>
          <w:tcPr>
            <w:tcW w:w="29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6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3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28"/>
        </w:trPr>
        <w:tc>
          <w:tcPr>
            <w:tcW w:w="28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w:t>
            </w:r>
          </w:p>
        </w:tc>
        <w:tc>
          <w:tcPr>
            <w:tcW w:w="140" w:type="dxa"/>
            <w:vAlign w:val="bottom"/>
          </w:tcPr>
          <w:p>
            <w:pPr>
              <w:spacing w:after="0"/>
              <w:rPr>
                <w:sz w:val="19"/>
                <w:szCs w:val="19"/>
                <w:color w:val="auto"/>
              </w:rPr>
            </w:pPr>
          </w:p>
        </w:tc>
        <w:tc>
          <w:tcPr>
            <w:tcW w:w="2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CVGW</w:t>
            </w:r>
          </w:p>
        </w:tc>
        <w:tc>
          <w:tcPr>
            <w:tcW w:w="140" w:type="dxa"/>
            <w:vAlign w:val="bottom"/>
          </w:tcPr>
          <w:p>
            <w:pPr>
              <w:spacing w:after="0"/>
              <w:rPr>
                <w:sz w:val="19"/>
                <w:szCs w:val="19"/>
                <w:color w:val="auto"/>
              </w:rPr>
            </w:pPr>
          </w:p>
        </w:tc>
        <w:tc>
          <w:tcPr>
            <w:tcW w:w="3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Global Market</w:t>
            </w:r>
          </w:p>
        </w:tc>
      </w:tr>
    </w:tbl>
    <w:p>
      <w:pPr>
        <w:spacing w:after="0" w:line="179" w:lineRule="exact"/>
        <w:rPr>
          <w:sz w:val="24"/>
          <w:szCs w:val="24"/>
          <w:color w:val="auto"/>
        </w:rPr>
      </w:pPr>
    </w:p>
    <w:p>
      <w:pPr>
        <w:jc w:val="both"/>
        <w:ind w:left="60" w:right="99" w:firstLine="324"/>
        <w:spacing w:after="0" w:line="312" w:lineRule="auto"/>
        <w:rPr>
          <w:sz w:val="20"/>
          <w:szCs w:val="20"/>
          <w:color w:val="auto"/>
        </w:rPr>
      </w:pPr>
      <w:r>
        <w:rPr>
          <w:rFonts w:ascii="Times New Roman" w:cs="Times New Roman" w:eastAsia="Times New Roman" w:hAnsi="Times New Roman"/>
          <w:sz w:val="17"/>
          <w:szCs w:val="17"/>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71" w:lineRule="exact"/>
        <w:rPr>
          <w:sz w:val="24"/>
          <w:szCs w:val="24"/>
          <w:color w:val="auto"/>
        </w:rPr>
      </w:pPr>
    </w:p>
    <w:p>
      <w:pPr>
        <w:ind w:left="38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3" w:lineRule="exact"/>
        <w:rPr>
          <w:sz w:val="24"/>
          <w:szCs w:val="24"/>
          <w:color w:val="auto"/>
        </w:rPr>
      </w:pPr>
    </w:p>
    <w:p>
      <w:pPr>
        <w:ind w:left="60" w:right="159" w:firstLine="324"/>
        <w:spacing w:after="0" w:line="22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527685</wp:posOffset>
            </wp:positionV>
            <wp:extent cx="5657850" cy="254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57850" cy="2540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107950</wp:posOffset>
            </wp:positionV>
            <wp:extent cx="56578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88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150495</wp:posOffset>
            </wp:positionV>
            <wp:extent cx="565785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34290"/>
                    </a:xfrm>
                    <a:prstGeom prst="rect">
                      <a:avLst/>
                    </a:prstGeom>
                    <a:noFill/>
                  </pic:spPr>
                </pic:pic>
              </a:graphicData>
            </a:graphic>
          </wp:anchor>
        </w:drawing>
      </w:r>
    </w:p>
    <w:p>
      <w:pPr>
        <w:sectPr>
          <w:pgSz w:w="11900" w:h="16838" w:orient="portrait"/>
          <w:cols w:equalWidth="0" w:num="1">
            <w:col w:w="9019"/>
          </w:cols>
          <w:pgMar w:left="1440" w:top="972" w:right="1440" w:bottom="1440" w:gutter="0" w:footer="0" w:header="0"/>
        </w:sectPr>
      </w:pPr>
    </w:p>
    <w:bookmarkStart w:id="1" w:name="page2"/>
    <w:bookmarkEnd w:id="1"/>
    <w:p>
      <w:pPr>
        <w:ind w:left="60"/>
        <w:spacing w:after="0"/>
        <w:rPr>
          <w:sz w:val="20"/>
          <w:szCs w:val="20"/>
          <w:color w:val="auto"/>
        </w:rPr>
      </w:pPr>
      <w:r>
        <w:rPr>
          <w:rFonts w:ascii="Times New Roman" w:cs="Times New Roman" w:eastAsia="Times New Roman" w:hAnsi="Times New Roman"/>
          <w:sz w:val="20"/>
          <w:szCs w:val="20"/>
          <w:b w:val="1"/>
          <w:bCs w:val="1"/>
          <w:color w:val="auto"/>
        </w:rPr>
        <w:t>Item 2.02 Results of Operations and Financial Condition.</w:t>
      </w:r>
    </w:p>
    <w:p>
      <w:pPr>
        <w:spacing w:after="0" w:line="224" w:lineRule="exact"/>
        <w:rPr>
          <w:sz w:val="20"/>
          <w:szCs w:val="20"/>
          <w:color w:val="auto"/>
        </w:rPr>
      </w:pPr>
    </w:p>
    <w:p>
      <w:pPr>
        <w:ind w:left="60" w:right="319" w:firstLine="324"/>
        <w:spacing w:after="0" w:line="266" w:lineRule="auto"/>
        <w:rPr>
          <w:sz w:val="20"/>
          <w:szCs w:val="20"/>
          <w:color w:val="auto"/>
        </w:rPr>
      </w:pPr>
      <w:r>
        <w:rPr>
          <w:rFonts w:ascii="Times New Roman" w:cs="Times New Roman" w:eastAsia="Times New Roman" w:hAnsi="Times New Roman"/>
          <w:sz w:val="18"/>
          <w:szCs w:val="18"/>
          <w:color w:val="auto"/>
        </w:rPr>
        <w:t>On June 2, 2022, Calavo Growers, Inc. (Calavo) issued a press release containing our financial results for the three-and six-month periods ended April 30, 2022. A copy of our press release is attached hereto as Exhibit 99.1 and is incorporated by reference herein.</w:t>
      </w:r>
    </w:p>
    <w:p>
      <w:pPr>
        <w:spacing w:after="0" w:line="176" w:lineRule="exact"/>
        <w:rPr>
          <w:sz w:val="20"/>
          <w:szCs w:val="20"/>
          <w:color w:val="auto"/>
        </w:rPr>
      </w:pPr>
    </w:p>
    <w:p>
      <w:pPr>
        <w:ind w:left="60" w:right="79" w:firstLine="324"/>
        <w:spacing w:after="0" w:line="258" w:lineRule="auto"/>
        <w:rPr>
          <w:sz w:val="20"/>
          <w:szCs w:val="20"/>
          <w:color w:val="auto"/>
        </w:rPr>
      </w:pPr>
      <w:r>
        <w:rPr>
          <w:rFonts w:ascii="Times New Roman" w:cs="Times New Roman" w:eastAsia="Times New Roman" w:hAnsi="Times New Roman"/>
          <w:sz w:val="18"/>
          <w:szCs w:val="18"/>
          <w:color w:val="auto"/>
        </w:rPr>
        <w:t>In accordance with General Instruction B.2 of Form 8 K, the information contained in this Item 2.02, including Exhibit 99.1, shall not be deemed to be "filed" for purposes of Section 18 of the Securities Exchange Act of 1934, as amended (the "Exchange Act"), or otherwise subject to the liability of that section, and shall not be incorporated by reference into any registration statement or other document filed by Calavo under the Securities Act of 1933, as amended, or the Exchange Act, except as shall be expressly set forth by specific reference in such filing.</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16" w:lineRule="exact"/>
        <w:rPr>
          <w:sz w:val="20"/>
          <w:szCs w:val="20"/>
          <w:color w:val="auto"/>
        </w:rPr>
      </w:pPr>
    </w:p>
    <w:p>
      <w:pPr>
        <w:ind w:left="380" w:hanging="324"/>
        <w:spacing w:after="0"/>
        <w:tabs>
          <w:tab w:leader="none" w:pos="3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7" w:lineRule="exact"/>
        <w:rPr>
          <w:rFonts w:ascii="Times New Roman" w:cs="Times New Roman" w:eastAsia="Times New Roman" w:hAnsi="Times New Roman"/>
          <w:sz w:val="18"/>
          <w:szCs w:val="18"/>
          <w:color w:val="auto"/>
        </w:rPr>
      </w:pPr>
    </w:p>
    <w:p>
      <w:pPr>
        <w:ind w:left="3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99.1  Press release dated June 2, 2022 of the Registrant.</w:t>
      </w:r>
    </w:p>
    <w:p>
      <w:pPr>
        <w:spacing w:after="0" w:line="9" w:lineRule="exact"/>
        <w:rPr>
          <w:rFonts w:ascii="Times New Roman" w:cs="Times New Roman" w:eastAsia="Times New Roman" w:hAnsi="Times New Roman"/>
          <w:sz w:val="18"/>
          <w:szCs w:val="18"/>
          <w:color w:val="auto"/>
        </w:rPr>
      </w:pPr>
    </w:p>
    <w:p>
      <w:pPr>
        <w:ind w:left="3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104   Cover Page Interactive Data File (formatted as inline XBRL).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329" w:right="1440"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left="60" w:right="259"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75"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color w:val="auto"/>
        </w:rPr>
        <w:t>Calavo Growers, Inc.</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June 2, 2022</w:t>
      </w:r>
    </w:p>
    <w:p>
      <w:pPr>
        <w:spacing w:after="0" w:line="9"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color w:val="auto"/>
        </w:rPr>
        <w:t>By: /s/ Brian Kocher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3125470</wp:posOffset>
            </wp:positionH>
            <wp:positionV relativeFrom="paragraph">
              <wp:posOffset>5715</wp:posOffset>
            </wp:positionV>
            <wp:extent cx="25628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ind w:left="4600"/>
        <w:spacing w:after="0"/>
        <w:rPr>
          <w:sz w:val="20"/>
          <w:szCs w:val="20"/>
          <w:color w:val="auto"/>
        </w:rPr>
      </w:pPr>
      <w:r>
        <w:rPr>
          <w:rFonts w:ascii="Times New Roman" w:cs="Times New Roman" w:eastAsia="Times New Roman" w:hAnsi="Times New Roman"/>
          <w:sz w:val="18"/>
          <w:szCs w:val="18"/>
          <w:color w:val="auto"/>
        </w:rPr>
        <w:t>Brian Kocher</w:t>
      </w:r>
    </w:p>
    <w:p>
      <w:pPr>
        <w:spacing w:after="0" w:line="9"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color w:val="auto"/>
        </w:rPr>
        <w:t>President, Chief Executive Officer and Interim Chief</w:t>
      </w:r>
    </w:p>
    <w:p>
      <w:pPr>
        <w:spacing w:after="0" w:line="9"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color w:val="auto"/>
        </w:rPr>
        <w:t>Financial Officer</w:t>
      </w:r>
    </w:p>
    <w:p>
      <w:pPr>
        <w:spacing w:after="0" w:line="9"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color w:val="auto"/>
        </w:rPr>
        <w:t>(Principal Executive Officer and Principal Financial</w:t>
      </w:r>
    </w:p>
    <w:p>
      <w:pPr>
        <w:spacing w:after="0" w:line="9"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color w:val="auto"/>
        </w:rPr>
        <w:t>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3" w:name="page4"/>
    <w:bookmarkEnd w:id="3"/>
    <w:p>
      <w:pPr>
        <w:jc w:val="right"/>
        <w:ind w:right="219"/>
        <w:spacing w:after="0"/>
        <w:rPr>
          <w:sz w:val="20"/>
          <w:szCs w:val="20"/>
          <w:color w:val="auto"/>
        </w:rPr>
      </w:pPr>
      <w:r>
        <w:rPr>
          <w:rFonts w:ascii="Times New Roman" w:cs="Times New Roman" w:eastAsia="Times New Roman" w:hAnsi="Times New Roman"/>
          <w:sz w:val="20"/>
          <w:szCs w:val="20"/>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2191385</wp:posOffset>
            </wp:positionH>
            <wp:positionV relativeFrom="paragraph">
              <wp:posOffset>161925</wp:posOffset>
            </wp:positionV>
            <wp:extent cx="1337310" cy="13030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337310" cy="1303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Calavo Growers, Inc. Announces Second Quarter 2022 Financial Results</w:t>
      </w:r>
    </w:p>
    <w:p>
      <w:pPr>
        <w:spacing w:after="0" w:line="250" w:lineRule="exact"/>
        <w:rPr>
          <w:sz w:val="20"/>
          <w:szCs w:val="20"/>
          <w:color w:val="auto"/>
        </w:rPr>
      </w:pPr>
    </w:p>
    <w:p>
      <w:pPr>
        <w:ind w:left="200" w:right="259"/>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SANTA PAULA, Calif., June 2, 2022—Calavo Growers, Inc. (Nasdaq-GS: CVGW), </w:t>
      </w:r>
      <w:r>
        <w:rPr>
          <w:rFonts w:ascii="Times New Roman" w:cs="Times New Roman" w:eastAsia="Times New Roman" w:hAnsi="Times New Roman"/>
          <w:sz w:val="22"/>
          <w:szCs w:val="22"/>
          <w:color w:val="auto"/>
        </w:rPr>
        <w:t>a global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avocado-industry leader and provider of value-added fresh food, today reported its financial results for the fiscal second quarter ended April 30, 2022.</w:t>
      </w:r>
    </w:p>
    <w:p>
      <w:pPr>
        <w:spacing w:after="0" w:line="19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b w:val="1"/>
          <w:bCs w:val="1"/>
          <w:color w:val="auto"/>
        </w:rPr>
        <w:t>Second Quarter Financial Overview</w:t>
      </w:r>
    </w:p>
    <w:p>
      <w:pPr>
        <w:spacing w:after="0" w:line="21" w:lineRule="exact"/>
        <w:rPr>
          <w:sz w:val="20"/>
          <w:szCs w:val="20"/>
          <w:color w:val="auto"/>
        </w:rPr>
      </w:pPr>
    </w:p>
    <w:p>
      <w:pPr>
        <w:ind w:left="1180" w:right="1519" w:hanging="647"/>
        <w:spacing w:after="0" w:line="231" w:lineRule="auto"/>
        <w:tabs>
          <w:tab w:leader="none" w:pos="856"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Delivered sequential improvement from the first quarter to the second quarter 2022: </w:t>
      </w:r>
      <w:r>
        <w:rPr>
          <w:rFonts w:ascii="Courier New" w:cs="Courier New" w:eastAsia="Courier New" w:hAnsi="Courier New"/>
          <w:sz w:val="20"/>
          <w:szCs w:val="20"/>
          <w:color w:val="auto"/>
        </w:rPr>
        <w:t xml:space="preserve">o </w:t>
      </w:r>
      <w:r>
        <w:rPr>
          <w:rFonts w:ascii="Times New Roman" w:cs="Times New Roman" w:eastAsia="Times New Roman" w:hAnsi="Times New Roman"/>
          <w:sz w:val="20"/>
          <w:szCs w:val="20"/>
          <w:color w:val="auto"/>
        </w:rPr>
        <w:t>Gross profit improved by $8.5 million;</w:t>
      </w:r>
    </w:p>
    <w:p>
      <w:pPr>
        <w:ind w:left="1180" w:right="2619"/>
        <w:spacing w:after="0" w:line="223" w:lineRule="auto"/>
        <w:rPr>
          <w:rFonts w:ascii="Times New Roman" w:cs="Times New Roman" w:eastAsia="Times New Roman" w:hAnsi="Times New Roman"/>
          <w:sz w:val="20"/>
          <w:szCs w:val="20"/>
          <w:color w:val="auto"/>
        </w:rPr>
      </w:pPr>
      <w:r>
        <w:rPr>
          <w:rFonts w:ascii="Courier New" w:cs="Courier New" w:eastAsia="Courier New" w:hAnsi="Courier New"/>
          <w:sz w:val="20"/>
          <w:szCs w:val="20"/>
          <w:color w:val="auto"/>
        </w:rPr>
        <w:t xml:space="preserve">o </w:t>
      </w:r>
      <w:r>
        <w:rPr>
          <w:rFonts w:ascii="Times New Roman" w:cs="Times New Roman" w:eastAsia="Times New Roman" w:hAnsi="Times New Roman"/>
          <w:sz w:val="20"/>
          <w:szCs w:val="20"/>
          <w:color w:val="auto"/>
        </w:rPr>
        <w:t>Net loss improved by $3.9 million, or $0.22 per diluted share;</w:t>
      </w:r>
      <w:r>
        <w:rPr>
          <w:rFonts w:ascii="Courier New" w:cs="Courier New" w:eastAsia="Courier New" w:hAnsi="Courier New"/>
          <w:sz w:val="20"/>
          <w:szCs w:val="20"/>
          <w:color w:val="auto"/>
        </w:rPr>
        <w:t xml:space="preserve"> o </w:t>
      </w:r>
      <w:r>
        <w:rPr>
          <w:rFonts w:ascii="Times New Roman" w:cs="Times New Roman" w:eastAsia="Times New Roman" w:hAnsi="Times New Roman"/>
          <w:sz w:val="20"/>
          <w:szCs w:val="20"/>
          <w:color w:val="auto"/>
        </w:rPr>
        <w:t>Adjusted EBITDA improved by $7.9 million.</w:t>
      </w:r>
    </w:p>
    <w:p>
      <w:pPr>
        <w:ind w:left="860" w:hanging="327"/>
        <w:spacing w:after="0"/>
        <w:tabs>
          <w:tab w:leader="none" w:pos="86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Total revenue of $331.4 million, a 20% increase from the year-ago quarter.</w:t>
      </w:r>
    </w:p>
    <w:p>
      <w:pPr>
        <w:ind w:left="860" w:right="419" w:hanging="327"/>
        <w:spacing w:after="0" w:line="252" w:lineRule="auto"/>
        <w:tabs>
          <w:tab w:leader="none" w:pos="860" w:val="left"/>
        </w:tabs>
        <w:numPr>
          <w:ilvl w:val="0"/>
          <w:numId w:val="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Fresh segment revenue increased 30% year-over-year to $211.0 million, Renaissance Food Group (RFG) increased 6% year-over-year and Foods segment revenues decreased 4% year-over-year.</w:t>
      </w:r>
    </w:p>
    <w:p>
      <w:pPr>
        <w:ind w:left="860" w:right="399" w:hanging="327"/>
        <w:spacing w:after="0" w:line="239" w:lineRule="auto"/>
        <w:tabs>
          <w:tab w:leader="none" w:pos="86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Gross profit of $21.7 million, or 6.6% of revenue, compared to $22.6 million, or 8.2% of revenue, for the year-ago quarter.</w:t>
      </w:r>
    </w:p>
    <w:p>
      <w:pPr>
        <w:ind w:left="860" w:right="399" w:hanging="327"/>
        <w:spacing w:after="0" w:line="239" w:lineRule="auto"/>
        <w:tabs>
          <w:tab w:leader="none" w:pos="86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Net loss of $(0.2) million, or $(0.01) per diluted share, compared to net income of $8.8 million, or $0.50 per diluted share, for the same period last year.</w:t>
      </w:r>
    </w:p>
    <w:p>
      <w:pPr>
        <w:ind w:left="860" w:right="319" w:hanging="327"/>
        <w:spacing w:after="0" w:line="239" w:lineRule="auto"/>
        <w:tabs>
          <w:tab w:leader="none" w:pos="86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Adjusted net income of $5.8 million, or $0.33 per diluted share, compared to $7.7 million, or $0.43 per diluted share for the year-ago quarter.</w:t>
      </w:r>
    </w:p>
    <w:p>
      <w:pPr>
        <w:ind w:left="860" w:right="319" w:hanging="327"/>
        <w:spacing w:after="0" w:line="246" w:lineRule="auto"/>
        <w:tabs>
          <w:tab w:leader="none" w:pos="86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Adjusted EBITDA of $12.7 million, or $0.71 per diluted share compared to $15.0 million, or $0.85 per diluted share for the same period last year.</w:t>
      </w:r>
    </w:p>
    <w:p>
      <w:pPr>
        <w:spacing w:after="0" w:line="200" w:lineRule="exact"/>
        <w:rPr>
          <w:sz w:val="20"/>
          <w:szCs w:val="20"/>
          <w:color w:val="auto"/>
        </w:rPr>
      </w:pPr>
    </w:p>
    <w:p>
      <w:pPr>
        <w:ind w:left="200" w:right="559"/>
        <w:spacing w:after="0" w:line="271" w:lineRule="auto"/>
        <w:rPr>
          <w:sz w:val="20"/>
          <w:szCs w:val="20"/>
          <w:color w:val="auto"/>
        </w:rPr>
      </w:pPr>
      <w:r>
        <w:rPr>
          <w:rFonts w:ascii="Times New Roman" w:cs="Times New Roman" w:eastAsia="Times New Roman" w:hAnsi="Times New Roman"/>
          <w:sz w:val="22"/>
          <w:szCs w:val="22"/>
          <w:i w:val="1"/>
          <w:iCs w:val="1"/>
          <w:color w:val="auto"/>
        </w:rPr>
        <w:t xml:space="preserve">Adjusted net income (loss) and adjusted EBITDA are non-GAAP financial measures. See </w:t>
      </w:r>
      <w:r>
        <w:rPr>
          <w:rFonts w:ascii="Calibri" w:cs="Calibri" w:eastAsia="Calibri" w:hAnsi="Calibri"/>
          <w:sz w:val="22"/>
          <w:szCs w:val="22"/>
          <w:i w:val="1"/>
          <w:iCs w:val="1"/>
          <w:color w:val="auto"/>
        </w:rPr>
        <w:t>“</w:t>
      </w:r>
      <w:r>
        <w:rPr>
          <w:rFonts w:ascii="Times New Roman" w:cs="Times New Roman" w:eastAsia="Times New Roman" w:hAnsi="Times New Roman"/>
          <w:sz w:val="22"/>
          <w:szCs w:val="22"/>
          <w:i w:val="1"/>
          <w:iCs w:val="1"/>
          <w:color w:val="auto"/>
        </w:rPr>
        <w:t>Non-GAAP Financial Measures</w:t>
      </w:r>
      <w:r>
        <w:rPr>
          <w:rFonts w:ascii="Calibri" w:cs="Calibri" w:eastAsia="Calibri" w:hAnsi="Calibri"/>
          <w:sz w:val="22"/>
          <w:szCs w:val="22"/>
          <w:i w:val="1"/>
          <w:iCs w:val="1"/>
          <w:color w:val="auto"/>
        </w:rPr>
        <w:t>”</w:t>
      </w:r>
      <w:r>
        <w:rPr>
          <w:rFonts w:ascii="Times New Roman" w:cs="Times New Roman" w:eastAsia="Times New Roman" w:hAnsi="Times New Roman"/>
          <w:sz w:val="22"/>
          <w:szCs w:val="22"/>
          <w:i w:val="1"/>
          <w:iCs w:val="1"/>
          <w:color w:val="auto"/>
        </w:rPr>
        <w:t xml:space="preserve"> below.</w:t>
      </w:r>
    </w:p>
    <w:p>
      <w:pPr>
        <w:spacing w:after="0" w:line="18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b w:val="1"/>
          <w:bCs w:val="1"/>
          <w:color w:val="auto"/>
        </w:rPr>
        <w:t>Second Quarter Highlights</w:t>
      </w:r>
    </w:p>
    <w:p>
      <w:pPr>
        <w:spacing w:after="0" w:line="21" w:lineRule="exact"/>
        <w:rPr>
          <w:sz w:val="20"/>
          <w:szCs w:val="20"/>
          <w:color w:val="auto"/>
        </w:rPr>
      </w:pPr>
    </w:p>
    <w:p>
      <w:pPr>
        <w:ind w:left="860" w:right="419" w:hanging="327"/>
        <w:spacing w:after="0" w:line="252" w:lineRule="auto"/>
        <w:tabs>
          <w:tab w:leader="none" w:pos="860"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Progressed with pricing initiatives, SKU rationalization, unified procurement, labor efficiencies, freight consolidation and administrative synergies across all business units as part of Project Uno.</w:t>
      </w:r>
    </w:p>
    <w:p>
      <w:pPr>
        <w:ind w:left="860" w:right="399" w:hanging="327"/>
        <w:spacing w:after="0" w:line="242" w:lineRule="auto"/>
        <w:tabs>
          <w:tab w:leader="none" w:pos="86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Launched a brand refresh, updating the company</w:t>
      </w:r>
      <w:r>
        <w:rPr>
          <w:rFonts w:ascii="Calibri" w:cs="Calibri" w:eastAsia="Calibri" w:hAnsi="Calibri"/>
          <w:sz w:val="20"/>
          <w:szCs w:val="20"/>
          <w:color w:val="auto"/>
        </w:rPr>
        <w:t>’</w:t>
      </w:r>
      <w:r>
        <w:rPr>
          <w:rFonts w:ascii="Times New Roman" w:cs="Times New Roman" w:eastAsia="Times New Roman" w:hAnsi="Times New Roman"/>
          <w:sz w:val="20"/>
          <w:szCs w:val="20"/>
          <w:color w:val="auto"/>
        </w:rPr>
        <w:t>s logo, tagline, brand personality and website to support Calavo</w:t>
      </w:r>
      <w:r>
        <w:rPr>
          <w:rFonts w:ascii="Calibri" w:cs="Calibri" w:eastAsia="Calibri" w:hAnsi="Calibri"/>
          <w:sz w:val="20"/>
          <w:szCs w:val="20"/>
          <w:color w:val="auto"/>
        </w:rPr>
        <w:t>’</w:t>
      </w:r>
      <w:r>
        <w:rPr>
          <w:rFonts w:ascii="Times New Roman" w:cs="Times New Roman" w:eastAsia="Times New Roman" w:hAnsi="Times New Roman"/>
          <w:sz w:val="20"/>
          <w:szCs w:val="20"/>
          <w:color w:val="auto"/>
        </w:rPr>
        <w:t>s One Company vision.</w:t>
      </w:r>
    </w:p>
    <w:p>
      <w:pPr>
        <w:ind w:left="860" w:right="419" w:hanging="327"/>
        <w:spacing w:after="0" w:line="250" w:lineRule="auto"/>
        <w:tabs>
          <w:tab w:leader="none" w:pos="86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Announced plans to reorganize our business into two reporting segments, Grown and Prepared, to better serve customers, deliver cost savings and improve efficiencies.</w:t>
      </w:r>
    </w:p>
    <w:p>
      <w:pPr>
        <w:ind w:left="1180"/>
        <w:spacing w:after="0"/>
        <w:rPr>
          <w:rFonts w:ascii="Times New Roman" w:cs="Times New Roman" w:eastAsia="Times New Roman" w:hAnsi="Times New Roman"/>
          <w:sz w:val="20"/>
          <w:szCs w:val="20"/>
          <w:color w:val="auto"/>
        </w:rPr>
      </w:pPr>
      <w:r>
        <w:rPr>
          <w:rFonts w:ascii="Courier New" w:cs="Courier New" w:eastAsia="Courier New" w:hAnsi="Courier New"/>
          <w:sz w:val="20"/>
          <w:szCs w:val="20"/>
          <w:color w:val="auto"/>
        </w:rPr>
        <w:t xml:space="preserve">o  </w:t>
      </w:r>
      <w:r>
        <w:rPr>
          <w:rFonts w:ascii="Times New Roman" w:cs="Times New Roman" w:eastAsia="Times New Roman" w:hAnsi="Times New Roman"/>
          <w:sz w:val="20"/>
          <w:szCs w:val="20"/>
          <w:color w:val="auto"/>
        </w:rPr>
        <w:t>Grown segment will consist of fresh avocados, tomatoes and papayas.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332740</wp:posOffset>
            </wp:positionV>
            <wp:extent cx="5452110"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4" w:name="page5"/>
    <w:bookmarkEnd w:id="4"/>
    <w:p>
      <w:pPr>
        <w:ind w:left="200"/>
        <w:spacing w:after="0"/>
        <w:rPr>
          <w:sz w:val="20"/>
          <w:szCs w:val="20"/>
          <w:color w:val="auto"/>
        </w:rPr>
      </w:pPr>
      <w:r>
        <w:rPr>
          <w:rFonts w:ascii="Times New Roman" w:cs="Times New Roman" w:eastAsia="Times New Roman" w:hAnsi="Times New Roman"/>
          <w:sz w:val="18"/>
          <w:szCs w:val="18"/>
          <w:i w:val="1"/>
          <w:iCs w:val="1"/>
          <w:color w:val="auto"/>
        </w:rPr>
        <w:t>Calavo Growers, Inc.</w:t>
      </w:r>
    </w:p>
    <w:p>
      <w:pPr>
        <w:spacing w:after="0" w:line="2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 xml:space="preserve">Page </w:t>
      </w:r>
      <w:r>
        <w:rPr>
          <w:rFonts w:ascii="Times New Roman" w:cs="Times New Roman" w:eastAsia="Times New Roman" w:hAnsi="Times New Roman"/>
          <w:sz w:val="18"/>
          <w:szCs w:val="18"/>
          <w:b w:val="1"/>
          <w:bCs w:val="1"/>
          <w:i w:val="1"/>
          <w:iCs w:val="1"/>
          <w:color w:val="auto"/>
        </w:rPr>
        <w:t>2</w:t>
      </w:r>
      <w:r>
        <w:rPr>
          <w:rFonts w:ascii="Times New Roman" w:cs="Times New Roman" w:eastAsia="Times New Roman" w:hAnsi="Times New Roman"/>
          <w:sz w:val="18"/>
          <w:szCs w:val="18"/>
          <w:i w:val="1"/>
          <w:iCs w:val="1"/>
          <w:color w:val="auto"/>
        </w:rPr>
        <w:t xml:space="preserve"> of </w:t>
      </w:r>
      <w:r>
        <w:rPr>
          <w:rFonts w:ascii="Times New Roman" w:cs="Times New Roman" w:eastAsia="Times New Roman" w:hAnsi="Times New Roman"/>
          <w:sz w:val="18"/>
          <w:szCs w:val="18"/>
          <w:b w:val="1"/>
          <w:bCs w:val="1"/>
          <w:i w:val="1"/>
          <w:iCs w:val="1"/>
          <w:color w:val="auto"/>
        </w:rPr>
        <w:t>14</w:t>
      </w:r>
    </w:p>
    <w:p>
      <w:pPr>
        <w:spacing w:after="0" w:line="202" w:lineRule="exact"/>
        <w:rPr>
          <w:sz w:val="20"/>
          <w:szCs w:val="20"/>
          <w:color w:val="auto"/>
        </w:rPr>
      </w:pPr>
    </w:p>
    <w:p>
      <w:pPr>
        <w:ind w:left="1500" w:right="459" w:hanging="319"/>
        <w:spacing w:after="0" w:line="241" w:lineRule="auto"/>
        <w:tabs>
          <w:tab w:leader="none" w:pos="1500" w:val="left"/>
        </w:tabs>
        <w:numPr>
          <w:ilvl w:val="0"/>
          <w:numId w:val="5"/>
        </w:numPr>
        <w:rPr>
          <w:rFonts w:ascii="Courier New" w:cs="Courier New" w:eastAsia="Courier New" w:hAnsi="Courier New"/>
          <w:sz w:val="20"/>
          <w:szCs w:val="20"/>
          <w:color w:val="auto"/>
        </w:rPr>
      </w:pPr>
      <w:r>
        <w:rPr>
          <w:rFonts w:ascii="Times New Roman" w:cs="Times New Roman" w:eastAsia="Times New Roman" w:hAnsi="Times New Roman"/>
          <w:sz w:val="20"/>
          <w:szCs w:val="20"/>
          <w:color w:val="auto"/>
        </w:rPr>
        <w:t>Prepared segment will include all other products: fresh cut fruit and vegetables, ready-to-eat sandwiches, wraps, salads and snacks, guacamole, and salsa sold at retail and foodservice as well as avocado pulp sold to foodservice.</w:t>
      </w:r>
    </w:p>
    <w:p>
      <w:pPr>
        <w:ind w:left="1500" w:hanging="319"/>
        <w:spacing w:after="0" w:line="226" w:lineRule="auto"/>
        <w:tabs>
          <w:tab w:leader="none" w:pos="1500" w:val="left"/>
        </w:tabs>
        <w:numPr>
          <w:ilvl w:val="0"/>
          <w:numId w:val="5"/>
        </w:numPr>
        <w:rPr>
          <w:rFonts w:ascii="Courier New" w:cs="Courier New" w:eastAsia="Courier New" w:hAnsi="Courier New"/>
          <w:sz w:val="20"/>
          <w:szCs w:val="20"/>
          <w:color w:val="auto"/>
        </w:rPr>
      </w:pPr>
      <w:r>
        <w:rPr>
          <w:rFonts w:ascii="Times New Roman" w:cs="Times New Roman" w:eastAsia="Times New Roman" w:hAnsi="Times New Roman"/>
          <w:sz w:val="20"/>
          <w:szCs w:val="20"/>
          <w:color w:val="auto"/>
        </w:rPr>
        <w:t>New segment reporting is expected to occur in the third quarter</w:t>
      </w:r>
      <w:r>
        <w:rPr>
          <w:rFonts w:ascii="Calibri" w:cs="Calibri" w:eastAsia="Calibri" w:hAnsi="Calibri"/>
          <w:sz w:val="20"/>
          <w:szCs w:val="20"/>
          <w:color w:val="auto"/>
        </w:rPr>
        <w:t>’</w:t>
      </w:r>
      <w:r>
        <w:rPr>
          <w:rFonts w:ascii="Times New Roman" w:cs="Times New Roman" w:eastAsia="Times New Roman" w:hAnsi="Times New Roman"/>
          <w:sz w:val="20"/>
          <w:szCs w:val="20"/>
          <w:color w:val="auto"/>
        </w:rPr>
        <w:t>s earnings report.</w:t>
      </w:r>
    </w:p>
    <w:p>
      <w:pPr>
        <w:spacing w:after="0" w:line="24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b w:val="1"/>
          <w:bCs w:val="1"/>
          <w:color w:val="auto"/>
        </w:rPr>
        <w:t>Management Commentary</w:t>
      </w:r>
    </w:p>
    <w:p>
      <w:pPr>
        <w:spacing w:after="0" w:line="18" w:lineRule="exact"/>
        <w:rPr>
          <w:sz w:val="20"/>
          <w:szCs w:val="20"/>
          <w:color w:val="auto"/>
        </w:rPr>
      </w:pPr>
    </w:p>
    <w:p>
      <w:pPr>
        <w:ind w:left="200" w:right="219"/>
        <w:spacing w:after="0" w:line="233" w:lineRule="auto"/>
        <w:rPr>
          <w:sz w:val="20"/>
          <w:szCs w:val="20"/>
          <w:color w:val="auto"/>
        </w:rPr>
      </w:pPr>
      <w:r>
        <w:rPr>
          <w:rFonts w:ascii="Times New Roman" w:cs="Times New Roman" w:eastAsia="Times New Roman" w:hAnsi="Times New Roman"/>
          <w:sz w:val="22"/>
          <w:szCs w:val="22"/>
          <w:color w:val="auto"/>
        </w:rPr>
        <w:t>“We are pleased with the progress we’ve made, as we showed sequential improvement in gross profit, EPS, and adjusted EBITDA during the second quarter,” said Brian W. Kocher, President and Chief Executive Officer of Calavo Growers, Inc. “I’m especially pleased with the improvements made in our RFG segment where Project Uno initiatives have delivered positive impacts in our pricing, raw materials management, labor efficiency and transportation costs.</w:t>
      </w:r>
    </w:p>
    <w:p>
      <w:pPr>
        <w:spacing w:after="0" w:line="206" w:lineRule="exact"/>
        <w:rPr>
          <w:sz w:val="20"/>
          <w:szCs w:val="20"/>
          <w:color w:val="auto"/>
        </w:rPr>
      </w:pPr>
    </w:p>
    <w:p>
      <w:pPr>
        <w:jc w:val="both"/>
        <w:ind w:left="200" w:right="759"/>
        <w:spacing w:after="0" w:line="244" w:lineRule="auto"/>
        <w:rPr>
          <w:sz w:val="20"/>
          <w:szCs w:val="20"/>
          <w:color w:val="auto"/>
        </w:rPr>
      </w:pPr>
      <w:r>
        <w:rPr>
          <w:rFonts w:ascii="Times New Roman" w:cs="Times New Roman" w:eastAsia="Times New Roman" w:hAnsi="Times New Roman"/>
          <w:sz w:val="22"/>
          <w:szCs w:val="22"/>
          <w:color w:val="auto"/>
        </w:rPr>
        <w:t>“Our mantra is ‘Be better today than yesterday; be better tomorrow than today.’ We therefore intend to continue delivering incremental progress. The Calavo team has fully embraced this mindset, and the efforts are demonstrating results.</w:t>
      </w:r>
    </w:p>
    <w:p>
      <w:pPr>
        <w:spacing w:after="0" w:line="200" w:lineRule="exact"/>
        <w:rPr>
          <w:sz w:val="20"/>
          <w:szCs w:val="20"/>
          <w:color w:val="auto"/>
        </w:rPr>
      </w:pPr>
    </w:p>
    <w:p>
      <w:pPr>
        <w:ind w:left="200" w:right="539"/>
        <w:spacing w:after="0" w:line="251" w:lineRule="auto"/>
        <w:rPr>
          <w:sz w:val="20"/>
          <w:szCs w:val="20"/>
          <w:color w:val="auto"/>
        </w:rPr>
      </w:pPr>
      <w:r>
        <w:rPr>
          <w:rFonts w:ascii="Times New Roman" w:cs="Times New Roman" w:eastAsia="Times New Roman" w:hAnsi="Times New Roman"/>
          <w:sz w:val="21"/>
          <w:szCs w:val="21"/>
          <w:color w:val="auto"/>
        </w:rPr>
        <w:t>“We streamlined our organizational structure to bring clarity to decision-making authorities and become even more efficient initiating continuous improvement. We enhanced processes and structure, and we are acquiring the talent to serve our customers and ensure that Project Uno efforts are sustainable. I remain confident in our ability to bring Calavo back to a position of generating improved, sustainable financial results and long-term shareholder value.”</w:t>
      </w:r>
    </w:p>
    <w:p>
      <w:pPr>
        <w:spacing w:after="0" w:line="19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b w:val="1"/>
          <w:bCs w:val="1"/>
          <w:color w:val="auto"/>
        </w:rPr>
        <w:t>Second Quarter 2022 Consolidated Financial Review</w:t>
      </w:r>
    </w:p>
    <w:p>
      <w:pPr>
        <w:spacing w:after="0" w:line="18" w:lineRule="exact"/>
        <w:rPr>
          <w:sz w:val="20"/>
          <w:szCs w:val="20"/>
          <w:color w:val="auto"/>
        </w:rPr>
      </w:pPr>
    </w:p>
    <w:p>
      <w:pPr>
        <w:ind w:left="200" w:right="259"/>
        <w:spacing w:after="0" w:line="233" w:lineRule="auto"/>
        <w:rPr>
          <w:sz w:val="20"/>
          <w:szCs w:val="20"/>
          <w:color w:val="auto"/>
        </w:rPr>
      </w:pPr>
      <w:r>
        <w:rPr>
          <w:rFonts w:ascii="Times New Roman" w:cs="Times New Roman" w:eastAsia="Times New Roman" w:hAnsi="Times New Roman"/>
          <w:sz w:val="22"/>
          <w:szCs w:val="22"/>
          <w:color w:val="auto"/>
        </w:rPr>
        <w:t>Total revenue for the second quarter 2022 was $331.4 million, compared to $276.8 million for the second quarter 2021, an increase of 20%. Fresh segment sales increased 30%, RFG sales grew 6%, and Foods sales decreased 4%. The average selling price of avocados in the Company’s Fresh segment increased by 70% while volumes were 13% lower than the prior-year period due to lower available supplies.</w:t>
      </w:r>
    </w:p>
    <w:p>
      <w:pPr>
        <w:spacing w:after="0" w:line="206" w:lineRule="exact"/>
        <w:rPr>
          <w:sz w:val="20"/>
          <w:szCs w:val="20"/>
          <w:color w:val="auto"/>
        </w:rPr>
      </w:pPr>
    </w:p>
    <w:p>
      <w:pPr>
        <w:ind w:left="200" w:right="319"/>
        <w:spacing w:after="0" w:line="244" w:lineRule="auto"/>
        <w:rPr>
          <w:sz w:val="20"/>
          <w:szCs w:val="20"/>
          <w:color w:val="auto"/>
        </w:rPr>
      </w:pPr>
      <w:r>
        <w:rPr>
          <w:rFonts w:ascii="Times New Roman" w:cs="Times New Roman" w:eastAsia="Times New Roman" w:hAnsi="Times New Roman"/>
          <w:sz w:val="22"/>
          <w:szCs w:val="22"/>
          <w:color w:val="auto"/>
        </w:rPr>
        <w:t>Gross profit for the second quarter was $21.7 million, or 6.6% of revenue, compared to $22.6 million, or 8.2% of revenue, for the same period last year. Improvements in avocado margin in the quarter were offset by higher fruit costs in our Foods business.</w:t>
      </w:r>
    </w:p>
    <w:p>
      <w:pPr>
        <w:spacing w:after="0" w:line="200" w:lineRule="exact"/>
        <w:rPr>
          <w:sz w:val="20"/>
          <w:szCs w:val="20"/>
          <w:color w:val="auto"/>
        </w:rPr>
      </w:pPr>
    </w:p>
    <w:p>
      <w:pPr>
        <w:jc w:val="both"/>
        <w:ind w:left="200" w:right="319"/>
        <w:spacing w:after="0" w:line="244" w:lineRule="auto"/>
        <w:rPr>
          <w:sz w:val="20"/>
          <w:szCs w:val="20"/>
          <w:color w:val="auto"/>
        </w:rPr>
      </w:pPr>
      <w:r>
        <w:rPr>
          <w:rFonts w:ascii="Times New Roman" w:cs="Times New Roman" w:eastAsia="Times New Roman" w:hAnsi="Times New Roman"/>
          <w:sz w:val="22"/>
          <w:szCs w:val="22"/>
          <w:color w:val="auto"/>
        </w:rPr>
        <w:t>Selling, general and administrative (SG&amp;A) expenses for the second quarter totaled $16.6 million, or 5.0% of revenue, compared to $13.7 million, or 4.9% of revenue, for the same period last year. SG&amp;A expenses were largely in line with expectations, with the year-over-year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478790</wp:posOffset>
            </wp:positionV>
            <wp:extent cx="545211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659" w:right="1440" w:bottom="1440" w:gutter="0" w:footer="0" w:header="0"/>
        </w:sectPr>
      </w:pPr>
    </w:p>
    <w:bookmarkStart w:id="5" w:name="page6"/>
    <w:bookmarkEnd w:id="5"/>
    <w:p>
      <w:pPr>
        <w:ind w:left="200"/>
        <w:spacing w:after="0"/>
        <w:rPr>
          <w:sz w:val="20"/>
          <w:szCs w:val="20"/>
          <w:color w:val="auto"/>
        </w:rPr>
      </w:pPr>
      <w:r>
        <w:rPr>
          <w:rFonts w:ascii="Times New Roman" w:cs="Times New Roman" w:eastAsia="Times New Roman" w:hAnsi="Times New Roman"/>
          <w:sz w:val="18"/>
          <w:szCs w:val="18"/>
          <w:i w:val="1"/>
          <w:iCs w:val="1"/>
          <w:color w:val="auto"/>
        </w:rPr>
        <w:t>Calavo Growers, Inc.</w:t>
      </w:r>
    </w:p>
    <w:p>
      <w:pPr>
        <w:spacing w:after="0" w:line="2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 xml:space="preserve">Page </w:t>
      </w:r>
      <w:r>
        <w:rPr>
          <w:rFonts w:ascii="Times New Roman" w:cs="Times New Roman" w:eastAsia="Times New Roman" w:hAnsi="Times New Roman"/>
          <w:sz w:val="18"/>
          <w:szCs w:val="18"/>
          <w:b w:val="1"/>
          <w:bCs w:val="1"/>
          <w:i w:val="1"/>
          <w:iCs w:val="1"/>
          <w:color w:val="auto"/>
        </w:rPr>
        <w:t>3</w:t>
      </w:r>
      <w:r>
        <w:rPr>
          <w:rFonts w:ascii="Times New Roman" w:cs="Times New Roman" w:eastAsia="Times New Roman" w:hAnsi="Times New Roman"/>
          <w:sz w:val="18"/>
          <w:szCs w:val="18"/>
          <w:i w:val="1"/>
          <w:iCs w:val="1"/>
          <w:color w:val="auto"/>
        </w:rPr>
        <w:t xml:space="preserve"> of </w:t>
      </w:r>
      <w:r>
        <w:rPr>
          <w:rFonts w:ascii="Times New Roman" w:cs="Times New Roman" w:eastAsia="Times New Roman" w:hAnsi="Times New Roman"/>
          <w:sz w:val="18"/>
          <w:szCs w:val="18"/>
          <w:b w:val="1"/>
          <w:bCs w:val="1"/>
          <w:i w:val="1"/>
          <w:iCs w:val="1"/>
          <w:color w:val="auto"/>
        </w:rPr>
        <w:t>14</w:t>
      </w:r>
    </w:p>
    <w:p>
      <w:pPr>
        <w:spacing w:after="0" w:line="200" w:lineRule="exact"/>
        <w:rPr>
          <w:sz w:val="20"/>
          <w:szCs w:val="20"/>
          <w:color w:val="auto"/>
        </w:rPr>
      </w:pPr>
    </w:p>
    <w:p>
      <w:pPr>
        <w:spacing w:after="0" w:line="376" w:lineRule="exact"/>
        <w:rPr>
          <w:sz w:val="20"/>
          <w:szCs w:val="20"/>
          <w:color w:val="auto"/>
        </w:rPr>
      </w:pPr>
    </w:p>
    <w:p>
      <w:pPr>
        <w:ind w:left="200" w:right="1099"/>
        <w:spacing w:after="0" w:line="258" w:lineRule="auto"/>
        <w:rPr>
          <w:sz w:val="20"/>
          <w:szCs w:val="20"/>
          <w:color w:val="auto"/>
        </w:rPr>
      </w:pPr>
      <w:r>
        <w:rPr>
          <w:rFonts w:ascii="Times New Roman" w:cs="Times New Roman" w:eastAsia="Times New Roman" w:hAnsi="Times New Roman"/>
          <w:sz w:val="22"/>
          <w:szCs w:val="22"/>
          <w:color w:val="auto"/>
        </w:rPr>
        <w:t>increase primarily driven by approximately $2 million in expenses related to the business reorganization.</w:t>
      </w:r>
    </w:p>
    <w:p>
      <w:pPr>
        <w:spacing w:after="0" w:line="185" w:lineRule="exact"/>
        <w:rPr>
          <w:sz w:val="20"/>
          <w:szCs w:val="20"/>
          <w:color w:val="auto"/>
        </w:rPr>
      </w:pPr>
    </w:p>
    <w:p>
      <w:pPr>
        <w:ind w:left="200" w:right="579"/>
        <w:spacing w:after="0" w:line="258" w:lineRule="auto"/>
        <w:rPr>
          <w:sz w:val="20"/>
          <w:szCs w:val="20"/>
          <w:color w:val="auto"/>
        </w:rPr>
      </w:pPr>
      <w:r>
        <w:rPr>
          <w:rFonts w:ascii="Times New Roman" w:cs="Times New Roman" w:eastAsia="Times New Roman" w:hAnsi="Times New Roman"/>
          <w:sz w:val="22"/>
          <w:szCs w:val="22"/>
          <w:color w:val="auto"/>
        </w:rPr>
        <w:t>Net loss for the second quarter was $(0.2) million, or $(0.01) per share. This compares with net income of $8.8 million, or $0.50 per diluted share, for the same period last year.</w:t>
      </w:r>
    </w:p>
    <w:p>
      <w:pPr>
        <w:spacing w:after="0" w:line="185" w:lineRule="exact"/>
        <w:rPr>
          <w:sz w:val="20"/>
          <w:szCs w:val="20"/>
          <w:color w:val="auto"/>
        </w:rPr>
      </w:pPr>
    </w:p>
    <w:p>
      <w:pPr>
        <w:ind w:left="200" w:right="239"/>
        <w:spacing w:after="0" w:line="258" w:lineRule="auto"/>
        <w:rPr>
          <w:sz w:val="20"/>
          <w:szCs w:val="20"/>
          <w:color w:val="auto"/>
        </w:rPr>
      </w:pPr>
      <w:r>
        <w:rPr>
          <w:rFonts w:ascii="Times New Roman" w:cs="Times New Roman" w:eastAsia="Times New Roman" w:hAnsi="Times New Roman"/>
          <w:sz w:val="22"/>
          <w:szCs w:val="22"/>
          <w:color w:val="auto"/>
        </w:rPr>
        <w:t>Adjusted net income was $5.8 million, or $0.33 per diluted share, compared to adjusted net income of $7.7 million, or $0.43 per diluted share last year.</w:t>
      </w:r>
    </w:p>
    <w:p>
      <w:pPr>
        <w:spacing w:after="0" w:line="185" w:lineRule="exact"/>
        <w:rPr>
          <w:sz w:val="20"/>
          <w:szCs w:val="20"/>
          <w:color w:val="auto"/>
        </w:rPr>
      </w:pPr>
    </w:p>
    <w:p>
      <w:pPr>
        <w:ind w:left="200" w:right="559"/>
        <w:spacing w:after="0" w:line="258" w:lineRule="auto"/>
        <w:rPr>
          <w:sz w:val="20"/>
          <w:szCs w:val="20"/>
          <w:color w:val="auto"/>
        </w:rPr>
      </w:pPr>
      <w:r>
        <w:rPr>
          <w:rFonts w:ascii="Times New Roman" w:cs="Times New Roman" w:eastAsia="Times New Roman" w:hAnsi="Times New Roman"/>
          <w:sz w:val="22"/>
          <w:szCs w:val="22"/>
          <w:color w:val="auto"/>
        </w:rPr>
        <w:t>Adjusted EBITDA was $12.7 million, or $0.71 per diluted share, compared to $15.0 million, or $0.85 per diluted share for the same period last year.</w:t>
      </w:r>
    </w:p>
    <w:p>
      <w:pPr>
        <w:spacing w:after="0" w:line="18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b w:val="1"/>
          <w:bCs w:val="1"/>
          <w:color w:val="auto"/>
        </w:rPr>
        <w:t>Balance Sheet and Liquidity</w:t>
      </w:r>
    </w:p>
    <w:p>
      <w:pPr>
        <w:spacing w:after="0" w:line="18" w:lineRule="exact"/>
        <w:rPr>
          <w:sz w:val="20"/>
          <w:szCs w:val="20"/>
          <w:color w:val="auto"/>
        </w:rPr>
      </w:pPr>
    </w:p>
    <w:p>
      <w:pPr>
        <w:ind w:left="200" w:right="379"/>
        <w:spacing w:after="0" w:line="235" w:lineRule="auto"/>
        <w:rPr>
          <w:sz w:val="20"/>
          <w:szCs w:val="20"/>
          <w:color w:val="auto"/>
        </w:rPr>
      </w:pPr>
      <w:r>
        <w:rPr>
          <w:rFonts w:ascii="Times New Roman" w:cs="Times New Roman" w:eastAsia="Times New Roman" w:hAnsi="Times New Roman"/>
          <w:sz w:val="22"/>
          <w:szCs w:val="22"/>
          <w:color w:val="auto"/>
        </w:rPr>
        <w:t>The Company ended the quarter with $48.1 million of total debt, which included $41.9 million of borrowings under its line of credit and $6.2 million of long-term obligations and finance leases. Cash and cash equivalents (unrestricted) totaled $2.3 million as of April 30, 2022.</w:t>
      </w:r>
    </w:p>
    <w:p>
      <w:pPr>
        <w:spacing w:after="0" w:line="20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In the second quarter, the Company reached an agreement with its lenders to amend the existing</w:t>
      </w:r>
    </w:p>
    <w:p>
      <w:pPr>
        <w:spacing w:after="0" w:line="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revolving credit facility, which among other things reduces the total capacity of the facility to</w:t>
      </w:r>
    </w:p>
    <w:p>
      <w:pPr>
        <w:ind w:left="200"/>
        <w:spacing w:after="0"/>
        <w:rPr>
          <w:sz w:val="20"/>
          <w:szCs w:val="20"/>
          <w:color w:val="auto"/>
        </w:rPr>
      </w:pPr>
      <w:r>
        <w:rPr>
          <w:rFonts w:ascii="Times New Roman" w:cs="Times New Roman" w:eastAsia="Times New Roman" w:hAnsi="Times New Roman"/>
          <w:sz w:val="21"/>
          <w:szCs w:val="21"/>
          <w:color w:val="auto"/>
        </w:rPr>
        <w:t>$80.0 million and incorporates a borrowing base. Under the new terms of the facility, total liquidity</w:t>
      </w:r>
    </w:p>
    <w:p>
      <w:pPr>
        <w:ind w:left="200"/>
        <w:spacing w:after="0" w:line="231" w:lineRule="auto"/>
        <w:rPr>
          <w:sz w:val="20"/>
          <w:szCs w:val="20"/>
          <w:color w:val="auto"/>
        </w:rPr>
      </w:pPr>
      <w:r>
        <w:rPr>
          <w:rFonts w:ascii="Times New Roman" w:cs="Times New Roman" w:eastAsia="Times New Roman" w:hAnsi="Times New Roman"/>
          <w:sz w:val="22"/>
          <w:szCs w:val="22"/>
          <w:color w:val="auto"/>
        </w:rPr>
        <w:t>as of April 30, 2022 was $15.9 million, including unrestricted cash, investments, and availability</w:t>
      </w:r>
    </w:p>
    <w:p>
      <w:pPr>
        <w:ind w:left="200"/>
        <w:spacing w:after="0" w:line="231" w:lineRule="auto"/>
        <w:rPr>
          <w:sz w:val="20"/>
          <w:szCs w:val="20"/>
          <w:color w:val="auto"/>
        </w:rPr>
      </w:pPr>
      <w:r>
        <w:rPr>
          <w:rFonts w:ascii="Times New Roman" w:cs="Times New Roman" w:eastAsia="Times New Roman" w:hAnsi="Times New Roman"/>
          <w:sz w:val="22"/>
          <w:szCs w:val="22"/>
          <w:color w:val="auto"/>
        </w:rPr>
        <w:t>under the facility, which we believe is sufficient for our working capital needs and investment</w:t>
      </w:r>
    </w:p>
    <w:p>
      <w:pPr>
        <w:ind w:left="200"/>
        <w:spacing w:after="0" w:line="231" w:lineRule="auto"/>
        <w:rPr>
          <w:sz w:val="20"/>
          <w:szCs w:val="20"/>
          <w:color w:val="auto"/>
        </w:rPr>
      </w:pPr>
      <w:r>
        <w:rPr>
          <w:rFonts w:ascii="Times New Roman" w:cs="Times New Roman" w:eastAsia="Times New Roman" w:hAnsi="Times New Roman"/>
          <w:sz w:val="22"/>
          <w:szCs w:val="22"/>
          <w:color w:val="auto"/>
        </w:rPr>
        <w:t>plans as we continue the implementation of Project Uno and drive performance improvements</w:t>
      </w:r>
    </w:p>
    <w:p>
      <w:pPr>
        <w:ind w:left="200"/>
        <w:spacing w:after="0"/>
        <w:rPr>
          <w:sz w:val="20"/>
          <w:szCs w:val="20"/>
          <w:color w:val="auto"/>
        </w:rPr>
      </w:pPr>
      <w:r>
        <w:rPr>
          <w:rFonts w:ascii="Times New Roman" w:cs="Times New Roman" w:eastAsia="Times New Roman" w:hAnsi="Times New Roman"/>
          <w:sz w:val="22"/>
          <w:szCs w:val="22"/>
          <w:color w:val="auto"/>
        </w:rPr>
        <w:t>across the business.</w:t>
      </w:r>
    </w:p>
    <w:p>
      <w:pPr>
        <w:spacing w:after="0" w:line="20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b w:val="1"/>
          <w:bCs w:val="1"/>
          <w:color w:val="auto"/>
        </w:rPr>
        <w:t>Second Quarter Business Segment Performance</w:t>
      </w:r>
    </w:p>
    <w:p>
      <w:pPr>
        <w:spacing w:after="0" w:line="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i w:val="1"/>
          <w:iCs w:val="1"/>
          <w:color w:val="auto"/>
        </w:rPr>
        <w:t>Fresh</w:t>
      </w:r>
    </w:p>
    <w:p>
      <w:pPr>
        <w:ind w:left="200"/>
        <w:spacing w:after="0" w:line="230" w:lineRule="auto"/>
        <w:rPr>
          <w:sz w:val="20"/>
          <w:szCs w:val="20"/>
          <w:color w:val="auto"/>
        </w:rPr>
      </w:pPr>
      <w:r>
        <w:rPr>
          <w:rFonts w:ascii="Times New Roman" w:cs="Times New Roman" w:eastAsia="Times New Roman" w:hAnsi="Times New Roman"/>
          <w:sz w:val="22"/>
          <w:szCs w:val="22"/>
          <w:color w:val="auto"/>
        </w:rPr>
        <w:t>Second quarter 2022 sales in Calavo’s Fresh business segment were $211.0 million, up from</w:t>
      </w:r>
    </w:p>
    <w:p>
      <w:pPr>
        <w:spacing w:after="0" w:line="1" w:lineRule="exact"/>
        <w:rPr>
          <w:sz w:val="20"/>
          <w:szCs w:val="20"/>
          <w:color w:val="auto"/>
        </w:rPr>
      </w:pPr>
    </w:p>
    <w:p>
      <w:pPr>
        <w:ind w:left="200" w:right="399"/>
        <w:spacing w:after="0" w:line="232" w:lineRule="auto"/>
        <w:rPr>
          <w:sz w:val="20"/>
          <w:szCs w:val="20"/>
          <w:color w:val="auto"/>
        </w:rPr>
      </w:pPr>
      <w:r>
        <w:rPr>
          <w:rFonts w:ascii="Times New Roman" w:cs="Times New Roman" w:eastAsia="Times New Roman" w:hAnsi="Times New Roman"/>
          <w:sz w:val="22"/>
          <w:szCs w:val="22"/>
          <w:color w:val="auto"/>
        </w:rPr>
        <w:t>$161.7 million for the same period last year. Avocado prices were 70% higher year-over-year and volume 13% lower, which is consistent with the reduction in imports from Mexico for the entire US market. Fresh segment gross profit for the second quarter of 2022 was $18.2 million, or 8.6% of segment sales, compared to $15.0 million, or 9.3% of segment sales, for the same period last year. The increase in gross profit primarily was driven by the higher avocado pricing, partially offset by the lower volume.</w:t>
      </w:r>
    </w:p>
    <w:p>
      <w:pPr>
        <w:spacing w:after="0" w:line="20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i w:val="1"/>
          <w:iCs w:val="1"/>
          <w:color w:val="auto"/>
        </w:rPr>
        <w:t>Renaissance Food Group (RFG)</w:t>
      </w:r>
    </w:p>
    <w:p>
      <w:pPr>
        <w:spacing w:after="0" w:line="18" w:lineRule="exact"/>
        <w:rPr>
          <w:sz w:val="20"/>
          <w:szCs w:val="20"/>
          <w:color w:val="auto"/>
        </w:rPr>
      </w:pPr>
    </w:p>
    <w:p>
      <w:pPr>
        <w:ind w:left="200" w:right="299"/>
        <w:spacing w:after="0" w:line="245" w:lineRule="auto"/>
        <w:rPr>
          <w:sz w:val="20"/>
          <w:szCs w:val="20"/>
          <w:color w:val="auto"/>
        </w:rPr>
      </w:pPr>
      <w:r>
        <w:rPr>
          <w:rFonts w:ascii="Times New Roman" w:cs="Times New Roman" w:eastAsia="Times New Roman" w:hAnsi="Times New Roman"/>
          <w:sz w:val="21"/>
          <w:szCs w:val="21"/>
          <w:color w:val="auto"/>
        </w:rPr>
        <w:t>RFG business segment sales in the second quarter of 2022 were $102.2 million, up 6% from $96.3 million in the same period last year reflecting price increases and favorable product mix, partially offset by a slight volume decrease year-over-year. Segment gross profit was $2.2 million, down slightly from $2.3 million the same period last year. RFG has benefited from increased pricing, improved transportation costs, enhanced materials yield and labor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488315</wp:posOffset>
            </wp:positionV>
            <wp:extent cx="545211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659" w:right="1440" w:bottom="1440" w:gutter="0" w:footer="0" w:header="0"/>
        </w:sectPr>
      </w:pPr>
    </w:p>
    <w:bookmarkStart w:id="6" w:name="page7"/>
    <w:bookmarkEnd w:id="6"/>
    <w:p>
      <w:pPr>
        <w:ind w:left="200"/>
        <w:spacing w:after="0"/>
        <w:rPr>
          <w:sz w:val="20"/>
          <w:szCs w:val="20"/>
          <w:color w:val="auto"/>
        </w:rPr>
      </w:pPr>
      <w:r>
        <w:rPr>
          <w:rFonts w:ascii="Times New Roman" w:cs="Times New Roman" w:eastAsia="Times New Roman" w:hAnsi="Times New Roman"/>
          <w:sz w:val="18"/>
          <w:szCs w:val="18"/>
          <w:i w:val="1"/>
          <w:iCs w:val="1"/>
          <w:color w:val="auto"/>
        </w:rPr>
        <w:t>Calavo Growers, Inc.</w:t>
      </w:r>
    </w:p>
    <w:p>
      <w:pPr>
        <w:spacing w:after="0" w:line="2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 xml:space="preserve">Page </w:t>
      </w:r>
      <w:r>
        <w:rPr>
          <w:rFonts w:ascii="Times New Roman" w:cs="Times New Roman" w:eastAsia="Times New Roman" w:hAnsi="Times New Roman"/>
          <w:sz w:val="18"/>
          <w:szCs w:val="18"/>
          <w:b w:val="1"/>
          <w:bCs w:val="1"/>
          <w:i w:val="1"/>
          <w:iCs w:val="1"/>
          <w:color w:val="auto"/>
        </w:rPr>
        <w:t>4</w:t>
      </w:r>
      <w:r>
        <w:rPr>
          <w:rFonts w:ascii="Times New Roman" w:cs="Times New Roman" w:eastAsia="Times New Roman" w:hAnsi="Times New Roman"/>
          <w:sz w:val="18"/>
          <w:szCs w:val="18"/>
          <w:i w:val="1"/>
          <w:iCs w:val="1"/>
          <w:color w:val="auto"/>
        </w:rPr>
        <w:t xml:space="preserve"> of </w:t>
      </w:r>
      <w:r>
        <w:rPr>
          <w:rFonts w:ascii="Times New Roman" w:cs="Times New Roman" w:eastAsia="Times New Roman" w:hAnsi="Times New Roman"/>
          <w:sz w:val="18"/>
          <w:szCs w:val="18"/>
          <w:b w:val="1"/>
          <w:bCs w:val="1"/>
          <w:i w:val="1"/>
          <w:iCs w:val="1"/>
          <w:color w:val="auto"/>
        </w:rPr>
        <w:t>14</w:t>
      </w:r>
    </w:p>
    <w:p>
      <w:pPr>
        <w:spacing w:after="0" w:line="19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i w:val="1"/>
          <w:iCs w:val="1"/>
          <w:color w:val="auto"/>
        </w:rPr>
        <w:t>Foods</w:t>
      </w:r>
    </w:p>
    <w:p>
      <w:pPr>
        <w:spacing w:after="0" w:line="18" w:lineRule="exact"/>
        <w:rPr>
          <w:sz w:val="20"/>
          <w:szCs w:val="20"/>
          <w:color w:val="auto"/>
        </w:rPr>
      </w:pPr>
    </w:p>
    <w:p>
      <w:pPr>
        <w:ind w:left="200" w:right="239"/>
        <w:spacing w:after="0" w:line="244" w:lineRule="auto"/>
        <w:rPr>
          <w:sz w:val="20"/>
          <w:szCs w:val="20"/>
          <w:color w:val="auto"/>
        </w:rPr>
      </w:pPr>
      <w:r>
        <w:rPr>
          <w:rFonts w:ascii="Times New Roman" w:cs="Times New Roman" w:eastAsia="Times New Roman" w:hAnsi="Times New Roman"/>
          <w:sz w:val="21"/>
          <w:szCs w:val="21"/>
          <w:color w:val="auto"/>
        </w:rPr>
        <w:t>Sales in the Foods segment totaled $19.8 million for the second quarter 2022, 4% lower than $20.7 million in the same period last year due to limited supply of fruit. Segment gross profit totaled $1.3 million, or 6.8% of sales, for the second quarter, compared to $5.3 million, or 25.6% of sales, for the same period last year. The decrease in gross profit for the second quarter was mainly due to year-over-year increases in fruit costs. We have been implementing price increases, raw product sourcing initiatives, labor productivity projects and freight consolidation to offset these increased costs. We expect to see benefits from these efforts continue in coming quarters.</w:t>
      </w:r>
    </w:p>
    <w:p>
      <w:pPr>
        <w:spacing w:after="0" w:line="19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b w:val="1"/>
          <w:bCs w:val="1"/>
          <w:color w:val="auto"/>
        </w:rPr>
        <w:t>Outlook</w:t>
      </w:r>
    </w:p>
    <w:p>
      <w:pPr>
        <w:spacing w:after="0" w:line="18" w:lineRule="exact"/>
        <w:rPr>
          <w:sz w:val="20"/>
          <w:szCs w:val="20"/>
          <w:color w:val="auto"/>
        </w:rPr>
      </w:pPr>
    </w:p>
    <w:p>
      <w:pPr>
        <w:ind w:left="200" w:right="339"/>
        <w:spacing w:after="0" w:line="235" w:lineRule="auto"/>
        <w:rPr>
          <w:sz w:val="20"/>
          <w:szCs w:val="20"/>
          <w:color w:val="auto"/>
        </w:rPr>
      </w:pPr>
      <w:r>
        <w:rPr>
          <w:rFonts w:ascii="Times New Roman" w:cs="Times New Roman" w:eastAsia="Times New Roman" w:hAnsi="Times New Roman"/>
          <w:sz w:val="22"/>
          <w:szCs w:val="22"/>
          <w:color w:val="auto"/>
        </w:rPr>
        <w:t>Calavo is conducting a search for a new chief financial officer and is working with an outside search firm and within professional networks to identify candidates. Interviews are underway, and we are moving with speed; however, finding the right person is our primary goal.</w:t>
      </w:r>
    </w:p>
    <w:p>
      <w:pPr>
        <w:spacing w:after="0" w:line="110" w:lineRule="exact"/>
        <w:rPr>
          <w:sz w:val="20"/>
          <w:szCs w:val="20"/>
          <w:color w:val="auto"/>
        </w:rPr>
      </w:pPr>
    </w:p>
    <w:p>
      <w:pPr>
        <w:ind w:left="200" w:right="339"/>
        <w:spacing w:after="0" w:line="244" w:lineRule="auto"/>
        <w:rPr>
          <w:sz w:val="20"/>
          <w:szCs w:val="20"/>
          <w:color w:val="auto"/>
        </w:rPr>
      </w:pPr>
      <w:r>
        <w:rPr>
          <w:rFonts w:ascii="Times New Roman" w:cs="Times New Roman" w:eastAsia="Times New Roman" w:hAnsi="Times New Roman"/>
          <w:sz w:val="22"/>
          <w:szCs w:val="22"/>
          <w:color w:val="auto"/>
        </w:rPr>
        <w:t>We are enthusiastic about sequential results given our Project Uno efforts, and we are optimistic that we will see ongoing profit improvement from our efforts in the third and fourth quarters, with the third quarter as our typically strongest quarter due to seasonality.</w:t>
      </w:r>
    </w:p>
    <w:p>
      <w:pPr>
        <w:spacing w:after="0" w:line="19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b w:val="1"/>
          <w:bCs w:val="1"/>
          <w:color w:val="auto"/>
        </w:rPr>
        <w:t>Non-GAAP Financial Measures</w:t>
      </w:r>
    </w:p>
    <w:p>
      <w:pPr>
        <w:spacing w:after="0" w:line="18" w:lineRule="exact"/>
        <w:rPr>
          <w:sz w:val="20"/>
          <w:szCs w:val="20"/>
          <w:color w:val="auto"/>
        </w:rPr>
      </w:pPr>
    </w:p>
    <w:p>
      <w:pPr>
        <w:ind w:left="200" w:right="259"/>
        <w:spacing w:after="0" w:line="235" w:lineRule="auto"/>
        <w:rPr>
          <w:sz w:val="20"/>
          <w:szCs w:val="20"/>
          <w:color w:val="auto"/>
        </w:rPr>
      </w:pPr>
      <w:r>
        <w:rPr>
          <w:rFonts w:ascii="Times New Roman" w:cs="Times New Roman" w:eastAsia="Times New Roman" w:hAnsi="Times New Roman"/>
          <w:sz w:val="22"/>
          <w:szCs w:val="22"/>
          <w:color w:val="auto"/>
        </w:rPr>
        <w:t>This press release includes non-GAAP measures such as EBITDA, adjusted EBITDA, adjusted net income and adjusted diluted EPS, which are not prepared in accordance with U.S. generally accepted accounting principles, or “GAAP.”</w:t>
      </w:r>
    </w:p>
    <w:p>
      <w:pPr>
        <w:spacing w:after="0" w:line="205" w:lineRule="exact"/>
        <w:rPr>
          <w:sz w:val="20"/>
          <w:szCs w:val="20"/>
          <w:color w:val="auto"/>
        </w:rPr>
      </w:pPr>
    </w:p>
    <w:p>
      <w:pPr>
        <w:ind w:left="200" w:right="239"/>
        <w:spacing w:after="0" w:line="245" w:lineRule="auto"/>
        <w:rPr>
          <w:sz w:val="20"/>
          <w:szCs w:val="20"/>
          <w:color w:val="auto"/>
        </w:rPr>
      </w:pPr>
      <w:r>
        <w:rPr>
          <w:rFonts w:ascii="Times New Roman" w:cs="Times New Roman" w:eastAsia="Times New Roman" w:hAnsi="Times New Roman"/>
          <w:sz w:val="21"/>
          <w:szCs w:val="21"/>
          <w:color w:val="auto"/>
        </w:rPr>
        <w:t>EBITDA is defined as net income (loss) attributable to Calavo Growers, Inc. excluding (1) interest income and expense, (2) income tax (benefit) provision, (3) depreciation and amortization and (4) stock-based compensation expense. Adjusted EBITDA is EBITDA with further adjustments for (1) non-cash net losses recognized from unconsolidated entities, (2) goodwill impairment, (3) write-off of long-lived assets, (4) acquisition-related costs, (5) restructuring-related costs, including certain severance costs, (6) certain litigation and other related costs, and (7) one-time items. Adjusted EBITDA is a primary metric by which management evaluates the operating performance of the business, on which certain operating expenditures and internal budgets are based. Additionally, the Company’s senior management is compensated in part on the basis of Adjusted EBITDA. The adjustments to calculate EBITDA and adjusted EBITDA are items recognized and recorded under GAAP in particular periods but might be viewed as not necessarily coinciding with the underlying business operations for the periods in which they are so recognized and recorded.</w:t>
      </w:r>
    </w:p>
    <w:p>
      <w:pPr>
        <w:spacing w:after="0" w:line="20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color w:val="auto"/>
        </w:rPr>
        <w:t>Adjusted net income is defined as net income (loss) attributable to Calavo Growers, Inc. excluding</w:t>
      </w:r>
    </w:p>
    <w:p>
      <w:pPr>
        <w:spacing w:after="0" w:line="26" w:lineRule="exact"/>
        <w:rPr>
          <w:sz w:val="20"/>
          <w:szCs w:val="20"/>
          <w:color w:val="auto"/>
        </w:rPr>
      </w:pPr>
    </w:p>
    <w:p>
      <w:pPr>
        <w:ind w:left="200" w:right="299" w:firstLine="9"/>
        <w:spacing w:after="0" w:line="232" w:lineRule="auto"/>
        <w:tabs>
          <w:tab w:leader="none" w:pos="506"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non-cash net losses recognized from unconsolidated entities, (2) goodwill impairment, (3) write-off of long-lived assets, (4) acquisition-related costs, (5) restructuring-related costs, including certain severance costs, (6) certain litigation and other related costs, and (7) one-time items. Adjusted net income and the related measure of adjusted diluted EPS exclude certain items that are recognized and recorded under GAAP in particular periods but might be viewed as not necessarily coinciding with the underlying business operations for the periods in which they are so recognized and recorded. We believe adjusted net income affords investors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338455</wp:posOffset>
            </wp:positionV>
            <wp:extent cx="545211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659" w:right="1440" w:bottom="1440" w:gutter="0" w:footer="0" w:header="0"/>
        </w:sectPr>
      </w:pPr>
    </w:p>
    <w:bookmarkStart w:id="7" w:name="page8"/>
    <w:bookmarkEnd w:id="7"/>
    <w:p>
      <w:pPr>
        <w:ind w:left="200"/>
        <w:spacing w:after="0"/>
        <w:rPr>
          <w:sz w:val="20"/>
          <w:szCs w:val="20"/>
          <w:color w:val="auto"/>
        </w:rPr>
      </w:pPr>
      <w:r>
        <w:rPr>
          <w:rFonts w:ascii="Times New Roman" w:cs="Times New Roman" w:eastAsia="Times New Roman" w:hAnsi="Times New Roman"/>
          <w:sz w:val="18"/>
          <w:szCs w:val="18"/>
          <w:i w:val="1"/>
          <w:iCs w:val="1"/>
          <w:color w:val="auto"/>
        </w:rPr>
        <w:t>Calavo Growers, Inc.</w:t>
      </w:r>
    </w:p>
    <w:p>
      <w:pPr>
        <w:spacing w:after="0" w:line="2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 xml:space="preserve">Page </w:t>
      </w:r>
      <w:r>
        <w:rPr>
          <w:rFonts w:ascii="Times New Roman" w:cs="Times New Roman" w:eastAsia="Times New Roman" w:hAnsi="Times New Roman"/>
          <w:sz w:val="18"/>
          <w:szCs w:val="18"/>
          <w:b w:val="1"/>
          <w:bCs w:val="1"/>
          <w:i w:val="1"/>
          <w:iCs w:val="1"/>
          <w:color w:val="auto"/>
        </w:rPr>
        <w:t>5</w:t>
      </w:r>
      <w:r>
        <w:rPr>
          <w:rFonts w:ascii="Times New Roman" w:cs="Times New Roman" w:eastAsia="Times New Roman" w:hAnsi="Times New Roman"/>
          <w:sz w:val="18"/>
          <w:szCs w:val="18"/>
          <w:i w:val="1"/>
          <w:iCs w:val="1"/>
          <w:color w:val="auto"/>
        </w:rPr>
        <w:t xml:space="preserve"> of </w:t>
      </w:r>
      <w:r>
        <w:rPr>
          <w:rFonts w:ascii="Times New Roman" w:cs="Times New Roman" w:eastAsia="Times New Roman" w:hAnsi="Times New Roman"/>
          <w:sz w:val="18"/>
          <w:szCs w:val="18"/>
          <w:b w:val="1"/>
          <w:bCs w:val="1"/>
          <w:i w:val="1"/>
          <w:iCs w:val="1"/>
          <w:color w:val="auto"/>
        </w:rPr>
        <w:t>14</w:t>
      </w:r>
    </w:p>
    <w:p>
      <w:pPr>
        <w:spacing w:after="0" w:line="198" w:lineRule="exact"/>
        <w:rPr>
          <w:sz w:val="20"/>
          <w:szCs w:val="20"/>
          <w:color w:val="auto"/>
        </w:rPr>
      </w:pPr>
    </w:p>
    <w:p>
      <w:pPr>
        <w:ind w:left="200" w:right="259"/>
        <w:spacing w:after="0" w:line="258" w:lineRule="auto"/>
        <w:rPr>
          <w:sz w:val="20"/>
          <w:szCs w:val="20"/>
          <w:color w:val="auto"/>
        </w:rPr>
      </w:pPr>
      <w:r>
        <w:rPr>
          <w:rFonts w:ascii="Times New Roman" w:cs="Times New Roman" w:eastAsia="Times New Roman" w:hAnsi="Times New Roman"/>
          <w:sz w:val="22"/>
          <w:szCs w:val="22"/>
          <w:color w:val="auto"/>
        </w:rPr>
        <w:t>different view of the overall financial performance of the Company than adjusted EBITDA and the GAAP measure of net income (loss) attributable to Calavo Growers, Inc.</w:t>
      </w:r>
    </w:p>
    <w:p>
      <w:pPr>
        <w:spacing w:after="0" w:line="185" w:lineRule="exact"/>
        <w:rPr>
          <w:sz w:val="20"/>
          <w:szCs w:val="20"/>
          <w:color w:val="auto"/>
        </w:rPr>
      </w:pPr>
    </w:p>
    <w:p>
      <w:pPr>
        <w:ind w:left="200" w:right="279"/>
        <w:spacing w:after="0" w:line="258" w:lineRule="auto"/>
        <w:rPr>
          <w:sz w:val="20"/>
          <w:szCs w:val="20"/>
          <w:color w:val="auto"/>
        </w:rPr>
      </w:pPr>
      <w:r>
        <w:rPr>
          <w:rFonts w:ascii="Times New Roman" w:cs="Times New Roman" w:eastAsia="Times New Roman" w:hAnsi="Times New Roman"/>
          <w:sz w:val="22"/>
          <w:szCs w:val="22"/>
          <w:color w:val="auto"/>
        </w:rPr>
        <w:t>Reconciliations of non-GAAP financial measures to the most directly comparable GAAP financial measures are provided in the financial tables that accompany this release.</w:t>
      </w:r>
    </w:p>
    <w:p>
      <w:pPr>
        <w:spacing w:after="0" w:line="185" w:lineRule="exact"/>
        <w:rPr>
          <w:sz w:val="20"/>
          <w:szCs w:val="20"/>
          <w:color w:val="auto"/>
        </w:rPr>
      </w:pPr>
    </w:p>
    <w:p>
      <w:pPr>
        <w:ind w:left="200" w:right="319"/>
        <w:spacing w:after="0" w:line="239" w:lineRule="auto"/>
        <w:rPr>
          <w:sz w:val="20"/>
          <w:szCs w:val="20"/>
          <w:color w:val="auto"/>
        </w:rPr>
      </w:pPr>
      <w:r>
        <w:rPr>
          <w:rFonts w:ascii="Times New Roman" w:cs="Times New Roman" w:eastAsia="Times New Roman" w:hAnsi="Times New Roman"/>
          <w:sz w:val="22"/>
          <w:szCs w:val="22"/>
          <w:color w:val="auto"/>
        </w:rPr>
        <w:t>Items are considered one-time in nature if they are non-recurring, infrequent or unusual and have not occurred in the past two years or are not expected to recur in the next two years, in accordance with SEC rules. One-time items are identified in the notes to the reconciliations in the financial tables that accompany this release.</w:t>
      </w:r>
    </w:p>
    <w:p>
      <w:pPr>
        <w:spacing w:after="0" w:line="207" w:lineRule="exact"/>
        <w:rPr>
          <w:sz w:val="20"/>
          <w:szCs w:val="20"/>
          <w:color w:val="auto"/>
        </w:rPr>
      </w:pPr>
    </w:p>
    <w:p>
      <w:pPr>
        <w:ind w:left="200" w:right="259"/>
        <w:spacing w:after="0" w:line="236" w:lineRule="auto"/>
        <w:rPr>
          <w:sz w:val="20"/>
          <w:szCs w:val="20"/>
          <w:color w:val="auto"/>
        </w:rPr>
      </w:pPr>
      <w:r>
        <w:rPr>
          <w:rFonts w:ascii="Times New Roman" w:cs="Times New Roman" w:eastAsia="Times New Roman" w:hAnsi="Times New Roman"/>
          <w:sz w:val="22"/>
          <w:szCs w:val="22"/>
          <w:color w:val="auto"/>
        </w:rPr>
        <w:t>Non-GAAP information should be considered as supplemental in nature and not as a substitute for, or superior to, any measure of performance prepared in accordance with GAAP. None of these metrics are presented as measures of liquidity. The way the Company measures EBITDA, adjusted EBITDA, adjusted net income and adjusted diluted EPS may not be comparable to similarly titled measures presented by other companies and may not be identical to corresponding measures used in Company agreements.</w:t>
      </w:r>
    </w:p>
    <w:p>
      <w:pPr>
        <w:spacing w:after="0" w:line="20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b w:val="1"/>
          <w:bCs w:val="1"/>
          <w:color w:val="auto"/>
        </w:rPr>
        <w:t>Conference Call and Webcast</w:t>
      </w:r>
    </w:p>
    <w:p>
      <w:pPr>
        <w:spacing w:after="0" w:line="18" w:lineRule="exact"/>
        <w:rPr>
          <w:sz w:val="20"/>
          <w:szCs w:val="20"/>
          <w:color w:val="auto"/>
        </w:rPr>
      </w:pPr>
    </w:p>
    <w:p>
      <w:pPr>
        <w:ind w:left="200" w:right="279"/>
        <w:spacing w:after="0" w:line="230" w:lineRule="auto"/>
        <w:rPr>
          <w:sz w:val="20"/>
          <w:szCs w:val="20"/>
          <w:color w:val="auto"/>
        </w:rPr>
      </w:pPr>
      <w:r>
        <w:rPr>
          <w:rFonts w:ascii="Times New Roman" w:cs="Times New Roman" w:eastAsia="Times New Roman" w:hAnsi="Times New Roman"/>
          <w:sz w:val="22"/>
          <w:szCs w:val="22"/>
          <w:color w:val="auto"/>
        </w:rPr>
        <w:t>Calavo will host a conference call, today at 5:00 pm ET/2:00 pm PT to discuss its financial results. The conference call may be accessed by dialing 877-407-3982 (domestic) or 201-493-6780 (international) with conference ID: 13730081. A live audio webcast of the call also will be available on the Investor Relations section of Calavo</w:t>
      </w:r>
      <w:r>
        <w:rPr>
          <w:rFonts w:ascii="Calibri" w:cs="Calibri" w:eastAsia="Calibri" w:hAnsi="Calibri"/>
          <w:sz w:val="22"/>
          <w:szCs w:val="22"/>
          <w:color w:val="auto"/>
        </w:rPr>
        <w:t>’</w:t>
      </w:r>
      <w:r>
        <w:rPr>
          <w:rFonts w:ascii="Times New Roman" w:cs="Times New Roman" w:eastAsia="Times New Roman" w:hAnsi="Times New Roman"/>
          <w:sz w:val="22"/>
          <w:szCs w:val="22"/>
          <w:color w:val="auto"/>
        </w:rPr>
        <w:t xml:space="preserve">s website at </w:t>
      </w:r>
      <w:r>
        <w:rPr>
          <w:rFonts w:ascii="Times New Roman" w:cs="Times New Roman" w:eastAsia="Times New Roman" w:hAnsi="Times New Roman"/>
          <w:sz w:val="19"/>
          <w:szCs w:val="19"/>
          <w:color w:val="auto"/>
        </w:rPr>
        <w:t>Events &amp; Presentations | Calavo</w:t>
      </w:r>
    </w:p>
    <w:p>
      <w:pPr>
        <w:spacing w:after="0" w:line="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 xml:space="preserve">Growers, Inc. </w:t>
      </w:r>
      <w:r>
        <w:rPr>
          <w:rFonts w:ascii="Times New Roman" w:cs="Times New Roman" w:eastAsia="Times New Roman" w:hAnsi="Times New Roman"/>
          <w:sz w:val="21"/>
          <w:szCs w:val="21"/>
          <w:color w:val="auto"/>
        </w:rPr>
        <w:t>and will be archived for replay.</w:t>
      </w:r>
    </w:p>
    <w:p>
      <w:pPr>
        <w:spacing w:after="0" w:line="37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b w:val="1"/>
          <w:bCs w:val="1"/>
          <w:color w:val="auto"/>
        </w:rPr>
        <w:t>About Calavo Growers, Inc.</w:t>
      </w:r>
    </w:p>
    <w:p>
      <w:pPr>
        <w:spacing w:after="0" w:line="18" w:lineRule="exact"/>
        <w:rPr>
          <w:sz w:val="20"/>
          <w:szCs w:val="20"/>
          <w:color w:val="auto"/>
        </w:rPr>
      </w:pPr>
    </w:p>
    <w:p>
      <w:pPr>
        <w:ind w:left="200" w:right="359"/>
        <w:spacing w:after="0" w:line="234" w:lineRule="auto"/>
        <w:rPr>
          <w:sz w:val="20"/>
          <w:szCs w:val="20"/>
          <w:color w:val="auto"/>
        </w:rPr>
      </w:pPr>
      <w:r>
        <w:rPr>
          <w:rFonts w:ascii="Times New Roman" w:cs="Times New Roman" w:eastAsia="Times New Roman" w:hAnsi="Times New Roman"/>
          <w:sz w:val="22"/>
          <w:szCs w:val="22"/>
          <w:color w:val="auto"/>
        </w:rPr>
        <w:t>Calavo Growers, Inc. (Nasdaq: CVGW) is a global leader in quality produce, including avocados, tomatoes and papayas, and a pioneer of healthy fresh-cut fruit, vegetables and prepared foods. Calavo products are sold under the trusted Calavo brand name, proprietary sub-brands, private label and store brands.</w:t>
      </w:r>
    </w:p>
    <w:p>
      <w:pPr>
        <w:spacing w:after="0" w:line="96" w:lineRule="exact"/>
        <w:rPr>
          <w:sz w:val="20"/>
          <w:szCs w:val="20"/>
          <w:color w:val="auto"/>
        </w:rPr>
      </w:pPr>
    </w:p>
    <w:p>
      <w:pPr>
        <w:ind w:left="200" w:right="419"/>
        <w:spacing w:after="0" w:line="238" w:lineRule="auto"/>
        <w:rPr>
          <w:sz w:val="20"/>
          <w:szCs w:val="20"/>
          <w:color w:val="auto"/>
        </w:rPr>
      </w:pPr>
      <w:r>
        <w:rPr>
          <w:rFonts w:ascii="Times New Roman" w:cs="Times New Roman" w:eastAsia="Times New Roman" w:hAnsi="Times New Roman"/>
          <w:sz w:val="22"/>
          <w:szCs w:val="22"/>
          <w:color w:val="auto"/>
        </w:rPr>
        <w:t xml:space="preserve">Founded in 1924, Calavo has a rich culture of constant innovation, sustainable practices and market growth. The company serves retail grocery, foodservice, club stores, mass merchandisers, food distributors and wholesalers worldwide. Calavo is headquartered in Santa Paula, California, with processing plants and packing facilities throughout the U.S. and Mexico. Learn more about </w:t>
      </w:r>
      <w:r>
        <w:rPr>
          <w:rFonts w:ascii="Times New Roman" w:cs="Times New Roman" w:eastAsia="Times New Roman" w:hAnsi="Times New Roman"/>
          <w:sz w:val="22"/>
          <w:szCs w:val="22"/>
          <w:i w:val="1"/>
          <w:iCs w:val="1"/>
          <w:color w:val="auto"/>
        </w:rPr>
        <w:t xml:space="preserve">The Family of Fresh™ </w:t>
      </w:r>
      <w:r>
        <w:rPr>
          <w:rFonts w:ascii="Times New Roman" w:cs="Times New Roman" w:eastAsia="Times New Roman" w:hAnsi="Times New Roman"/>
          <w:sz w:val="22"/>
          <w:szCs w:val="22"/>
          <w:color w:val="auto"/>
        </w:rPr>
        <w:t>at calavo.com.</w:t>
      </w:r>
    </w:p>
    <w:p>
      <w:pPr>
        <w:spacing w:after="0" w:line="10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b w:val="1"/>
          <w:bCs w:val="1"/>
          <w:color w:val="auto"/>
        </w:rPr>
        <w:t>Safe Harbor Statement</w:t>
      </w:r>
    </w:p>
    <w:p>
      <w:pPr>
        <w:spacing w:after="0" w:line="18" w:lineRule="exact"/>
        <w:rPr>
          <w:sz w:val="20"/>
          <w:szCs w:val="20"/>
          <w:color w:val="auto"/>
        </w:rPr>
      </w:pPr>
    </w:p>
    <w:p>
      <w:pPr>
        <w:ind w:left="200" w:right="239"/>
        <w:spacing w:after="0" w:line="232" w:lineRule="auto"/>
        <w:rPr>
          <w:sz w:val="20"/>
          <w:szCs w:val="20"/>
          <w:color w:val="auto"/>
        </w:rPr>
      </w:pPr>
      <w:r>
        <w:rPr>
          <w:rFonts w:ascii="Times New Roman" w:cs="Times New Roman" w:eastAsia="Times New Roman" w:hAnsi="Times New Roman"/>
          <w:sz w:val="22"/>
          <w:szCs w:val="22"/>
          <w:color w:val="auto"/>
        </w:rPr>
        <w:t>This press release contains statements relating to future events and results of Calavo (including certain projections and business trends) that are "forward-looking statements," as defined in the Private Securities Litigation Reform Act of 1995, that involve risks, uncertainties and assumptions. These statements are based on our current expectations and are not promises or guarantees. If any of the risks or uncertainties ever materialize or the assumptions prove incorrect, the results of Calavo may differ materially from those expressed or implied by such forward-looking statements and assumptions. The use of words such as "anticipates," "estimates," "expects," "projects," "intends," "plans" and "believes," among others, generally identify forward-looking statements. Risks and uncertainties that may cause our actual results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336550</wp:posOffset>
            </wp:positionV>
            <wp:extent cx="545211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659" w:right="1440" w:bottom="1440" w:gutter="0" w:footer="0" w:header="0"/>
        </w:sectPr>
      </w:pPr>
    </w:p>
    <w:bookmarkStart w:id="8" w:name="page9"/>
    <w:bookmarkEnd w:id="8"/>
    <w:p>
      <w:pPr>
        <w:ind w:left="200"/>
        <w:spacing w:after="0"/>
        <w:rPr>
          <w:sz w:val="20"/>
          <w:szCs w:val="20"/>
          <w:color w:val="auto"/>
        </w:rPr>
      </w:pPr>
      <w:r>
        <w:rPr>
          <w:rFonts w:ascii="Times New Roman" w:cs="Times New Roman" w:eastAsia="Times New Roman" w:hAnsi="Times New Roman"/>
          <w:sz w:val="18"/>
          <w:szCs w:val="18"/>
          <w:i w:val="1"/>
          <w:iCs w:val="1"/>
          <w:color w:val="auto"/>
        </w:rPr>
        <w:t>Calavo Growers, Inc.</w:t>
      </w:r>
    </w:p>
    <w:p>
      <w:pPr>
        <w:spacing w:after="0" w:line="2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 xml:space="preserve">Page </w:t>
      </w:r>
      <w:r>
        <w:rPr>
          <w:rFonts w:ascii="Times New Roman" w:cs="Times New Roman" w:eastAsia="Times New Roman" w:hAnsi="Times New Roman"/>
          <w:sz w:val="18"/>
          <w:szCs w:val="18"/>
          <w:b w:val="1"/>
          <w:bCs w:val="1"/>
          <w:i w:val="1"/>
          <w:iCs w:val="1"/>
          <w:color w:val="auto"/>
        </w:rPr>
        <w:t>6</w:t>
      </w:r>
      <w:r>
        <w:rPr>
          <w:rFonts w:ascii="Times New Roman" w:cs="Times New Roman" w:eastAsia="Times New Roman" w:hAnsi="Times New Roman"/>
          <w:sz w:val="18"/>
          <w:szCs w:val="18"/>
          <w:i w:val="1"/>
          <w:iCs w:val="1"/>
          <w:color w:val="auto"/>
        </w:rPr>
        <w:t xml:space="preserve"> of </w:t>
      </w:r>
      <w:r>
        <w:rPr>
          <w:rFonts w:ascii="Times New Roman" w:cs="Times New Roman" w:eastAsia="Times New Roman" w:hAnsi="Times New Roman"/>
          <w:sz w:val="18"/>
          <w:szCs w:val="18"/>
          <w:b w:val="1"/>
          <w:bCs w:val="1"/>
          <w:i w:val="1"/>
          <w:iCs w:val="1"/>
          <w:color w:val="auto"/>
        </w:rPr>
        <w:t>14</w:t>
      </w:r>
    </w:p>
    <w:p>
      <w:pPr>
        <w:spacing w:after="0" w:line="198" w:lineRule="exact"/>
        <w:rPr>
          <w:sz w:val="20"/>
          <w:szCs w:val="20"/>
          <w:color w:val="auto"/>
        </w:rPr>
      </w:pPr>
    </w:p>
    <w:p>
      <w:pPr>
        <w:ind w:left="200" w:right="219"/>
        <w:spacing w:after="0" w:line="242" w:lineRule="auto"/>
        <w:rPr>
          <w:sz w:val="20"/>
          <w:szCs w:val="20"/>
          <w:color w:val="auto"/>
        </w:rPr>
      </w:pPr>
      <w:r>
        <w:rPr>
          <w:rFonts w:ascii="Times New Roman" w:cs="Times New Roman" w:eastAsia="Times New Roman" w:hAnsi="Times New Roman"/>
          <w:sz w:val="21"/>
          <w:szCs w:val="21"/>
          <w:color w:val="auto"/>
        </w:rPr>
        <w:t>be materially different from any future results expressed or implied by the forward-looking statements include, but are not limited to, the following: the impact of Project Uno initiatives on our business, results of operations, and financial condition, including uncertainty as to whether the desired effects will be achieved; the impact of the COVID-19 pandemic on our business, results of operations, and financial condition, including, but not limited to, disruptions in the manufacturing of our products and the operations of the related supply chains supporting our ability to deliver our products to consumers, impacts on our employees and uncertainty regarding our ability to implement health and safety measures for our employees, uncertainties regarding consumer demand for our products, impact on our food service customers, increased costs, the impact of governmental trade restrictions imposed as a result of COVID-19 and the possible adverse impact of COVID-19 on our goodwill and other intangible assets; our ability to raise prices, particularly in our RFG and Foods segments, to offset increase costs of goods sold, and the impact of such price increases on future net sales; seasonality of our business; sensitivity of our business to changes in market prices of avocados and other agricultural products and other raw materials including fuel, packaging and paper; potential disruptions to our supply chain; risks associated with potential future acquisitions, including integration; potential exposure to data breaches and other cyber-attacks on our systems or those of our suppliers or customers; dependence on large customers; dependence on key personnel, including personnel that have not yet been hired, and the ability of our future management team to work together successfully; potential for labor disputes; reliance on co-packers for a portion of our production needs; competitive pressures, including from foreign growers; risks of recalls and food-related injuries to our customers; changing consumer preferences; the impact of environmental regulations, including those related to climate change; our ability to develop and transition new products and services and enhance existing products and services to meet customer needs; risks associated with doing business internationally (including possible restrictive U.S. and foreign governmental actions, such as restrictions on transfers of funds and COVID-19 and trade protection measures such as import/export/customs duties, tariffs and/or quotas and currency fluctuations); risks associated with receivables from, loans to and/or equity investments in unconsolidated entities; volatility in the value of our common stock; the impact of macroeconomic trends and events; and the resolution of pending investigations, legal claims and tax disputes, including an assessment imposed by the Mexican Tax Administrative Service (the “SAT”) and our defenses against collection activities commenced by the SAT.</w:t>
      </w:r>
    </w:p>
    <w:p>
      <w:pPr>
        <w:spacing w:after="0" w:line="228" w:lineRule="exact"/>
        <w:rPr>
          <w:sz w:val="20"/>
          <w:szCs w:val="20"/>
          <w:color w:val="auto"/>
        </w:rPr>
      </w:pPr>
    </w:p>
    <w:p>
      <w:pPr>
        <w:ind w:left="200" w:right="379"/>
        <w:spacing w:after="0" w:line="236" w:lineRule="auto"/>
        <w:rPr>
          <w:sz w:val="20"/>
          <w:szCs w:val="20"/>
          <w:color w:val="auto"/>
        </w:rPr>
      </w:pPr>
      <w:r>
        <w:rPr>
          <w:rFonts w:ascii="Times New Roman" w:cs="Times New Roman" w:eastAsia="Times New Roman" w:hAnsi="Times New Roman"/>
          <w:sz w:val="22"/>
          <w:szCs w:val="22"/>
          <w:color w:val="auto"/>
        </w:rPr>
        <w:t>For a further discussion of these risks and uncertainties and other risks and uncertainties that we face, please see the risk factors described in our most recent Annual Report on Form 10-K filed with the Securities and Exchange Commission and any subsequent updates that may be contained in our Quarterly Reports on Form 10-Q and other filings with the Securities and Exchange Commission. Forward-looking statements contained in this press release are made only as of the date of this press release, and we undertake no obligation to update or revise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578485</wp:posOffset>
            </wp:positionV>
            <wp:extent cx="545211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659" w:right="1440" w:bottom="1440" w:gutter="0" w:footer="0" w:header="0"/>
        </w:sectPr>
      </w:pPr>
    </w:p>
    <w:bookmarkStart w:id="9" w:name="page10"/>
    <w:bookmarkEnd w:id="9"/>
    <w:p>
      <w:pPr>
        <w:ind w:left="200"/>
        <w:spacing w:after="0"/>
        <w:rPr>
          <w:sz w:val="20"/>
          <w:szCs w:val="20"/>
          <w:color w:val="auto"/>
        </w:rPr>
      </w:pPr>
      <w:r>
        <w:rPr>
          <w:rFonts w:ascii="Times New Roman" w:cs="Times New Roman" w:eastAsia="Times New Roman" w:hAnsi="Times New Roman"/>
          <w:sz w:val="18"/>
          <w:szCs w:val="18"/>
          <w:i w:val="1"/>
          <w:iCs w:val="1"/>
          <w:color w:val="auto"/>
        </w:rPr>
        <w:t>Calavo Growers, Inc.</w:t>
      </w:r>
    </w:p>
    <w:p>
      <w:pPr>
        <w:spacing w:after="0" w:line="2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 xml:space="preserve">Page </w:t>
      </w:r>
      <w:r>
        <w:rPr>
          <w:rFonts w:ascii="Times New Roman" w:cs="Times New Roman" w:eastAsia="Times New Roman" w:hAnsi="Times New Roman"/>
          <w:sz w:val="18"/>
          <w:szCs w:val="18"/>
          <w:b w:val="1"/>
          <w:bCs w:val="1"/>
          <w:i w:val="1"/>
          <w:iCs w:val="1"/>
          <w:color w:val="auto"/>
        </w:rPr>
        <w:t>7</w:t>
      </w:r>
      <w:r>
        <w:rPr>
          <w:rFonts w:ascii="Times New Roman" w:cs="Times New Roman" w:eastAsia="Times New Roman" w:hAnsi="Times New Roman"/>
          <w:sz w:val="18"/>
          <w:szCs w:val="18"/>
          <w:i w:val="1"/>
          <w:iCs w:val="1"/>
          <w:color w:val="auto"/>
        </w:rPr>
        <w:t xml:space="preserve"> of </w:t>
      </w:r>
      <w:r>
        <w:rPr>
          <w:rFonts w:ascii="Times New Roman" w:cs="Times New Roman" w:eastAsia="Times New Roman" w:hAnsi="Times New Roman"/>
          <w:sz w:val="18"/>
          <w:szCs w:val="18"/>
          <w:b w:val="1"/>
          <w:bCs w:val="1"/>
          <w:i w:val="1"/>
          <w:iCs w:val="1"/>
          <w:color w:val="auto"/>
        </w:rPr>
        <w:t>14</w:t>
      </w:r>
    </w:p>
    <w:p>
      <w:pPr>
        <w:spacing w:after="0" w:line="200" w:lineRule="exact"/>
        <w:rPr>
          <w:sz w:val="20"/>
          <w:szCs w:val="20"/>
          <w:color w:val="auto"/>
        </w:rPr>
      </w:pPr>
    </w:p>
    <w:p>
      <w:pPr>
        <w:spacing w:after="0" w:line="37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forward-looking statements, whether as a result of new information, future events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tbl>
      <w:tblPr>
        <w:tblLayout w:type="fixed"/>
        <w:tblInd w:w="220" w:type="dxa"/>
        <w:tblCellMar>
          <w:top w:w="0" w:type="dxa"/>
          <w:left w:w="0" w:type="dxa"/>
          <w:bottom w:w="0" w:type="dxa"/>
          <w:right w:w="0" w:type="dxa"/>
        </w:tblCellMar>
      </w:tblPr>
      <w:tr>
        <w:trPr>
          <w:trHeight w:val="253"/>
        </w:trPr>
        <w:tc>
          <w:tcPr>
            <w:tcW w:w="322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Investor Contact</w:t>
            </w:r>
          </w:p>
        </w:tc>
        <w:tc>
          <w:tcPr>
            <w:tcW w:w="536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Media Contact</w:t>
            </w:r>
          </w:p>
        </w:tc>
      </w:tr>
      <w:tr>
        <w:trPr>
          <w:trHeight w:val="243"/>
        </w:trPr>
        <w:tc>
          <w:tcPr>
            <w:tcW w:w="32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Julie Kegley, Senior Vice President</w:t>
            </w:r>
          </w:p>
        </w:tc>
        <w:tc>
          <w:tcPr>
            <w:tcW w:w="536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Thomas Federl, VP Communications, Marketing &amp; ESG</w:t>
            </w:r>
          </w:p>
        </w:tc>
      </w:tr>
      <w:tr>
        <w:trPr>
          <w:trHeight w:val="243"/>
        </w:trPr>
        <w:tc>
          <w:tcPr>
            <w:tcW w:w="32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Financial Profiles, Inc.</w:t>
            </w:r>
          </w:p>
        </w:tc>
        <w:tc>
          <w:tcPr>
            <w:tcW w:w="536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Calavo Growers, Inc.</w:t>
            </w:r>
          </w:p>
        </w:tc>
      </w:tr>
      <w:tr>
        <w:trPr>
          <w:trHeight w:val="243"/>
        </w:trPr>
        <w:tc>
          <w:tcPr>
            <w:tcW w:w="32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calavo@finprofiles.com</w:t>
            </w:r>
          </w:p>
        </w:tc>
        <w:tc>
          <w:tcPr>
            <w:tcW w:w="536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Thomas.Federl@calavo.com</w:t>
            </w:r>
          </w:p>
        </w:tc>
      </w:tr>
      <w:tr>
        <w:trPr>
          <w:trHeight w:val="282"/>
        </w:trPr>
        <w:tc>
          <w:tcPr>
            <w:tcW w:w="3220" w:type="dxa"/>
            <w:vAlign w:val="bottom"/>
          </w:tcPr>
          <w:p>
            <w:pPr>
              <w:spacing w:after="0"/>
              <w:rPr>
                <w:sz w:val="20"/>
                <w:szCs w:val="20"/>
                <w:color w:val="auto"/>
              </w:rPr>
            </w:pPr>
            <w:r>
              <w:rPr>
                <w:rFonts w:ascii="Times New Roman" w:cs="Times New Roman" w:eastAsia="Times New Roman" w:hAnsi="Times New Roman"/>
                <w:sz w:val="22"/>
                <w:szCs w:val="22"/>
                <w:color w:val="auto"/>
              </w:rPr>
              <w:t>310-622-8246</w:t>
            </w:r>
          </w:p>
        </w:tc>
        <w:tc>
          <w:tcPr>
            <w:tcW w:w="53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843-801-4174</w:t>
            </w:r>
          </w:p>
        </w:tc>
      </w:tr>
      <w:tr>
        <w:trPr>
          <w:trHeight w:val="1763"/>
        </w:trPr>
        <w:tc>
          <w:tcPr>
            <w:tcW w:w="3220" w:type="dxa"/>
            <w:vAlign w:val="bottom"/>
            <w:tcBorders>
              <w:bottom w:val="single" w:sz="8" w:color="auto"/>
            </w:tcBorders>
          </w:tcPr>
          <w:p>
            <w:pPr>
              <w:spacing w:after="0"/>
              <w:rPr>
                <w:sz w:val="24"/>
                <w:szCs w:val="24"/>
                <w:color w:val="auto"/>
              </w:rPr>
            </w:pPr>
          </w:p>
        </w:tc>
        <w:tc>
          <w:tcPr>
            <w:tcW w:w="53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659" w:right="1440" w:bottom="1440" w:gutter="0" w:footer="0" w:header="0"/>
        </w:sectPr>
      </w:pPr>
    </w:p>
    <w:bookmarkStart w:id="10" w:name="page11"/>
    <w:bookmarkEnd w:id="10"/>
    <w:p>
      <w:pPr>
        <w:ind w:left="200"/>
        <w:spacing w:after="0"/>
        <w:rPr>
          <w:sz w:val="20"/>
          <w:szCs w:val="20"/>
          <w:color w:val="auto"/>
        </w:rPr>
      </w:pPr>
      <w:r>
        <w:rPr>
          <w:rFonts w:ascii="Times New Roman" w:cs="Times New Roman" w:eastAsia="Times New Roman" w:hAnsi="Times New Roman"/>
          <w:sz w:val="18"/>
          <w:szCs w:val="18"/>
          <w:i w:val="1"/>
          <w:iCs w:val="1"/>
          <w:color w:val="auto"/>
        </w:rPr>
        <w:t>Calavo Growers, Inc.</w:t>
      </w:r>
    </w:p>
    <w:p>
      <w:pPr>
        <w:spacing w:after="0" w:line="2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 xml:space="preserve">Page </w:t>
      </w:r>
      <w:r>
        <w:rPr>
          <w:rFonts w:ascii="Times New Roman" w:cs="Times New Roman" w:eastAsia="Times New Roman" w:hAnsi="Times New Roman"/>
          <w:sz w:val="18"/>
          <w:szCs w:val="18"/>
          <w:b w:val="1"/>
          <w:bCs w:val="1"/>
          <w:i w:val="1"/>
          <w:iCs w:val="1"/>
          <w:color w:val="auto"/>
        </w:rPr>
        <w:t>8</w:t>
      </w:r>
      <w:r>
        <w:rPr>
          <w:rFonts w:ascii="Times New Roman" w:cs="Times New Roman" w:eastAsia="Times New Roman" w:hAnsi="Times New Roman"/>
          <w:sz w:val="18"/>
          <w:szCs w:val="18"/>
          <w:i w:val="1"/>
          <w:iCs w:val="1"/>
          <w:color w:val="auto"/>
        </w:rPr>
        <w:t xml:space="preserve"> of </w:t>
      </w:r>
      <w:r>
        <w:rPr>
          <w:rFonts w:ascii="Times New Roman" w:cs="Times New Roman" w:eastAsia="Times New Roman" w:hAnsi="Times New Roman"/>
          <w:sz w:val="18"/>
          <w:szCs w:val="18"/>
          <w:b w:val="1"/>
          <w:bCs w:val="1"/>
          <w:i w:val="1"/>
          <w:iCs w:val="1"/>
          <w:color w:val="auto"/>
        </w:rPr>
        <w:t>14</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CALAVO GROWERS, INC.</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CONSOLIDATED CONDENSED BALANCE SHEETS (UNAUDITED)</w:t>
      </w: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(in thousands)</w:t>
      </w:r>
    </w:p>
    <w:p>
      <w:pPr>
        <w:spacing w:after="0" w:line="200" w:lineRule="exact"/>
        <w:rPr>
          <w:sz w:val="20"/>
          <w:szCs w:val="20"/>
          <w:color w:val="auto"/>
        </w:rPr>
      </w:pPr>
    </w:p>
    <w:p>
      <w:pPr>
        <w:spacing w:after="0" w:line="248" w:lineRule="exact"/>
        <w:rPr>
          <w:sz w:val="20"/>
          <w:szCs w:val="20"/>
          <w:color w:val="auto"/>
        </w:rPr>
      </w:pPr>
    </w:p>
    <w:tbl>
      <w:tblPr>
        <w:tblLayout w:type="fixed"/>
        <w:tblInd w:w="220" w:type="dxa"/>
        <w:tblCellMar>
          <w:top w:w="0" w:type="dxa"/>
          <w:left w:w="0" w:type="dxa"/>
          <w:bottom w:w="0" w:type="dxa"/>
          <w:right w:w="0" w:type="dxa"/>
        </w:tblCellMar>
      </w:tblPr>
      <w:tr>
        <w:trPr>
          <w:trHeight w:val="190"/>
        </w:trPr>
        <w:tc>
          <w:tcPr>
            <w:tcW w:w="6560" w:type="dxa"/>
            <w:vAlign w:val="bottom"/>
          </w:tcPr>
          <w:p>
            <w:pPr>
              <w:spacing w:after="0"/>
              <w:rPr>
                <w:sz w:val="16"/>
                <w:szCs w:val="16"/>
                <w:color w:val="auto"/>
              </w:rPr>
            </w:pPr>
          </w:p>
        </w:tc>
        <w:tc>
          <w:tcPr>
            <w:tcW w:w="1000" w:type="dxa"/>
            <w:vAlign w:val="bottom"/>
            <w:gridSpan w:val="3"/>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April 30,</w:t>
            </w:r>
          </w:p>
        </w:tc>
        <w:tc>
          <w:tcPr>
            <w:tcW w:w="10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October 31,</w:t>
            </w:r>
          </w:p>
        </w:tc>
        <w:tc>
          <w:tcPr>
            <w:tcW w:w="0" w:type="dxa"/>
            <w:vAlign w:val="bottom"/>
          </w:tcPr>
          <w:p>
            <w:pPr>
              <w:spacing w:after="0"/>
              <w:rPr>
                <w:sz w:val="1"/>
                <w:szCs w:val="1"/>
                <w:color w:val="auto"/>
              </w:rPr>
            </w:pPr>
          </w:p>
        </w:tc>
      </w:tr>
      <w:tr>
        <w:trPr>
          <w:trHeight w:val="199"/>
        </w:trPr>
        <w:tc>
          <w:tcPr>
            <w:tcW w:w="65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126"/>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146"/>
              <w:spacing w:after="0"/>
              <w:rPr>
                <w:sz w:val="20"/>
                <w:szCs w:val="20"/>
                <w:color w:val="auto"/>
              </w:rPr>
            </w:pPr>
            <w:r>
              <w:rPr>
                <w:rFonts w:ascii="Times New Roman" w:cs="Times New Roman" w:eastAsia="Times New Roman" w:hAnsi="Times New Roman"/>
                <w:sz w:val="14"/>
                <w:szCs w:val="14"/>
                <w:b w:val="1"/>
                <w:bCs w:val="1"/>
                <w:color w:val="auto"/>
              </w:rPr>
              <w:t>2021</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8"/>
        </w:trPr>
        <w:tc>
          <w:tcPr>
            <w:tcW w:w="65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2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9"/>
                <w:szCs w:val="19"/>
                <w:b w:val="1"/>
                <w:bCs w:val="1"/>
                <w:color w:val="auto"/>
              </w:rPr>
              <w:t>Assets</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spacing w:after="0" w:line="216" w:lineRule="exact"/>
              <w:rPr>
                <w:sz w:val="20"/>
                <w:szCs w:val="20"/>
                <w:color w:val="auto"/>
              </w:rPr>
            </w:pPr>
            <w:r>
              <w:rPr>
                <w:rFonts w:ascii="Times New Roman" w:cs="Times New Roman" w:eastAsia="Times New Roman" w:hAnsi="Times New Roman"/>
                <w:sz w:val="19"/>
                <w:szCs w:val="19"/>
                <w:color w:val="auto"/>
              </w:rPr>
              <w:t>Current assets:</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ind w:left="200"/>
              <w:spacing w:after="0" w:line="216" w:lineRule="exact"/>
              <w:rPr>
                <w:sz w:val="20"/>
                <w:szCs w:val="20"/>
                <w:color w:val="auto"/>
              </w:rPr>
            </w:pPr>
            <w:r>
              <w:rPr>
                <w:rFonts w:ascii="Times New Roman" w:cs="Times New Roman" w:eastAsia="Times New Roman" w:hAnsi="Times New Roman"/>
                <w:sz w:val="19"/>
                <w:szCs w:val="19"/>
                <w:color w:val="auto"/>
              </w:rPr>
              <w:t>Cash and cash equivalents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shd w:val="clear" w:color="auto" w:fill="CCEEFF"/>
          </w:tcPr>
          <w:p>
            <w:pPr>
              <w:jc w:val="right"/>
              <w:ind w:right="260"/>
              <w:spacing w:after="0" w:line="216" w:lineRule="exact"/>
              <w:rPr>
                <w:sz w:val="20"/>
                <w:szCs w:val="20"/>
                <w:color w:val="auto"/>
              </w:rPr>
            </w:pPr>
            <w:r>
              <w:rPr>
                <w:rFonts w:ascii="Times New Roman" w:cs="Times New Roman" w:eastAsia="Times New Roman" w:hAnsi="Times New Roman"/>
                <w:sz w:val="19"/>
                <w:szCs w:val="19"/>
                <w:color w:val="auto"/>
              </w:rPr>
              <w:t>2,317</w:t>
            </w:r>
          </w:p>
        </w:tc>
        <w:tc>
          <w:tcPr>
            <w:tcW w:w="12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9"/>
                <w:szCs w:val="19"/>
                <w:color w:val="auto"/>
              </w:rPr>
              <w:t>$</w:t>
            </w:r>
          </w:p>
        </w:tc>
        <w:tc>
          <w:tcPr>
            <w:tcW w:w="640" w:type="dxa"/>
            <w:vAlign w:val="bottom"/>
            <w:shd w:val="clear" w:color="auto" w:fill="CCEEFF"/>
          </w:tcPr>
          <w:p>
            <w:pPr>
              <w:jc w:val="right"/>
              <w:spacing w:after="0" w:line="216" w:lineRule="exact"/>
              <w:rPr>
                <w:sz w:val="20"/>
                <w:szCs w:val="20"/>
                <w:color w:val="auto"/>
              </w:rPr>
            </w:pPr>
            <w:r>
              <w:rPr>
                <w:rFonts w:ascii="Times New Roman" w:cs="Times New Roman" w:eastAsia="Times New Roman" w:hAnsi="Times New Roman"/>
                <w:sz w:val="19"/>
                <w:szCs w:val="19"/>
                <w:color w:val="auto"/>
              </w:rPr>
              <w:t>1,885</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ind w:left="200"/>
              <w:spacing w:after="0" w:line="216" w:lineRule="exact"/>
              <w:rPr>
                <w:sz w:val="20"/>
                <w:szCs w:val="20"/>
                <w:color w:val="auto"/>
              </w:rPr>
            </w:pPr>
            <w:r>
              <w:rPr>
                <w:rFonts w:ascii="Times New Roman" w:cs="Times New Roman" w:eastAsia="Times New Roman" w:hAnsi="Times New Roman"/>
                <w:sz w:val="19"/>
                <w:szCs w:val="19"/>
                <w:color w:val="auto"/>
              </w:rPr>
              <w:t>Restricted cash</w:t>
            </w:r>
          </w:p>
        </w:tc>
        <w:tc>
          <w:tcPr>
            <w:tcW w:w="120" w:type="dxa"/>
            <w:vAlign w:val="bottom"/>
          </w:tcPr>
          <w:p>
            <w:pPr>
              <w:spacing w:after="0"/>
              <w:rPr>
                <w:sz w:val="18"/>
                <w:szCs w:val="18"/>
                <w:color w:val="auto"/>
              </w:rPr>
            </w:pPr>
          </w:p>
        </w:tc>
        <w:tc>
          <w:tcPr>
            <w:tcW w:w="880" w:type="dxa"/>
            <w:vAlign w:val="bottom"/>
            <w:gridSpan w:val="2"/>
          </w:tcPr>
          <w:p>
            <w:pPr>
              <w:jc w:val="right"/>
              <w:ind w:right="260"/>
              <w:spacing w:after="0" w:line="216" w:lineRule="exact"/>
              <w:rPr>
                <w:sz w:val="20"/>
                <w:szCs w:val="20"/>
                <w:color w:val="auto"/>
              </w:rPr>
            </w:pPr>
            <w:r>
              <w:rPr>
                <w:rFonts w:ascii="Times New Roman" w:cs="Times New Roman" w:eastAsia="Times New Roman" w:hAnsi="Times New Roman"/>
                <w:sz w:val="19"/>
                <w:szCs w:val="19"/>
                <w:color w:val="auto"/>
              </w:rPr>
              <w:t>949</w:t>
            </w:r>
          </w:p>
        </w:tc>
        <w:tc>
          <w:tcPr>
            <w:tcW w:w="120" w:type="dxa"/>
            <w:vAlign w:val="bottom"/>
          </w:tcPr>
          <w:p>
            <w:pPr>
              <w:spacing w:after="0"/>
              <w:rPr>
                <w:sz w:val="18"/>
                <w:szCs w:val="18"/>
                <w:color w:val="auto"/>
              </w:rPr>
            </w:pPr>
          </w:p>
        </w:tc>
        <w:tc>
          <w:tcPr>
            <w:tcW w:w="64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970</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ind w:left="200"/>
              <w:spacing w:after="0" w:line="216" w:lineRule="exact"/>
              <w:rPr>
                <w:sz w:val="20"/>
                <w:szCs w:val="20"/>
                <w:color w:val="auto"/>
              </w:rPr>
            </w:pPr>
            <w:r>
              <w:rPr>
                <w:rFonts w:ascii="Times New Roman" w:cs="Times New Roman" w:eastAsia="Times New Roman" w:hAnsi="Times New Roman"/>
                <w:sz w:val="19"/>
                <w:szCs w:val="19"/>
                <w:color w:val="auto"/>
              </w:rPr>
              <w:t>Accounts receivable, net of allowances of $4,569 (2022) and $4,816 (2021)</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line="216" w:lineRule="exact"/>
              <w:rPr>
                <w:sz w:val="20"/>
                <w:szCs w:val="20"/>
                <w:color w:val="auto"/>
              </w:rPr>
            </w:pPr>
            <w:r>
              <w:rPr>
                <w:rFonts w:ascii="Times New Roman" w:cs="Times New Roman" w:eastAsia="Times New Roman" w:hAnsi="Times New Roman"/>
                <w:sz w:val="19"/>
                <w:szCs w:val="19"/>
                <w:color w:val="auto"/>
                <w:w w:val="97"/>
              </w:rPr>
              <w:t>103,153</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line="216" w:lineRule="exact"/>
              <w:rPr>
                <w:sz w:val="20"/>
                <w:szCs w:val="20"/>
                <w:color w:val="auto"/>
              </w:rPr>
            </w:pPr>
            <w:r>
              <w:rPr>
                <w:rFonts w:ascii="Times New Roman" w:cs="Times New Roman" w:eastAsia="Times New Roman" w:hAnsi="Times New Roman"/>
                <w:sz w:val="19"/>
                <w:szCs w:val="19"/>
                <w:color w:val="auto"/>
              </w:rPr>
              <w:t>78,866</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ind w:left="200"/>
              <w:spacing w:after="0" w:line="216" w:lineRule="exact"/>
              <w:rPr>
                <w:sz w:val="20"/>
                <w:szCs w:val="20"/>
                <w:color w:val="auto"/>
              </w:rPr>
            </w:pPr>
            <w:r>
              <w:rPr>
                <w:rFonts w:ascii="Times New Roman" w:cs="Times New Roman" w:eastAsia="Times New Roman" w:hAnsi="Times New Roman"/>
                <w:sz w:val="19"/>
                <w:szCs w:val="19"/>
                <w:color w:val="auto"/>
              </w:rPr>
              <w:t>Inventories</w:t>
            </w:r>
          </w:p>
        </w:tc>
        <w:tc>
          <w:tcPr>
            <w:tcW w:w="120" w:type="dxa"/>
            <w:vAlign w:val="bottom"/>
          </w:tcPr>
          <w:p>
            <w:pPr>
              <w:spacing w:after="0"/>
              <w:rPr>
                <w:sz w:val="18"/>
                <w:szCs w:val="18"/>
                <w:color w:val="auto"/>
              </w:rPr>
            </w:pPr>
          </w:p>
        </w:tc>
        <w:tc>
          <w:tcPr>
            <w:tcW w:w="880" w:type="dxa"/>
            <w:vAlign w:val="bottom"/>
            <w:gridSpan w:val="2"/>
          </w:tcPr>
          <w:p>
            <w:pPr>
              <w:jc w:val="right"/>
              <w:ind w:right="260"/>
              <w:spacing w:after="0" w:line="216" w:lineRule="exact"/>
              <w:rPr>
                <w:sz w:val="20"/>
                <w:szCs w:val="20"/>
                <w:color w:val="auto"/>
              </w:rPr>
            </w:pPr>
            <w:r>
              <w:rPr>
                <w:rFonts w:ascii="Times New Roman" w:cs="Times New Roman" w:eastAsia="Times New Roman" w:hAnsi="Times New Roman"/>
                <w:sz w:val="19"/>
                <w:szCs w:val="19"/>
                <w:color w:val="auto"/>
              </w:rPr>
              <w:t>53,617</w:t>
            </w:r>
          </w:p>
        </w:tc>
        <w:tc>
          <w:tcPr>
            <w:tcW w:w="120" w:type="dxa"/>
            <w:vAlign w:val="bottom"/>
          </w:tcPr>
          <w:p>
            <w:pPr>
              <w:spacing w:after="0"/>
              <w:rPr>
                <w:sz w:val="18"/>
                <w:szCs w:val="18"/>
                <w:color w:val="auto"/>
              </w:rPr>
            </w:pPr>
          </w:p>
        </w:tc>
        <w:tc>
          <w:tcPr>
            <w:tcW w:w="64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40,757</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ind w:left="200"/>
              <w:spacing w:after="0" w:line="216" w:lineRule="exact"/>
              <w:rPr>
                <w:sz w:val="20"/>
                <w:szCs w:val="20"/>
                <w:color w:val="auto"/>
              </w:rPr>
            </w:pPr>
            <w:r>
              <w:rPr>
                <w:rFonts w:ascii="Times New Roman" w:cs="Times New Roman" w:eastAsia="Times New Roman" w:hAnsi="Times New Roman"/>
                <w:sz w:val="19"/>
                <w:szCs w:val="19"/>
                <w:color w:val="auto"/>
              </w:rPr>
              <w:t>Prepaid expenses and other current assets</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line="216" w:lineRule="exact"/>
              <w:rPr>
                <w:sz w:val="20"/>
                <w:szCs w:val="20"/>
                <w:color w:val="auto"/>
              </w:rPr>
            </w:pPr>
            <w:r>
              <w:rPr>
                <w:rFonts w:ascii="Times New Roman" w:cs="Times New Roman" w:eastAsia="Times New Roman" w:hAnsi="Times New Roman"/>
                <w:sz w:val="19"/>
                <w:szCs w:val="19"/>
                <w:color w:val="auto"/>
              </w:rPr>
              <w:t>9,333</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line="216" w:lineRule="exact"/>
              <w:rPr>
                <w:sz w:val="20"/>
                <w:szCs w:val="20"/>
                <w:color w:val="auto"/>
              </w:rPr>
            </w:pPr>
            <w:r>
              <w:rPr>
                <w:rFonts w:ascii="Times New Roman" w:cs="Times New Roman" w:eastAsia="Times New Roman" w:hAnsi="Times New Roman"/>
                <w:sz w:val="19"/>
                <w:szCs w:val="19"/>
                <w:color w:val="auto"/>
              </w:rPr>
              <w:t>11,946</w:t>
            </w:r>
          </w:p>
        </w:tc>
        <w:tc>
          <w:tcPr>
            <w:tcW w:w="0" w:type="dxa"/>
            <w:vAlign w:val="bottom"/>
          </w:tcPr>
          <w:p>
            <w:pPr>
              <w:spacing w:after="0"/>
              <w:rPr>
                <w:sz w:val="1"/>
                <w:szCs w:val="1"/>
                <w:color w:val="auto"/>
              </w:rPr>
            </w:pPr>
          </w:p>
        </w:tc>
      </w:tr>
      <w:tr>
        <w:trPr>
          <w:trHeight w:val="216"/>
        </w:trPr>
        <w:tc>
          <w:tcPr>
            <w:tcW w:w="6560" w:type="dxa"/>
            <w:vAlign w:val="bottom"/>
          </w:tcPr>
          <w:p>
            <w:pPr>
              <w:ind w:left="200"/>
              <w:spacing w:after="0" w:line="216" w:lineRule="exact"/>
              <w:rPr>
                <w:sz w:val="20"/>
                <w:szCs w:val="20"/>
                <w:color w:val="auto"/>
              </w:rPr>
            </w:pPr>
            <w:r>
              <w:rPr>
                <w:rFonts w:ascii="Times New Roman" w:cs="Times New Roman" w:eastAsia="Times New Roman" w:hAnsi="Times New Roman"/>
                <w:sz w:val="19"/>
                <w:szCs w:val="19"/>
                <w:color w:val="auto"/>
              </w:rPr>
              <w:t>Advances to suppliers</w:t>
            </w:r>
          </w:p>
        </w:tc>
        <w:tc>
          <w:tcPr>
            <w:tcW w:w="120" w:type="dxa"/>
            <w:vAlign w:val="bottom"/>
          </w:tcPr>
          <w:p>
            <w:pPr>
              <w:spacing w:after="0"/>
              <w:rPr>
                <w:sz w:val="18"/>
                <w:szCs w:val="18"/>
                <w:color w:val="auto"/>
              </w:rPr>
            </w:pPr>
          </w:p>
        </w:tc>
        <w:tc>
          <w:tcPr>
            <w:tcW w:w="880" w:type="dxa"/>
            <w:vAlign w:val="bottom"/>
            <w:gridSpan w:val="2"/>
          </w:tcPr>
          <w:p>
            <w:pPr>
              <w:jc w:val="right"/>
              <w:ind w:right="260"/>
              <w:spacing w:after="0" w:line="216" w:lineRule="exact"/>
              <w:rPr>
                <w:sz w:val="20"/>
                <w:szCs w:val="20"/>
                <w:color w:val="auto"/>
              </w:rPr>
            </w:pPr>
            <w:r>
              <w:rPr>
                <w:rFonts w:ascii="Times New Roman" w:cs="Times New Roman" w:eastAsia="Times New Roman" w:hAnsi="Times New Roman"/>
                <w:sz w:val="19"/>
                <w:szCs w:val="19"/>
                <w:color w:val="auto"/>
              </w:rPr>
              <w:t>7,904</w:t>
            </w:r>
          </w:p>
        </w:tc>
        <w:tc>
          <w:tcPr>
            <w:tcW w:w="120" w:type="dxa"/>
            <w:vAlign w:val="bottom"/>
          </w:tcPr>
          <w:p>
            <w:pPr>
              <w:spacing w:after="0"/>
              <w:rPr>
                <w:sz w:val="18"/>
                <w:szCs w:val="18"/>
                <w:color w:val="auto"/>
              </w:rPr>
            </w:pPr>
          </w:p>
        </w:tc>
        <w:tc>
          <w:tcPr>
            <w:tcW w:w="64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6,693</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ind w:left="200"/>
              <w:spacing w:after="0" w:line="216" w:lineRule="exact"/>
              <w:rPr>
                <w:sz w:val="20"/>
                <w:szCs w:val="20"/>
                <w:color w:val="auto"/>
              </w:rPr>
            </w:pPr>
            <w:r>
              <w:rPr>
                <w:rFonts w:ascii="Times New Roman" w:cs="Times New Roman" w:eastAsia="Times New Roman" w:hAnsi="Times New Roman"/>
                <w:sz w:val="19"/>
                <w:szCs w:val="19"/>
                <w:color w:val="auto"/>
              </w:rPr>
              <w:t>Income taxes receivable</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line="216" w:lineRule="exact"/>
              <w:rPr>
                <w:sz w:val="20"/>
                <w:szCs w:val="20"/>
                <w:color w:val="auto"/>
              </w:rPr>
            </w:pPr>
            <w:r>
              <w:rPr>
                <w:rFonts w:ascii="Times New Roman" w:cs="Times New Roman" w:eastAsia="Times New Roman" w:hAnsi="Times New Roman"/>
                <w:sz w:val="19"/>
                <w:szCs w:val="19"/>
                <w:color w:val="auto"/>
              </w:rPr>
              <w:t>8,664</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line="216" w:lineRule="exact"/>
              <w:rPr>
                <w:sz w:val="20"/>
                <w:szCs w:val="20"/>
                <w:color w:val="auto"/>
              </w:rPr>
            </w:pPr>
            <w:r>
              <w:rPr>
                <w:rFonts w:ascii="Times New Roman" w:cs="Times New Roman" w:eastAsia="Times New Roman" w:hAnsi="Times New Roman"/>
                <w:sz w:val="19"/>
                <w:szCs w:val="19"/>
                <w:color w:val="auto"/>
              </w:rPr>
              <w:t>11,524</w:t>
            </w:r>
          </w:p>
        </w:tc>
        <w:tc>
          <w:tcPr>
            <w:tcW w:w="0" w:type="dxa"/>
            <w:vAlign w:val="bottom"/>
          </w:tcPr>
          <w:p>
            <w:pPr>
              <w:spacing w:after="0"/>
              <w:rPr>
                <w:sz w:val="1"/>
                <w:szCs w:val="1"/>
                <w:color w:val="auto"/>
              </w:rPr>
            </w:pPr>
          </w:p>
        </w:tc>
      </w:tr>
      <w:tr>
        <w:trPr>
          <w:trHeight w:val="209"/>
        </w:trPr>
        <w:tc>
          <w:tcPr>
            <w:tcW w:w="6560" w:type="dxa"/>
            <w:vAlign w:val="bottom"/>
          </w:tcPr>
          <w:p>
            <w:pPr>
              <w:ind w:left="320"/>
              <w:spacing w:after="0" w:line="210" w:lineRule="exact"/>
              <w:rPr>
                <w:sz w:val="20"/>
                <w:szCs w:val="20"/>
                <w:color w:val="auto"/>
              </w:rPr>
            </w:pPr>
            <w:r>
              <w:rPr>
                <w:rFonts w:ascii="Times New Roman" w:cs="Times New Roman" w:eastAsia="Times New Roman" w:hAnsi="Times New Roman"/>
                <w:sz w:val="19"/>
                <w:szCs w:val="19"/>
                <w:color w:val="auto"/>
              </w:rPr>
              <w:t>Total current assets</w:t>
            </w:r>
          </w:p>
        </w:tc>
        <w:tc>
          <w:tcPr>
            <w:tcW w:w="12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line="210" w:lineRule="exact"/>
              <w:rPr>
                <w:sz w:val="20"/>
                <w:szCs w:val="20"/>
                <w:color w:val="auto"/>
              </w:rPr>
            </w:pPr>
            <w:r>
              <w:rPr>
                <w:rFonts w:ascii="Times New Roman" w:cs="Times New Roman" w:eastAsia="Times New Roman" w:hAnsi="Times New Roman"/>
                <w:sz w:val="19"/>
                <w:szCs w:val="19"/>
                <w:color w:val="auto"/>
                <w:w w:val="97"/>
              </w:rPr>
              <w:t>185,937</w:t>
            </w:r>
          </w:p>
        </w:tc>
        <w:tc>
          <w:tcPr>
            <w:tcW w:w="2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line="210" w:lineRule="exact"/>
              <w:rPr>
                <w:sz w:val="20"/>
                <w:szCs w:val="20"/>
                <w:color w:val="auto"/>
              </w:rPr>
            </w:pPr>
            <w:r>
              <w:rPr>
                <w:rFonts w:ascii="Times New Roman" w:cs="Times New Roman" w:eastAsia="Times New Roman" w:hAnsi="Times New Roman"/>
                <w:sz w:val="19"/>
                <w:szCs w:val="19"/>
                <w:color w:val="auto"/>
              </w:rPr>
              <w:t>152,641</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9"/>
                <w:szCs w:val="19"/>
                <w:color w:val="auto"/>
              </w:rPr>
              <w:t>Property, plant, and equipment, net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line="216" w:lineRule="exact"/>
              <w:rPr>
                <w:sz w:val="20"/>
                <w:szCs w:val="20"/>
                <w:color w:val="auto"/>
              </w:rPr>
            </w:pPr>
            <w:r>
              <w:rPr>
                <w:rFonts w:ascii="Times New Roman" w:cs="Times New Roman" w:eastAsia="Times New Roman" w:hAnsi="Times New Roman"/>
                <w:sz w:val="19"/>
                <w:szCs w:val="19"/>
                <w:color w:val="auto"/>
                <w:w w:val="97"/>
              </w:rPr>
              <w:t>114,778</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line="216" w:lineRule="exact"/>
              <w:rPr>
                <w:sz w:val="20"/>
                <w:szCs w:val="20"/>
                <w:color w:val="auto"/>
              </w:rPr>
            </w:pPr>
            <w:r>
              <w:rPr>
                <w:rFonts w:ascii="Times New Roman" w:cs="Times New Roman" w:eastAsia="Times New Roman" w:hAnsi="Times New Roman"/>
                <w:sz w:val="19"/>
                <w:szCs w:val="19"/>
                <w:color w:val="auto"/>
              </w:rPr>
              <w:t>118,280</w:t>
            </w:r>
          </w:p>
        </w:tc>
        <w:tc>
          <w:tcPr>
            <w:tcW w:w="0" w:type="dxa"/>
            <w:vAlign w:val="bottom"/>
          </w:tcPr>
          <w:p>
            <w:pPr>
              <w:spacing w:after="0"/>
              <w:rPr>
                <w:sz w:val="1"/>
                <w:szCs w:val="1"/>
                <w:color w:val="auto"/>
              </w:rPr>
            </w:pPr>
          </w:p>
        </w:tc>
      </w:tr>
      <w:tr>
        <w:trPr>
          <w:trHeight w:val="216"/>
        </w:trPr>
        <w:tc>
          <w:tcPr>
            <w:tcW w:w="6560" w:type="dxa"/>
            <w:vAlign w:val="bottom"/>
          </w:tcPr>
          <w:p>
            <w:pPr>
              <w:spacing w:after="0" w:line="216" w:lineRule="exact"/>
              <w:rPr>
                <w:sz w:val="20"/>
                <w:szCs w:val="20"/>
                <w:color w:val="auto"/>
              </w:rPr>
            </w:pPr>
            <w:r>
              <w:rPr>
                <w:rFonts w:ascii="Times New Roman" w:cs="Times New Roman" w:eastAsia="Times New Roman" w:hAnsi="Times New Roman"/>
                <w:sz w:val="19"/>
                <w:szCs w:val="19"/>
                <w:color w:val="auto"/>
              </w:rPr>
              <w:t>Operating lease right-of-use assets</w:t>
            </w:r>
          </w:p>
        </w:tc>
        <w:tc>
          <w:tcPr>
            <w:tcW w:w="120" w:type="dxa"/>
            <w:vAlign w:val="bottom"/>
          </w:tcPr>
          <w:p>
            <w:pPr>
              <w:spacing w:after="0"/>
              <w:rPr>
                <w:sz w:val="18"/>
                <w:szCs w:val="18"/>
                <w:color w:val="auto"/>
              </w:rPr>
            </w:pPr>
          </w:p>
        </w:tc>
        <w:tc>
          <w:tcPr>
            <w:tcW w:w="880" w:type="dxa"/>
            <w:vAlign w:val="bottom"/>
            <w:gridSpan w:val="2"/>
          </w:tcPr>
          <w:p>
            <w:pPr>
              <w:jc w:val="right"/>
              <w:ind w:right="260"/>
              <w:spacing w:after="0" w:line="216" w:lineRule="exact"/>
              <w:rPr>
                <w:sz w:val="20"/>
                <w:szCs w:val="20"/>
                <w:color w:val="auto"/>
              </w:rPr>
            </w:pPr>
            <w:r>
              <w:rPr>
                <w:rFonts w:ascii="Times New Roman" w:cs="Times New Roman" w:eastAsia="Times New Roman" w:hAnsi="Times New Roman"/>
                <w:sz w:val="19"/>
                <w:szCs w:val="19"/>
                <w:color w:val="auto"/>
              </w:rPr>
              <w:t>57,042</w:t>
            </w:r>
          </w:p>
        </w:tc>
        <w:tc>
          <w:tcPr>
            <w:tcW w:w="120" w:type="dxa"/>
            <w:vAlign w:val="bottom"/>
          </w:tcPr>
          <w:p>
            <w:pPr>
              <w:spacing w:after="0"/>
              <w:rPr>
                <w:sz w:val="18"/>
                <w:szCs w:val="18"/>
                <w:color w:val="auto"/>
              </w:rPr>
            </w:pPr>
          </w:p>
        </w:tc>
        <w:tc>
          <w:tcPr>
            <w:tcW w:w="64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59,842</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9"/>
                <w:szCs w:val="19"/>
                <w:color w:val="auto"/>
              </w:rPr>
              <w:t>Investment in Limoneira Company</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line="216" w:lineRule="exact"/>
              <w:rPr>
                <w:sz w:val="20"/>
                <w:szCs w:val="20"/>
                <w:color w:val="auto"/>
              </w:rPr>
            </w:pPr>
            <w:r>
              <w:rPr>
                <w:rFonts w:ascii="Times New Roman" w:cs="Times New Roman" w:eastAsia="Times New Roman" w:hAnsi="Times New Roman"/>
                <w:sz w:val="19"/>
                <w:szCs w:val="19"/>
                <w:color w:val="auto"/>
              </w:rPr>
              <w:t>20,027</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line="216" w:lineRule="exact"/>
              <w:rPr>
                <w:sz w:val="20"/>
                <w:szCs w:val="20"/>
                <w:color w:val="auto"/>
              </w:rPr>
            </w:pPr>
            <w:r>
              <w:rPr>
                <w:rFonts w:ascii="Times New Roman" w:cs="Times New Roman" w:eastAsia="Times New Roman" w:hAnsi="Times New Roman"/>
                <w:sz w:val="19"/>
                <w:szCs w:val="19"/>
                <w:color w:val="auto"/>
              </w:rPr>
              <w:t>27,055</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spacing w:after="0" w:line="216" w:lineRule="exact"/>
              <w:rPr>
                <w:sz w:val="20"/>
                <w:szCs w:val="20"/>
                <w:color w:val="auto"/>
              </w:rPr>
            </w:pPr>
            <w:r>
              <w:rPr>
                <w:rFonts w:ascii="Times New Roman" w:cs="Times New Roman" w:eastAsia="Times New Roman" w:hAnsi="Times New Roman"/>
                <w:sz w:val="19"/>
                <w:szCs w:val="19"/>
                <w:color w:val="auto"/>
              </w:rPr>
              <w:t>Investments in unconsolidated entities</w:t>
            </w:r>
          </w:p>
        </w:tc>
        <w:tc>
          <w:tcPr>
            <w:tcW w:w="120" w:type="dxa"/>
            <w:vAlign w:val="bottom"/>
          </w:tcPr>
          <w:p>
            <w:pPr>
              <w:spacing w:after="0"/>
              <w:rPr>
                <w:sz w:val="18"/>
                <w:szCs w:val="18"/>
                <w:color w:val="auto"/>
              </w:rPr>
            </w:pPr>
          </w:p>
        </w:tc>
        <w:tc>
          <w:tcPr>
            <w:tcW w:w="880" w:type="dxa"/>
            <w:vAlign w:val="bottom"/>
            <w:gridSpan w:val="2"/>
          </w:tcPr>
          <w:p>
            <w:pPr>
              <w:jc w:val="right"/>
              <w:ind w:right="260"/>
              <w:spacing w:after="0" w:line="216" w:lineRule="exact"/>
              <w:rPr>
                <w:sz w:val="20"/>
                <w:szCs w:val="20"/>
                <w:color w:val="auto"/>
              </w:rPr>
            </w:pPr>
            <w:r>
              <w:rPr>
                <w:rFonts w:ascii="Times New Roman" w:cs="Times New Roman" w:eastAsia="Times New Roman" w:hAnsi="Times New Roman"/>
                <w:sz w:val="19"/>
                <w:szCs w:val="19"/>
                <w:color w:val="auto"/>
              </w:rPr>
              <w:t>3,802</w:t>
            </w:r>
          </w:p>
        </w:tc>
        <w:tc>
          <w:tcPr>
            <w:tcW w:w="120" w:type="dxa"/>
            <w:vAlign w:val="bottom"/>
          </w:tcPr>
          <w:p>
            <w:pPr>
              <w:spacing w:after="0"/>
              <w:rPr>
                <w:sz w:val="18"/>
                <w:szCs w:val="18"/>
                <w:color w:val="auto"/>
              </w:rPr>
            </w:pPr>
          </w:p>
        </w:tc>
        <w:tc>
          <w:tcPr>
            <w:tcW w:w="64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4,346</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9"/>
                <w:szCs w:val="19"/>
                <w:color w:val="auto"/>
              </w:rPr>
              <w:t>Deferred income taxes</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line="216" w:lineRule="exact"/>
              <w:rPr>
                <w:sz w:val="20"/>
                <w:szCs w:val="20"/>
                <w:color w:val="auto"/>
              </w:rPr>
            </w:pPr>
            <w:r>
              <w:rPr>
                <w:rFonts w:ascii="Times New Roman" w:cs="Times New Roman" w:eastAsia="Times New Roman" w:hAnsi="Times New Roman"/>
                <w:sz w:val="19"/>
                <w:szCs w:val="19"/>
                <w:color w:val="auto"/>
              </w:rPr>
              <w:t>5,316</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line="216" w:lineRule="exact"/>
              <w:rPr>
                <w:sz w:val="20"/>
                <w:szCs w:val="20"/>
                <w:color w:val="auto"/>
              </w:rPr>
            </w:pPr>
            <w:r>
              <w:rPr>
                <w:rFonts w:ascii="Times New Roman" w:cs="Times New Roman" w:eastAsia="Times New Roman" w:hAnsi="Times New Roman"/>
                <w:sz w:val="19"/>
                <w:szCs w:val="19"/>
                <w:color w:val="auto"/>
              </w:rPr>
              <w:t>5,316</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spacing w:after="0" w:line="216" w:lineRule="exact"/>
              <w:rPr>
                <w:sz w:val="20"/>
                <w:szCs w:val="20"/>
                <w:color w:val="auto"/>
              </w:rPr>
            </w:pPr>
            <w:r>
              <w:rPr>
                <w:rFonts w:ascii="Times New Roman" w:cs="Times New Roman" w:eastAsia="Times New Roman" w:hAnsi="Times New Roman"/>
                <w:sz w:val="19"/>
                <w:szCs w:val="19"/>
                <w:color w:val="auto"/>
              </w:rPr>
              <w:t>Goodwill</w:t>
            </w:r>
          </w:p>
        </w:tc>
        <w:tc>
          <w:tcPr>
            <w:tcW w:w="120" w:type="dxa"/>
            <w:vAlign w:val="bottom"/>
          </w:tcPr>
          <w:p>
            <w:pPr>
              <w:spacing w:after="0"/>
              <w:rPr>
                <w:sz w:val="18"/>
                <w:szCs w:val="18"/>
                <w:color w:val="auto"/>
              </w:rPr>
            </w:pPr>
          </w:p>
        </w:tc>
        <w:tc>
          <w:tcPr>
            <w:tcW w:w="880" w:type="dxa"/>
            <w:vAlign w:val="bottom"/>
            <w:gridSpan w:val="2"/>
          </w:tcPr>
          <w:p>
            <w:pPr>
              <w:jc w:val="right"/>
              <w:ind w:right="260"/>
              <w:spacing w:after="0" w:line="216" w:lineRule="exact"/>
              <w:rPr>
                <w:sz w:val="20"/>
                <w:szCs w:val="20"/>
                <w:color w:val="auto"/>
              </w:rPr>
            </w:pPr>
            <w:r>
              <w:rPr>
                <w:rFonts w:ascii="Times New Roman" w:cs="Times New Roman" w:eastAsia="Times New Roman" w:hAnsi="Times New Roman"/>
                <w:sz w:val="19"/>
                <w:szCs w:val="19"/>
                <w:color w:val="auto"/>
              </w:rPr>
              <w:t>28,653</w:t>
            </w:r>
          </w:p>
        </w:tc>
        <w:tc>
          <w:tcPr>
            <w:tcW w:w="120" w:type="dxa"/>
            <w:vAlign w:val="bottom"/>
          </w:tcPr>
          <w:p>
            <w:pPr>
              <w:spacing w:after="0"/>
              <w:rPr>
                <w:sz w:val="18"/>
                <w:szCs w:val="18"/>
                <w:color w:val="auto"/>
              </w:rPr>
            </w:pPr>
          </w:p>
        </w:tc>
        <w:tc>
          <w:tcPr>
            <w:tcW w:w="64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28,653</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9"/>
                <w:szCs w:val="19"/>
                <w:color w:val="auto"/>
              </w:rPr>
              <w:t>Intangibles, net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line="216" w:lineRule="exact"/>
              <w:rPr>
                <w:sz w:val="20"/>
                <w:szCs w:val="20"/>
                <w:color w:val="auto"/>
              </w:rPr>
            </w:pPr>
            <w:r>
              <w:rPr>
                <w:rFonts w:ascii="Times New Roman" w:cs="Times New Roman" w:eastAsia="Times New Roman" w:hAnsi="Times New Roman"/>
                <w:sz w:val="19"/>
                <w:szCs w:val="19"/>
                <w:color w:val="auto"/>
              </w:rPr>
              <w:t>7,992</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line="216" w:lineRule="exact"/>
              <w:rPr>
                <w:sz w:val="20"/>
                <w:szCs w:val="20"/>
                <w:color w:val="auto"/>
              </w:rPr>
            </w:pPr>
            <w:r>
              <w:rPr>
                <w:rFonts w:ascii="Times New Roman" w:cs="Times New Roman" w:eastAsia="Times New Roman" w:hAnsi="Times New Roman"/>
                <w:sz w:val="19"/>
                <w:szCs w:val="19"/>
                <w:color w:val="auto"/>
              </w:rPr>
              <w:t>8,769</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spacing w:after="0" w:line="216" w:lineRule="exact"/>
              <w:rPr>
                <w:sz w:val="20"/>
                <w:szCs w:val="20"/>
                <w:color w:val="auto"/>
              </w:rPr>
            </w:pPr>
            <w:r>
              <w:rPr>
                <w:rFonts w:ascii="Times New Roman" w:cs="Times New Roman" w:eastAsia="Times New Roman" w:hAnsi="Times New Roman"/>
                <w:sz w:val="19"/>
                <w:szCs w:val="19"/>
                <w:color w:val="auto"/>
              </w:rPr>
              <w:t>Other assets</w:t>
            </w:r>
          </w:p>
        </w:tc>
        <w:tc>
          <w:tcPr>
            <w:tcW w:w="120" w:type="dxa"/>
            <w:vAlign w:val="bottom"/>
          </w:tcPr>
          <w:p>
            <w:pPr>
              <w:spacing w:after="0"/>
              <w:rPr>
                <w:sz w:val="18"/>
                <w:szCs w:val="18"/>
                <w:color w:val="auto"/>
              </w:rPr>
            </w:pPr>
          </w:p>
        </w:tc>
        <w:tc>
          <w:tcPr>
            <w:tcW w:w="880" w:type="dxa"/>
            <w:vAlign w:val="bottom"/>
            <w:gridSpan w:val="2"/>
          </w:tcPr>
          <w:p>
            <w:pPr>
              <w:jc w:val="right"/>
              <w:ind w:right="260"/>
              <w:spacing w:after="0" w:line="216" w:lineRule="exact"/>
              <w:rPr>
                <w:sz w:val="20"/>
                <w:szCs w:val="20"/>
                <w:color w:val="auto"/>
              </w:rPr>
            </w:pPr>
            <w:r>
              <w:rPr>
                <w:rFonts w:ascii="Times New Roman" w:cs="Times New Roman" w:eastAsia="Times New Roman" w:hAnsi="Times New Roman"/>
                <w:sz w:val="19"/>
                <w:szCs w:val="19"/>
                <w:color w:val="auto"/>
              </w:rPr>
              <w:t>44,745</w:t>
            </w:r>
          </w:p>
        </w:tc>
        <w:tc>
          <w:tcPr>
            <w:tcW w:w="120" w:type="dxa"/>
            <w:vAlign w:val="bottom"/>
          </w:tcPr>
          <w:p>
            <w:pPr>
              <w:spacing w:after="0"/>
              <w:rPr>
                <w:sz w:val="18"/>
                <w:szCs w:val="18"/>
                <w:color w:val="auto"/>
              </w:rPr>
            </w:pPr>
          </w:p>
        </w:tc>
        <w:tc>
          <w:tcPr>
            <w:tcW w:w="64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40,500</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5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bottom w:val="single" w:sz="8" w:color="auto"/>
            </w:tcBorders>
            <w:shd w:val="clear" w:color="auto" w:fill="CCEEFF"/>
          </w:tcPr>
          <w:p>
            <w:pPr>
              <w:jc w:val="right"/>
              <w:spacing w:after="0" w:line="210" w:lineRule="exact"/>
              <w:rPr>
                <w:sz w:val="20"/>
                <w:szCs w:val="20"/>
                <w:color w:val="auto"/>
              </w:rPr>
            </w:pPr>
            <w:r>
              <w:rPr>
                <w:rFonts w:ascii="Times New Roman" w:cs="Times New Roman" w:eastAsia="Times New Roman" w:hAnsi="Times New Roman"/>
                <w:sz w:val="19"/>
                <w:szCs w:val="19"/>
                <w:color w:val="auto"/>
                <w:w w:val="97"/>
              </w:rPr>
              <w:t>468,292</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line="210" w:lineRule="exact"/>
              <w:rPr>
                <w:sz w:val="20"/>
                <w:szCs w:val="20"/>
                <w:color w:val="auto"/>
              </w:rPr>
            </w:pPr>
            <w:r>
              <w:rPr>
                <w:rFonts w:ascii="Times New Roman" w:cs="Times New Roman" w:eastAsia="Times New Roman" w:hAnsi="Times New Roman"/>
                <w:sz w:val="19"/>
                <w:szCs w:val="19"/>
                <w:color w:val="auto"/>
              </w:rPr>
              <w:t>$</w:t>
            </w:r>
          </w:p>
        </w:tc>
        <w:tc>
          <w:tcPr>
            <w:tcW w:w="640" w:type="dxa"/>
            <w:vAlign w:val="bottom"/>
            <w:tcBorders>
              <w:top w:val="single" w:sz="8" w:color="auto"/>
              <w:bottom w:val="single" w:sz="8" w:color="auto"/>
            </w:tcBorders>
            <w:shd w:val="clear" w:color="auto" w:fill="CCEEFF"/>
          </w:tcPr>
          <w:p>
            <w:pPr>
              <w:jc w:val="right"/>
              <w:spacing w:after="0" w:line="210" w:lineRule="exact"/>
              <w:rPr>
                <w:sz w:val="20"/>
                <w:szCs w:val="20"/>
                <w:color w:val="auto"/>
              </w:rPr>
            </w:pPr>
            <w:r>
              <w:rPr>
                <w:rFonts w:ascii="Times New Roman" w:cs="Times New Roman" w:eastAsia="Times New Roman" w:hAnsi="Times New Roman"/>
                <w:sz w:val="19"/>
                <w:szCs w:val="19"/>
                <w:color w:val="auto"/>
              </w:rPr>
              <w:t>445,402</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60" w:type="dxa"/>
            <w:vAlign w:val="bottom"/>
            <w:vMerge w:val="restart"/>
          </w:tcPr>
          <w:p>
            <w:pPr>
              <w:spacing w:after="0"/>
              <w:rPr>
                <w:sz w:val="20"/>
                <w:szCs w:val="20"/>
                <w:color w:val="auto"/>
              </w:rPr>
            </w:pPr>
            <w:r>
              <w:rPr>
                <w:rFonts w:ascii="Times New Roman" w:cs="Times New Roman" w:eastAsia="Times New Roman" w:hAnsi="Times New Roman"/>
                <w:sz w:val="19"/>
                <w:szCs w:val="19"/>
                <w:b w:val="1"/>
                <w:bCs w:val="1"/>
                <w:color w:val="auto"/>
              </w:rPr>
              <w:t>Liabilities and shareholders' equity</w:t>
            </w: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5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9"/>
                <w:szCs w:val="19"/>
                <w:color w:val="auto"/>
              </w:rPr>
              <w:t>Current liabilities:</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ind w:left="200"/>
              <w:spacing w:after="0" w:line="216" w:lineRule="exact"/>
              <w:rPr>
                <w:sz w:val="20"/>
                <w:szCs w:val="20"/>
                <w:color w:val="auto"/>
              </w:rPr>
            </w:pPr>
            <w:r>
              <w:rPr>
                <w:rFonts w:ascii="Times New Roman" w:cs="Times New Roman" w:eastAsia="Times New Roman" w:hAnsi="Times New Roman"/>
                <w:sz w:val="19"/>
                <w:szCs w:val="19"/>
                <w:color w:val="auto"/>
              </w:rPr>
              <w:t>Payable to growers</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tcPr>
          <w:p>
            <w:pPr>
              <w:jc w:val="right"/>
              <w:ind w:right="260"/>
              <w:spacing w:after="0" w:line="216" w:lineRule="exact"/>
              <w:rPr>
                <w:sz w:val="20"/>
                <w:szCs w:val="20"/>
                <w:color w:val="auto"/>
              </w:rPr>
            </w:pPr>
            <w:r>
              <w:rPr>
                <w:rFonts w:ascii="Times New Roman" w:cs="Times New Roman" w:eastAsia="Times New Roman" w:hAnsi="Times New Roman"/>
                <w:sz w:val="19"/>
                <w:szCs w:val="19"/>
                <w:color w:val="auto"/>
              </w:rPr>
              <w:t>52,105</w:t>
            </w:r>
          </w:p>
        </w:tc>
        <w:tc>
          <w:tcPr>
            <w:tcW w:w="120" w:type="dxa"/>
            <w:vAlign w:val="bottom"/>
          </w:tcPr>
          <w:p>
            <w:pPr>
              <w:spacing w:after="0" w:line="216" w:lineRule="exact"/>
              <w:rPr>
                <w:sz w:val="20"/>
                <w:szCs w:val="20"/>
                <w:color w:val="auto"/>
              </w:rPr>
            </w:pPr>
            <w:r>
              <w:rPr>
                <w:rFonts w:ascii="Times New Roman" w:cs="Times New Roman" w:eastAsia="Times New Roman" w:hAnsi="Times New Roman"/>
                <w:sz w:val="19"/>
                <w:szCs w:val="19"/>
                <w:color w:val="auto"/>
              </w:rPr>
              <w:t>$</w:t>
            </w:r>
          </w:p>
        </w:tc>
        <w:tc>
          <w:tcPr>
            <w:tcW w:w="64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23,033</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ind w:left="200"/>
              <w:spacing w:after="0" w:line="216" w:lineRule="exact"/>
              <w:rPr>
                <w:sz w:val="20"/>
                <w:szCs w:val="20"/>
                <w:color w:val="auto"/>
              </w:rPr>
            </w:pPr>
            <w:r>
              <w:rPr>
                <w:rFonts w:ascii="Times New Roman" w:cs="Times New Roman" w:eastAsia="Times New Roman" w:hAnsi="Times New Roman"/>
                <w:sz w:val="19"/>
                <w:szCs w:val="19"/>
                <w:color w:val="auto"/>
              </w:rPr>
              <w:t>Trade accounts payable</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line="216" w:lineRule="exact"/>
              <w:rPr>
                <w:sz w:val="20"/>
                <w:szCs w:val="20"/>
                <w:color w:val="auto"/>
              </w:rPr>
            </w:pPr>
            <w:r>
              <w:rPr>
                <w:rFonts w:ascii="Times New Roman" w:cs="Times New Roman" w:eastAsia="Times New Roman" w:hAnsi="Times New Roman"/>
                <w:sz w:val="19"/>
                <w:szCs w:val="19"/>
                <w:color w:val="auto"/>
              </w:rPr>
              <w:t>18,639</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line="216" w:lineRule="exact"/>
              <w:rPr>
                <w:sz w:val="20"/>
                <w:szCs w:val="20"/>
                <w:color w:val="auto"/>
              </w:rPr>
            </w:pPr>
            <w:r>
              <w:rPr>
                <w:rFonts w:ascii="Times New Roman" w:cs="Times New Roman" w:eastAsia="Times New Roman" w:hAnsi="Times New Roman"/>
                <w:sz w:val="19"/>
                <w:szCs w:val="19"/>
                <w:color w:val="auto"/>
              </w:rPr>
              <w:t>9,794</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ind w:left="200"/>
              <w:spacing w:after="0" w:line="216" w:lineRule="exact"/>
              <w:rPr>
                <w:sz w:val="20"/>
                <w:szCs w:val="20"/>
                <w:color w:val="auto"/>
              </w:rPr>
            </w:pPr>
            <w:r>
              <w:rPr>
                <w:rFonts w:ascii="Times New Roman" w:cs="Times New Roman" w:eastAsia="Times New Roman" w:hAnsi="Times New Roman"/>
                <w:sz w:val="19"/>
                <w:szCs w:val="19"/>
                <w:color w:val="auto"/>
              </w:rPr>
              <w:t>Accrued expenses</w:t>
            </w:r>
          </w:p>
        </w:tc>
        <w:tc>
          <w:tcPr>
            <w:tcW w:w="120" w:type="dxa"/>
            <w:vAlign w:val="bottom"/>
          </w:tcPr>
          <w:p>
            <w:pPr>
              <w:spacing w:after="0"/>
              <w:rPr>
                <w:sz w:val="18"/>
                <w:szCs w:val="18"/>
                <w:color w:val="auto"/>
              </w:rPr>
            </w:pPr>
          </w:p>
        </w:tc>
        <w:tc>
          <w:tcPr>
            <w:tcW w:w="880" w:type="dxa"/>
            <w:vAlign w:val="bottom"/>
            <w:gridSpan w:val="2"/>
          </w:tcPr>
          <w:p>
            <w:pPr>
              <w:jc w:val="right"/>
              <w:ind w:right="260"/>
              <w:spacing w:after="0" w:line="216" w:lineRule="exact"/>
              <w:rPr>
                <w:sz w:val="20"/>
                <w:szCs w:val="20"/>
                <w:color w:val="auto"/>
              </w:rPr>
            </w:pPr>
            <w:r>
              <w:rPr>
                <w:rFonts w:ascii="Times New Roman" w:cs="Times New Roman" w:eastAsia="Times New Roman" w:hAnsi="Times New Roman"/>
                <w:sz w:val="19"/>
                <w:szCs w:val="19"/>
                <w:color w:val="auto"/>
              </w:rPr>
              <w:t>50,086</w:t>
            </w:r>
          </w:p>
        </w:tc>
        <w:tc>
          <w:tcPr>
            <w:tcW w:w="120" w:type="dxa"/>
            <w:vAlign w:val="bottom"/>
          </w:tcPr>
          <w:p>
            <w:pPr>
              <w:spacing w:after="0"/>
              <w:rPr>
                <w:sz w:val="18"/>
                <w:szCs w:val="18"/>
                <w:color w:val="auto"/>
              </w:rPr>
            </w:pPr>
          </w:p>
        </w:tc>
        <w:tc>
          <w:tcPr>
            <w:tcW w:w="64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42,063</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ind w:left="200"/>
              <w:spacing w:after="0" w:line="216" w:lineRule="exact"/>
              <w:rPr>
                <w:sz w:val="20"/>
                <w:szCs w:val="20"/>
                <w:color w:val="auto"/>
              </w:rPr>
            </w:pPr>
            <w:r>
              <w:rPr>
                <w:rFonts w:ascii="Times New Roman" w:cs="Times New Roman" w:eastAsia="Times New Roman" w:hAnsi="Times New Roman"/>
                <w:sz w:val="19"/>
                <w:szCs w:val="19"/>
                <w:color w:val="auto"/>
              </w:rPr>
              <w:t>Dividend payable</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line="216" w:lineRule="exact"/>
              <w:rPr>
                <w:sz w:val="20"/>
                <w:szCs w:val="20"/>
                <w:color w:val="auto"/>
              </w:rPr>
            </w:pPr>
            <w:r>
              <w:rPr>
                <w:rFonts w:ascii="Times New Roman" w:cs="Times New Roman" w:eastAsia="Times New Roman" w:hAnsi="Times New Roman"/>
                <w:sz w:val="19"/>
                <w:szCs w:val="19"/>
                <w:color w:val="auto"/>
              </w:rPr>
              <w:t>—</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line="216" w:lineRule="exact"/>
              <w:rPr>
                <w:sz w:val="20"/>
                <w:szCs w:val="20"/>
                <w:color w:val="auto"/>
              </w:rPr>
            </w:pPr>
            <w:r>
              <w:rPr>
                <w:rFonts w:ascii="Times New Roman" w:cs="Times New Roman" w:eastAsia="Times New Roman" w:hAnsi="Times New Roman"/>
                <w:sz w:val="19"/>
                <w:szCs w:val="19"/>
                <w:color w:val="auto"/>
              </w:rPr>
              <w:t>20,330</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ind w:left="200"/>
              <w:spacing w:after="0" w:line="216" w:lineRule="exact"/>
              <w:rPr>
                <w:sz w:val="20"/>
                <w:szCs w:val="20"/>
                <w:color w:val="auto"/>
              </w:rPr>
            </w:pPr>
            <w:r>
              <w:rPr>
                <w:rFonts w:ascii="Times New Roman" w:cs="Times New Roman" w:eastAsia="Times New Roman" w:hAnsi="Times New Roman"/>
                <w:sz w:val="19"/>
                <w:szCs w:val="19"/>
                <w:color w:val="auto"/>
              </w:rPr>
              <w:t>Other current liabilities</w:t>
            </w:r>
          </w:p>
        </w:tc>
        <w:tc>
          <w:tcPr>
            <w:tcW w:w="120" w:type="dxa"/>
            <w:vAlign w:val="bottom"/>
          </w:tcPr>
          <w:p>
            <w:pPr>
              <w:spacing w:after="0"/>
              <w:rPr>
                <w:sz w:val="18"/>
                <w:szCs w:val="18"/>
                <w:color w:val="auto"/>
              </w:rPr>
            </w:pPr>
          </w:p>
        </w:tc>
        <w:tc>
          <w:tcPr>
            <w:tcW w:w="880" w:type="dxa"/>
            <w:vAlign w:val="bottom"/>
            <w:gridSpan w:val="2"/>
          </w:tcPr>
          <w:p>
            <w:pPr>
              <w:jc w:val="right"/>
              <w:ind w:right="260"/>
              <w:spacing w:after="0" w:line="216" w:lineRule="exact"/>
              <w:rPr>
                <w:sz w:val="20"/>
                <w:szCs w:val="20"/>
                <w:color w:val="auto"/>
              </w:rPr>
            </w:pPr>
            <w:r>
              <w:rPr>
                <w:rFonts w:ascii="Times New Roman" w:cs="Times New Roman" w:eastAsia="Times New Roman" w:hAnsi="Times New Roman"/>
                <w:sz w:val="19"/>
                <w:szCs w:val="19"/>
                <w:color w:val="auto"/>
              </w:rPr>
              <w:t>11,000</w:t>
            </w:r>
          </w:p>
        </w:tc>
        <w:tc>
          <w:tcPr>
            <w:tcW w:w="120" w:type="dxa"/>
            <w:vAlign w:val="bottom"/>
          </w:tcPr>
          <w:p>
            <w:pPr>
              <w:spacing w:after="0"/>
              <w:rPr>
                <w:sz w:val="18"/>
                <w:szCs w:val="18"/>
                <w:color w:val="auto"/>
              </w:rPr>
            </w:pPr>
          </w:p>
        </w:tc>
        <w:tc>
          <w:tcPr>
            <w:tcW w:w="900" w:type="dxa"/>
            <w:vAlign w:val="bottom"/>
            <w:gridSpan w:val="2"/>
          </w:tcPr>
          <w:p>
            <w:pPr>
              <w:jc w:val="right"/>
              <w:ind w:right="260"/>
              <w:spacing w:after="0" w:line="216" w:lineRule="exact"/>
              <w:rPr>
                <w:sz w:val="20"/>
                <w:szCs w:val="20"/>
                <w:color w:val="auto"/>
              </w:rPr>
            </w:pPr>
            <w:r>
              <w:rPr>
                <w:rFonts w:ascii="Times New Roman" w:cs="Times New Roman" w:eastAsia="Times New Roman" w:hAnsi="Times New Roman"/>
                <w:sz w:val="19"/>
                <w:szCs w:val="19"/>
                <w:color w:val="auto"/>
              </w:rPr>
              <w:t>11,000</w:t>
            </w: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ind w:left="200"/>
              <w:spacing w:after="0" w:line="216" w:lineRule="exact"/>
              <w:rPr>
                <w:sz w:val="20"/>
                <w:szCs w:val="20"/>
                <w:color w:val="auto"/>
              </w:rPr>
            </w:pPr>
            <w:r>
              <w:rPr>
                <w:rFonts w:ascii="Times New Roman" w:cs="Times New Roman" w:eastAsia="Times New Roman" w:hAnsi="Times New Roman"/>
                <w:sz w:val="19"/>
                <w:szCs w:val="19"/>
                <w:color w:val="auto"/>
              </w:rPr>
              <w:t>Current portion of operating leases</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line="216" w:lineRule="exact"/>
              <w:rPr>
                <w:sz w:val="20"/>
                <w:szCs w:val="20"/>
                <w:color w:val="auto"/>
              </w:rPr>
            </w:pPr>
            <w:r>
              <w:rPr>
                <w:rFonts w:ascii="Times New Roman" w:cs="Times New Roman" w:eastAsia="Times New Roman" w:hAnsi="Times New Roman"/>
                <w:sz w:val="19"/>
                <w:szCs w:val="19"/>
                <w:color w:val="auto"/>
              </w:rPr>
              <w:t>6,879</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line="216" w:lineRule="exact"/>
              <w:rPr>
                <w:sz w:val="20"/>
                <w:szCs w:val="20"/>
                <w:color w:val="auto"/>
              </w:rPr>
            </w:pPr>
            <w:r>
              <w:rPr>
                <w:rFonts w:ascii="Times New Roman" w:cs="Times New Roman" w:eastAsia="Times New Roman" w:hAnsi="Times New Roman"/>
                <w:sz w:val="19"/>
                <w:szCs w:val="19"/>
                <w:color w:val="auto"/>
              </w:rPr>
              <w:t>6,817</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ind w:left="200"/>
              <w:spacing w:after="0" w:line="216" w:lineRule="exact"/>
              <w:rPr>
                <w:sz w:val="20"/>
                <w:szCs w:val="20"/>
                <w:color w:val="auto"/>
              </w:rPr>
            </w:pPr>
            <w:r>
              <w:rPr>
                <w:rFonts w:ascii="Times New Roman" w:cs="Times New Roman" w:eastAsia="Times New Roman" w:hAnsi="Times New Roman"/>
                <w:sz w:val="19"/>
                <w:szCs w:val="19"/>
                <w:color w:val="auto"/>
              </w:rPr>
              <w:t>Current portion of long-term obligations and finance leases</w:t>
            </w:r>
          </w:p>
        </w:tc>
        <w:tc>
          <w:tcPr>
            <w:tcW w:w="120" w:type="dxa"/>
            <w:vAlign w:val="bottom"/>
          </w:tcPr>
          <w:p>
            <w:pPr>
              <w:spacing w:after="0"/>
              <w:rPr>
                <w:sz w:val="18"/>
                <w:szCs w:val="18"/>
                <w:color w:val="auto"/>
              </w:rPr>
            </w:pPr>
          </w:p>
        </w:tc>
        <w:tc>
          <w:tcPr>
            <w:tcW w:w="880" w:type="dxa"/>
            <w:vAlign w:val="bottom"/>
            <w:gridSpan w:val="2"/>
          </w:tcPr>
          <w:p>
            <w:pPr>
              <w:jc w:val="right"/>
              <w:ind w:right="260"/>
              <w:spacing w:after="0" w:line="216" w:lineRule="exact"/>
              <w:rPr>
                <w:sz w:val="20"/>
                <w:szCs w:val="20"/>
                <w:color w:val="auto"/>
              </w:rPr>
            </w:pPr>
            <w:r>
              <w:rPr>
                <w:rFonts w:ascii="Times New Roman" w:cs="Times New Roman" w:eastAsia="Times New Roman" w:hAnsi="Times New Roman"/>
                <w:sz w:val="19"/>
                <w:szCs w:val="19"/>
                <w:color w:val="auto"/>
              </w:rPr>
              <w:t>1,539</w:t>
            </w:r>
          </w:p>
        </w:tc>
        <w:tc>
          <w:tcPr>
            <w:tcW w:w="120" w:type="dxa"/>
            <w:vAlign w:val="bottom"/>
          </w:tcPr>
          <w:p>
            <w:pPr>
              <w:spacing w:after="0"/>
              <w:rPr>
                <w:sz w:val="18"/>
                <w:szCs w:val="18"/>
                <w:color w:val="auto"/>
              </w:rPr>
            </w:pPr>
          </w:p>
        </w:tc>
        <w:tc>
          <w:tcPr>
            <w:tcW w:w="64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1,587</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60" w:type="dxa"/>
            <w:vAlign w:val="bottom"/>
            <w:tcBorders>
              <w:top w:val="single" w:sz="8" w:color="CCEEFF"/>
            </w:tcBorders>
            <w:shd w:val="clear" w:color="auto" w:fill="CCEEFF"/>
          </w:tcPr>
          <w:p>
            <w:pPr>
              <w:ind w:left="320"/>
              <w:spacing w:after="0" w:line="210" w:lineRule="exact"/>
              <w:rPr>
                <w:sz w:val="20"/>
                <w:szCs w:val="20"/>
                <w:color w:val="auto"/>
              </w:rPr>
            </w:pPr>
            <w:r>
              <w:rPr>
                <w:rFonts w:ascii="Times New Roman" w:cs="Times New Roman" w:eastAsia="Times New Roman" w:hAnsi="Times New Roman"/>
                <w:sz w:val="19"/>
                <w:szCs w:val="19"/>
                <w:color w:val="auto"/>
              </w:rPr>
              <w:t>Total current liabilities</w:t>
            </w:r>
          </w:p>
        </w:tc>
        <w:tc>
          <w:tcPr>
            <w:tcW w:w="12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line="210" w:lineRule="exact"/>
              <w:rPr>
                <w:sz w:val="20"/>
                <w:szCs w:val="20"/>
                <w:color w:val="auto"/>
              </w:rPr>
            </w:pPr>
            <w:r>
              <w:rPr>
                <w:rFonts w:ascii="Times New Roman" w:cs="Times New Roman" w:eastAsia="Times New Roman" w:hAnsi="Times New Roman"/>
                <w:sz w:val="19"/>
                <w:szCs w:val="19"/>
                <w:color w:val="auto"/>
                <w:w w:val="97"/>
              </w:rPr>
              <w:t>140,248</w:t>
            </w: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line="210" w:lineRule="exact"/>
              <w:rPr>
                <w:sz w:val="20"/>
                <w:szCs w:val="20"/>
                <w:color w:val="auto"/>
              </w:rPr>
            </w:pPr>
            <w:r>
              <w:rPr>
                <w:rFonts w:ascii="Times New Roman" w:cs="Times New Roman" w:eastAsia="Times New Roman" w:hAnsi="Times New Roman"/>
                <w:sz w:val="19"/>
                <w:szCs w:val="19"/>
                <w:color w:val="auto"/>
              </w:rPr>
              <w:t>114,624</w:t>
            </w:r>
          </w:p>
        </w:tc>
        <w:tc>
          <w:tcPr>
            <w:tcW w:w="2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spacing w:after="0" w:line="216" w:lineRule="exact"/>
              <w:rPr>
                <w:sz w:val="20"/>
                <w:szCs w:val="20"/>
                <w:color w:val="auto"/>
              </w:rPr>
            </w:pPr>
            <w:r>
              <w:rPr>
                <w:rFonts w:ascii="Times New Roman" w:cs="Times New Roman" w:eastAsia="Times New Roman" w:hAnsi="Times New Roman"/>
                <w:sz w:val="19"/>
                <w:szCs w:val="19"/>
                <w:color w:val="auto"/>
              </w:rPr>
              <w:t>Long-term liabilities:</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ind w:left="200"/>
              <w:spacing w:after="0" w:line="216" w:lineRule="exact"/>
              <w:rPr>
                <w:sz w:val="20"/>
                <w:szCs w:val="20"/>
                <w:color w:val="auto"/>
              </w:rPr>
            </w:pPr>
            <w:r>
              <w:rPr>
                <w:rFonts w:ascii="Times New Roman" w:cs="Times New Roman" w:eastAsia="Times New Roman" w:hAnsi="Times New Roman"/>
                <w:sz w:val="19"/>
                <w:szCs w:val="19"/>
                <w:color w:val="auto"/>
              </w:rPr>
              <w:t>Borrowings pursuant to credit facilities, long-term</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line="216" w:lineRule="exact"/>
              <w:rPr>
                <w:sz w:val="20"/>
                <w:szCs w:val="20"/>
                <w:color w:val="auto"/>
              </w:rPr>
            </w:pPr>
            <w:r>
              <w:rPr>
                <w:rFonts w:ascii="Times New Roman" w:cs="Times New Roman" w:eastAsia="Times New Roman" w:hAnsi="Times New Roman"/>
                <w:sz w:val="19"/>
                <w:szCs w:val="19"/>
                <w:color w:val="auto"/>
              </w:rPr>
              <w:t>41,900</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line="216" w:lineRule="exact"/>
              <w:rPr>
                <w:sz w:val="20"/>
                <w:szCs w:val="20"/>
                <w:color w:val="auto"/>
              </w:rPr>
            </w:pPr>
            <w:r>
              <w:rPr>
                <w:rFonts w:ascii="Times New Roman" w:cs="Times New Roman" w:eastAsia="Times New Roman" w:hAnsi="Times New Roman"/>
                <w:sz w:val="19"/>
                <w:szCs w:val="19"/>
                <w:color w:val="auto"/>
              </w:rPr>
              <w:t>37,700</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ind w:left="200"/>
              <w:spacing w:after="0" w:line="216" w:lineRule="exact"/>
              <w:rPr>
                <w:sz w:val="20"/>
                <w:szCs w:val="20"/>
                <w:color w:val="auto"/>
              </w:rPr>
            </w:pPr>
            <w:r>
              <w:rPr>
                <w:rFonts w:ascii="Times New Roman" w:cs="Times New Roman" w:eastAsia="Times New Roman" w:hAnsi="Times New Roman"/>
                <w:sz w:val="19"/>
                <w:szCs w:val="19"/>
                <w:color w:val="auto"/>
              </w:rPr>
              <w:t>Long-term operating leases, less current portion</w:t>
            </w:r>
          </w:p>
        </w:tc>
        <w:tc>
          <w:tcPr>
            <w:tcW w:w="120" w:type="dxa"/>
            <w:vAlign w:val="bottom"/>
          </w:tcPr>
          <w:p>
            <w:pPr>
              <w:spacing w:after="0"/>
              <w:rPr>
                <w:sz w:val="18"/>
                <w:szCs w:val="18"/>
                <w:color w:val="auto"/>
              </w:rPr>
            </w:pPr>
          </w:p>
        </w:tc>
        <w:tc>
          <w:tcPr>
            <w:tcW w:w="880" w:type="dxa"/>
            <w:vAlign w:val="bottom"/>
            <w:gridSpan w:val="2"/>
          </w:tcPr>
          <w:p>
            <w:pPr>
              <w:jc w:val="right"/>
              <w:ind w:right="260"/>
              <w:spacing w:after="0" w:line="216" w:lineRule="exact"/>
              <w:rPr>
                <w:sz w:val="20"/>
                <w:szCs w:val="20"/>
                <w:color w:val="auto"/>
              </w:rPr>
            </w:pPr>
            <w:r>
              <w:rPr>
                <w:rFonts w:ascii="Times New Roman" w:cs="Times New Roman" w:eastAsia="Times New Roman" w:hAnsi="Times New Roman"/>
                <w:sz w:val="19"/>
                <w:szCs w:val="19"/>
                <w:color w:val="auto"/>
              </w:rPr>
              <w:t>54,760</w:t>
            </w:r>
          </w:p>
        </w:tc>
        <w:tc>
          <w:tcPr>
            <w:tcW w:w="120" w:type="dxa"/>
            <w:vAlign w:val="bottom"/>
          </w:tcPr>
          <w:p>
            <w:pPr>
              <w:spacing w:after="0"/>
              <w:rPr>
                <w:sz w:val="18"/>
                <w:szCs w:val="18"/>
                <w:color w:val="auto"/>
              </w:rPr>
            </w:pPr>
          </w:p>
        </w:tc>
        <w:tc>
          <w:tcPr>
            <w:tcW w:w="64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57,561</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ind w:left="200"/>
              <w:spacing w:after="0" w:line="216" w:lineRule="exact"/>
              <w:rPr>
                <w:sz w:val="20"/>
                <w:szCs w:val="20"/>
                <w:color w:val="auto"/>
              </w:rPr>
            </w:pPr>
            <w:r>
              <w:rPr>
                <w:rFonts w:ascii="Times New Roman" w:cs="Times New Roman" w:eastAsia="Times New Roman" w:hAnsi="Times New Roman"/>
                <w:sz w:val="19"/>
                <w:szCs w:val="19"/>
                <w:color w:val="auto"/>
              </w:rPr>
              <w:t>Long-term obligations and finance leases, less current portion</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line="216" w:lineRule="exact"/>
              <w:rPr>
                <w:sz w:val="20"/>
                <w:szCs w:val="20"/>
                <w:color w:val="auto"/>
              </w:rPr>
            </w:pPr>
            <w:r>
              <w:rPr>
                <w:rFonts w:ascii="Times New Roman" w:cs="Times New Roman" w:eastAsia="Times New Roman" w:hAnsi="Times New Roman"/>
                <w:sz w:val="19"/>
                <w:szCs w:val="19"/>
                <w:color w:val="auto"/>
              </w:rPr>
              <w:t>4,647</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line="216" w:lineRule="exact"/>
              <w:rPr>
                <w:sz w:val="20"/>
                <w:szCs w:val="20"/>
                <w:color w:val="auto"/>
              </w:rPr>
            </w:pPr>
            <w:r>
              <w:rPr>
                <w:rFonts w:ascii="Times New Roman" w:cs="Times New Roman" w:eastAsia="Times New Roman" w:hAnsi="Times New Roman"/>
                <w:sz w:val="19"/>
                <w:szCs w:val="19"/>
                <w:color w:val="auto"/>
              </w:rPr>
              <w:t>5,553</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ind w:left="200"/>
              <w:spacing w:after="0" w:line="216" w:lineRule="exact"/>
              <w:rPr>
                <w:sz w:val="20"/>
                <w:szCs w:val="20"/>
                <w:color w:val="auto"/>
              </w:rPr>
            </w:pPr>
            <w:r>
              <w:rPr>
                <w:rFonts w:ascii="Times New Roman" w:cs="Times New Roman" w:eastAsia="Times New Roman" w:hAnsi="Times New Roman"/>
                <w:sz w:val="19"/>
                <w:szCs w:val="19"/>
                <w:color w:val="auto"/>
              </w:rPr>
              <w:t>Other long-term liabilities</w:t>
            </w:r>
          </w:p>
        </w:tc>
        <w:tc>
          <w:tcPr>
            <w:tcW w:w="120" w:type="dxa"/>
            <w:vAlign w:val="bottom"/>
          </w:tcPr>
          <w:p>
            <w:pPr>
              <w:spacing w:after="0"/>
              <w:rPr>
                <w:sz w:val="18"/>
                <w:szCs w:val="18"/>
                <w:color w:val="auto"/>
              </w:rPr>
            </w:pPr>
          </w:p>
        </w:tc>
        <w:tc>
          <w:tcPr>
            <w:tcW w:w="880" w:type="dxa"/>
            <w:vAlign w:val="bottom"/>
            <w:gridSpan w:val="2"/>
          </w:tcPr>
          <w:p>
            <w:pPr>
              <w:jc w:val="right"/>
              <w:ind w:right="260"/>
              <w:spacing w:after="0" w:line="216" w:lineRule="exact"/>
              <w:rPr>
                <w:sz w:val="20"/>
                <w:szCs w:val="20"/>
                <w:color w:val="auto"/>
              </w:rPr>
            </w:pPr>
            <w:r>
              <w:rPr>
                <w:rFonts w:ascii="Times New Roman" w:cs="Times New Roman" w:eastAsia="Times New Roman" w:hAnsi="Times New Roman"/>
                <w:sz w:val="19"/>
                <w:szCs w:val="19"/>
                <w:color w:val="auto"/>
              </w:rPr>
              <w:t>2,970</w:t>
            </w:r>
          </w:p>
        </w:tc>
        <w:tc>
          <w:tcPr>
            <w:tcW w:w="120" w:type="dxa"/>
            <w:vAlign w:val="bottom"/>
          </w:tcPr>
          <w:p>
            <w:pPr>
              <w:spacing w:after="0"/>
              <w:rPr>
                <w:sz w:val="18"/>
                <w:szCs w:val="18"/>
                <w:color w:val="auto"/>
              </w:rPr>
            </w:pPr>
          </w:p>
        </w:tc>
        <w:tc>
          <w:tcPr>
            <w:tcW w:w="64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3,081</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60" w:type="dxa"/>
            <w:vAlign w:val="bottom"/>
            <w:tcBorders>
              <w:top w:val="single" w:sz="8" w:color="CCEEFF"/>
            </w:tcBorders>
            <w:shd w:val="clear" w:color="auto" w:fill="CCEEFF"/>
          </w:tcPr>
          <w:p>
            <w:pPr>
              <w:ind w:left="320"/>
              <w:spacing w:after="0" w:line="210" w:lineRule="exact"/>
              <w:rPr>
                <w:sz w:val="20"/>
                <w:szCs w:val="20"/>
                <w:color w:val="auto"/>
              </w:rPr>
            </w:pPr>
            <w:r>
              <w:rPr>
                <w:rFonts w:ascii="Times New Roman" w:cs="Times New Roman" w:eastAsia="Times New Roman" w:hAnsi="Times New Roman"/>
                <w:sz w:val="19"/>
                <w:szCs w:val="19"/>
                <w:color w:val="auto"/>
              </w:rPr>
              <w:t>Total long-term liabilities</w:t>
            </w:r>
          </w:p>
        </w:tc>
        <w:tc>
          <w:tcPr>
            <w:tcW w:w="12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line="210" w:lineRule="exact"/>
              <w:rPr>
                <w:sz w:val="20"/>
                <w:szCs w:val="20"/>
                <w:color w:val="auto"/>
              </w:rPr>
            </w:pPr>
            <w:r>
              <w:rPr>
                <w:rFonts w:ascii="Times New Roman" w:cs="Times New Roman" w:eastAsia="Times New Roman" w:hAnsi="Times New Roman"/>
                <w:sz w:val="19"/>
                <w:szCs w:val="19"/>
                <w:color w:val="auto"/>
                <w:w w:val="97"/>
              </w:rPr>
              <w:t>104,277</w:t>
            </w: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line="210" w:lineRule="exact"/>
              <w:rPr>
                <w:sz w:val="20"/>
                <w:szCs w:val="20"/>
                <w:color w:val="auto"/>
              </w:rPr>
            </w:pPr>
            <w:r>
              <w:rPr>
                <w:rFonts w:ascii="Times New Roman" w:cs="Times New Roman" w:eastAsia="Times New Roman" w:hAnsi="Times New Roman"/>
                <w:sz w:val="19"/>
                <w:szCs w:val="19"/>
                <w:color w:val="auto"/>
              </w:rPr>
              <w:t>103,895</w:t>
            </w:r>
          </w:p>
        </w:tc>
        <w:tc>
          <w:tcPr>
            <w:tcW w:w="2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spacing w:after="0" w:line="216" w:lineRule="exact"/>
              <w:rPr>
                <w:sz w:val="20"/>
                <w:szCs w:val="20"/>
                <w:color w:val="auto"/>
              </w:rPr>
            </w:pPr>
            <w:r>
              <w:rPr>
                <w:rFonts w:ascii="Times New Roman" w:cs="Times New Roman" w:eastAsia="Times New Roman" w:hAnsi="Times New Roman"/>
                <w:sz w:val="19"/>
                <w:szCs w:val="19"/>
                <w:color w:val="auto"/>
              </w:rPr>
              <w:t>Commitments and contingencies</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9"/>
                <w:szCs w:val="19"/>
                <w:color w:val="auto"/>
              </w:rPr>
              <w:t>Shareholders' equity:</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6560" w:type="dxa"/>
            <w:vAlign w:val="bottom"/>
          </w:tcPr>
          <w:p>
            <w:pPr>
              <w:ind w:left="200"/>
              <w:spacing w:after="0" w:line="190" w:lineRule="exact"/>
              <w:rPr>
                <w:sz w:val="20"/>
                <w:szCs w:val="20"/>
                <w:color w:val="auto"/>
              </w:rPr>
            </w:pPr>
            <w:r>
              <w:rPr>
                <w:rFonts w:ascii="Times New Roman" w:cs="Times New Roman" w:eastAsia="Times New Roman" w:hAnsi="Times New Roman"/>
                <w:sz w:val="19"/>
                <w:szCs w:val="19"/>
                <w:color w:val="auto"/>
              </w:rPr>
              <w:t>Common stock ($0.001 par value, 100,000 shares authorized; 17,742 and</w:t>
            </w: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560" w:type="dxa"/>
            <w:vAlign w:val="bottom"/>
          </w:tcPr>
          <w:p>
            <w:pPr>
              <w:ind w:left="200"/>
              <w:spacing w:after="0" w:line="216" w:lineRule="exact"/>
              <w:rPr>
                <w:sz w:val="20"/>
                <w:szCs w:val="20"/>
                <w:color w:val="auto"/>
              </w:rPr>
            </w:pPr>
            <w:r>
              <w:rPr>
                <w:rFonts w:ascii="Times New Roman" w:cs="Times New Roman" w:eastAsia="Times New Roman" w:hAnsi="Times New Roman"/>
                <w:sz w:val="19"/>
                <w:szCs w:val="19"/>
                <w:color w:val="auto"/>
              </w:rPr>
              <w:t>17,686 shares issued and outstanding as of April 30, 2022 and October 31,</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6560" w:type="dxa"/>
            <w:vAlign w:val="bottom"/>
          </w:tcPr>
          <w:p>
            <w:pPr>
              <w:ind w:left="200"/>
              <w:spacing w:after="0"/>
              <w:rPr>
                <w:sz w:val="20"/>
                <w:szCs w:val="20"/>
                <w:color w:val="auto"/>
              </w:rPr>
            </w:pPr>
            <w:r>
              <w:rPr>
                <w:rFonts w:ascii="Times New Roman" w:cs="Times New Roman" w:eastAsia="Times New Roman" w:hAnsi="Times New Roman"/>
                <w:sz w:val="19"/>
                <w:szCs w:val="19"/>
                <w:color w:val="auto"/>
              </w:rPr>
              <w:t>2021, respectively)</w:t>
            </w:r>
          </w:p>
        </w:tc>
        <w:tc>
          <w:tcPr>
            <w:tcW w:w="120" w:type="dxa"/>
            <w:vAlign w:val="bottom"/>
          </w:tcPr>
          <w:p>
            <w:pPr>
              <w:spacing w:after="0"/>
              <w:rPr>
                <w:sz w:val="21"/>
                <w:szCs w:val="21"/>
                <w:color w:val="auto"/>
              </w:rPr>
            </w:pP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9"/>
                <w:szCs w:val="19"/>
                <w:color w:val="auto"/>
              </w:rPr>
              <w:t>18</w:t>
            </w:r>
          </w:p>
        </w:tc>
        <w:tc>
          <w:tcPr>
            <w:tcW w:w="12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18</w:t>
            </w:r>
          </w:p>
        </w:tc>
        <w:tc>
          <w:tcPr>
            <w:tcW w:w="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ind w:left="200"/>
              <w:spacing w:after="0" w:line="216" w:lineRule="exact"/>
              <w:rPr>
                <w:sz w:val="20"/>
                <w:szCs w:val="20"/>
                <w:color w:val="auto"/>
              </w:rPr>
            </w:pPr>
            <w:r>
              <w:rPr>
                <w:rFonts w:ascii="Times New Roman" w:cs="Times New Roman" w:eastAsia="Times New Roman" w:hAnsi="Times New Roman"/>
                <w:sz w:val="19"/>
                <w:szCs w:val="19"/>
                <w:color w:val="auto"/>
              </w:rPr>
              <w:t>Additional paid-in capital</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line="216" w:lineRule="exact"/>
              <w:rPr>
                <w:sz w:val="20"/>
                <w:szCs w:val="20"/>
                <w:color w:val="auto"/>
              </w:rPr>
            </w:pPr>
            <w:r>
              <w:rPr>
                <w:rFonts w:ascii="Times New Roman" w:cs="Times New Roman" w:eastAsia="Times New Roman" w:hAnsi="Times New Roman"/>
                <w:sz w:val="19"/>
                <w:szCs w:val="19"/>
                <w:color w:val="auto"/>
                <w:w w:val="97"/>
              </w:rPr>
              <w:t>169,453</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line="216" w:lineRule="exact"/>
              <w:rPr>
                <w:sz w:val="20"/>
                <w:szCs w:val="20"/>
                <w:color w:val="auto"/>
              </w:rPr>
            </w:pPr>
            <w:r>
              <w:rPr>
                <w:rFonts w:ascii="Times New Roman" w:cs="Times New Roman" w:eastAsia="Times New Roman" w:hAnsi="Times New Roman"/>
                <w:sz w:val="19"/>
                <w:szCs w:val="19"/>
                <w:color w:val="auto"/>
              </w:rPr>
              <w:t>168,133</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ind w:left="200"/>
              <w:spacing w:after="0" w:line="216" w:lineRule="exact"/>
              <w:rPr>
                <w:sz w:val="20"/>
                <w:szCs w:val="20"/>
                <w:color w:val="auto"/>
              </w:rPr>
            </w:pPr>
            <w:r>
              <w:rPr>
                <w:rFonts w:ascii="Times New Roman" w:cs="Times New Roman" w:eastAsia="Times New Roman" w:hAnsi="Times New Roman"/>
                <w:sz w:val="19"/>
                <w:szCs w:val="19"/>
                <w:color w:val="auto"/>
              </w:rPr>
              <w:t>Noncontrolling interest</w:t>
            </w:r>
          </w:p>
        </w:tc>
        <w:tc>
          <w:tcPr>
            <w:tcW w:w="120" w:type="dxa"/>
            <w:vAlign w:val="bottom"/>
          </w:tcPr>
          <w:p>
            <w:pPr>
              <w:spacing w:after="0"/>
              <w:rPr>
                <w:sz w:val="18"/>
                <w:szCs w:val="18"/>
                <w:color w:val="auto"/>
              </w:rPr>
            </w:pPr>
          </w:p>
        </w:tc>
        <w:tc>
          <w:tcPr>
            <w:tcW w:w="880" w:type="dxa"/>
            <w:vAlign w:val="bottom"/>
            <w:gridSpan w:val="2"/>
          </w:tcPr>
          <w:p>
            <w:pPr>
              <w:jc w:val="right"/>
              <w:ind w:right="260"/>
              <w:spacing w:after="0" w:line="216" w:lineRule="exact"/>
              <w:rPr>
                <w:sz w:val="20"/>
                <w:szCs w:val="20"/>
                <w:color w:val="auto"/>
              </w:rPr>
            </w:pPr>
            <w:r>
              <w:rPr>
                <w:rFonts w:ascii="Times New Roman" w:cs="Times New Roman" w:eastAsia="Times New Roman" w:hAnsi="Times New Roman"/>
                <w:sz w:val="19"/>
                <w:szCs w:val="19"/>
                <w:color w:val="auto"/>
              </w:rPr>
              <w:t>1,166</w:t>
            </w:r>
          </w:p>
        </w:tc>
        <w:tc>
          <w:tcPr>
            <w:tcW w:w="120" w:type="dxa"/>
            <w:vAlign w:val="bottom"/>
          </w:tcPr>
          <w:p>
            <w:pPr>
              <w:spacing w:after="0"/>
              <w:rPr>
                <w:sz w:val="18"/>
                <w:szCs w:val="18"/>
                <w:color w:val="auto"/>
              </w:rPr>
            </w:pPr>
          </w:p>
        </w:tc>
        <w:tc>
          <w:tcPr>
            <w:tcW w:w="64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1,368</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ind w:left="200"/>
              <w:spacing w:after="0" w:line="216" w:lineRule="exact"/>
              <w:rPr>
                <w:sz w:val="20"/>
                <w:szCs w:val="20"/>
                <w:color w:val="auto"/>
              </w:rPr>
            </w:pPr>
            <w:r>
              <w:rPr>
                <w:rFonts w:ascii="Times New Roman" w:cs="Times New Roman" w:eastAsia="Times New Roman" w:hAnsi="Times New Roman"/>
                <w:sz w:val="19"/>
                <w:szCs w:val="19"/>
                <w:color w:val="auto"/>
              </w:rPr>
              <w:t>Retained earnings</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line="216" w:lineRule="exact"/>
              <w:rPr>
                <w:sz w:val="20"/>
                <w:szCs w:val="20"/>
                <w:color w:val="auto"/>
              </w:rPr>
            </w:pPr>
            <w:r>
              <w:rPr>
                <w:rFonts w:ascii="Times New Roman" w:cs="Times New Roman" w:eastAsia="Times New Roman" w:hAnsi="Times New Roman"/>
                <w:sz w:val="19"/>
                <w:szCs w:val="19"/>
                <w:color w:val="auto"/>
              </w:rPr>
              <w:t>53,130</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line="216" w:lineRule="exact"/>
              <w:rPr>
                <w:sz w:val="20"/>
                <w:szCs w:val="20"/>
                <w:color w:val="auto"/>
              </w:rPr>
            </w:pPr>
            <w:r>
              <w:rPr>
                <w:rFonts w:ascii="Times New Roman" w:cs="Times New Roman" w:eastAsia="Times New Roman" w:hAnsi="Times New Roman"/>
                <w:sz w:val="19"/>
                <w:szCs w:val="19"/>
                <w:color w:val="auto"/>
              </w:rPr>
              <w:t>57,364</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60" w:type="dxa"/>
            <w:vAlign w:val="bottom"/>
            <w:tcBorders>
              <w:bottom w:val="single" w:sz="8" w:color="CCEEFF"/>
            </w:tcBorders>
          </w:tcPr>
          <w:p>
            <w:pPr>
              <w:ind w:left="320"/>
              <w:spacing w:after="0" w:line="210" w:lineRule="exact"/>
              <w:rPr>
                <w:sz w:val="20"/>
                <w:szCs w:val="20"/>
                <w:color w:val="auto"/>
              </w:rPr>
            </w:pPr>
            <w:r>
              <w:rPr>
                <w:rFonts w:ascii="Times New Roman" w:cs="Times New Roman" w:eastAsia="Times New Roman" w:hAnsi="Times New Roman"/>
                <w:sz w:val="19"/>
                <w:szCs w:val="19"/>
                <w:color w:val="auto"/>
              </w:rPr>
              <w:t>Total shareholders' equity</w:t>
            </w:r>
          </w:p>
        </w:tc>
        <w:tc>
          <w:tcPr>
            <w:tcW w:w="12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line="210" w:lineRule="exact"/>
              <w:rPr>
                <w:sz w:val="20"/>
                <w:szCs w:val="20"/>
                <w:color w:val="auto"/>
              </w:rPr>
            </w:pPr>
            <w:r>
              <w:rPr>
                <w:rFonts w:ascii="Times New Roman" w:cs="Times New Roman" w:eastAsia="Times New Roman" w:hAnsi="Times New Roman"/>
                <w:sz w:val="19"/>
                <w:szCs w:val="19"/>
                <w:color w:val="auto"/>
                <w:w w:val="97"/>
              </w:rPr>
              <w:t>223,767</w:t>
            </w:r>
          </w:p>
        </w:tc>
        <w:tc>
          <w:tcPr>
            <w:tcW w:w="2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line="210" w:lineRule="exact"/>
              <w:rPr>
                <w:sz w:val="20"/>
                <w:szCs w:val="20"/>
                <w:color w:val="auto"/>
              </w:rPr>
            </w:pPr>
            <w:r>
              <w:rPr>
                <w:rFonts w:ascii="Times New Roman" w:cs="Times New Roman" w:eastAsia="Times New Roman" w:hAnsi="Times New Roman"/>
                <w:sz w:val="19"/>
                <w:szCs w:val="19"/>
                <w:color w:val="auto"/>
              </w:rPr>
              <w:t>226,883</w:t>
            </w:r>
          </w:p>
        </w:tc>
        <w:tc>
          <w:tcPr>
            <w:tcW w:w="2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5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auto"/>
            </w:tcBorders>
            <w:shd w:val="clear" w:color="auto" w:fill="CCEEFF"/>
          </w:tcPr>
          <w:p>
            <w:pPr>
              <w:jc w:val="right"/>
              <w:spacing w:after="0" w:line="210" w:lineRule="exact"/>
              <w:rPr>
                <w:sz w:val="20"/>
                <w:szCs w:val="20"/>
                <w:color w:val="auto"/>
              </w:rPr>
            </w:pPr>
            <w:r>
              <w:rPr>
                <w:rFonts w:ascii="Times New Roman" w:cs="Times New Roman" w:eastAsia="Times New Roman" w:hAnsi="Times New Roman"/>
                <w:sz w:val="19"/>
                <w:szCs w:val="19"/>
                <w:color w:val="auto"/>
                <w:w w:val="97"/>
              </w:rPr>
              <w:t>468,292</w:t>
            </w:r>
          </w:p>
        </w:tc>
        <w:tc>
          <w:tcPr>
            <w:tcW w:w="2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line="210" w:lineRule="exact"/>
              <w:rPr>
                <w:sz w:val="20"/>
                <w:szCs w:val="20"/>
                <w:color w:val="auto"/>
              </w:rPr>
            </w:pPr>
            <w:r>
              <w:rPr>
                <w:rFonts w:ascii="Times New Roman" w:cs="Times New Roman" w:eastAsia="Times New Roman" w:hAnsi="Times New Roman"/>
                <w:sz w:val="19"/>
                <w:szCs w:val="19"/>
                <w:color w:val="auto"/>
              </w:rPr>
              <w:t>$</w:t>
            </w:r>
          </w:p>
        </w:tc>
        <w:tc>
          <w:tcPr>
            <w:tcW w:w="640" w:type="dxa"/>
            <w:vAlign w:val="bottom"/>
            <w:tcBorders>
              <w:bottom w:val="single" w:sz="8" w:color="auto"/>
            </w:tcBorders>
            <w:shd w:val="clear" w:color="auto" w:fill="CCEEFF"/>
          </w:tcPr>
          <w:p>
            <w:pPr>
              <w:jc w:val="right"/>
              <w:spacing w:after="0" w:line="210" w:lineRule="exact"/>
              <w:rPr>
                <w:sz w:val="20"/>
                <w:szCs w:val="20"/>
                <w:color w:val="auto"/>
              </w:rPr>
            </w:pPr>
            <w:r>
              <w:rPr>
                <w:rFonts w:ascii="Times New Roman" w:cs="Times New Roman" w:eastAsia="Times New Roman" w:hAnsi="Times New Roman"/>
                <w:sz w:val="19"/>
                <w:szCs w:val="19"/>
                <w:color w:val="auto"/>
              </w:rPr>
              <w:t>445,402</w:t>
            </w:r>
          </w:p>
        </w:tc>
        <w:tc>
          <w:tcPr>
            <w:tcW w:w="2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3"/>
        </w:trPr>
        <w:tc>
          <w:tcPr>
            <w:tcW w:w="65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659" w:right="1440" w:bottom="1440" w:gutter="0" w:footer="0" w:header="0"/>
        </w:sectPr>
      </w:pPr>
    </w:p>
    <w:bookmarkStart w:id="11" w:name="page12"/>
    <w:bookmarkEnd w:id="11"/>
    <w:p>
      <w:pPr>
        <w:ind w:left="200"/>
        <w:spacing w:after="0"/>
        <w:rPr>
          <w:sz w:val="20"/>
          <w:szCs w:val="20"/>
          <w:color w:val="auto"/>
        </w:rPr>
      </w:pPr>
      <w:r>
        <w:rPr>
          <w:rFonts w:ascii="Times New Roman" w:cs="Times New Roman" w:eastAsia="Times New Roman" w:hAnsi="Times New Roman"/>
          <w:sz w:val="18"/>
          <w:szCs w:val="18"/>
          <w:i w:val="1"/>
          <w:iCs w:val="1"/>
          <w:color w:val="auto"/>
        </w:rPr>
        <w:t>Calavo Growers, Inc.</w:t>
      </w:r>
    </w:p>
    <w:p>
      <w:pPr>
        <w:spacing w:after="0" w:line="2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 xml:space="preserve">Page </w:t>
      </w:r>
      <w:r>
        <w:rPr>
          <w:rFonts w:ascii="Times New Roman" w:cs="Times New Roman" w:eastAsia="Times New Roman" w:hAnsi="Times New Roman"/>
          <w:sz w:val="18"/>
          <w:szCs w:val="18"/>
          <w:b w:val="1"/>
          <w:bCs w:val="1"/>
          <w:i w:val="1"/>
          <w:iCs w:val="1"/>
          <w:color w:val="auto"/>
        </w:rPr>
        <w:t>9</w:t>
      </w:r>
      <w:r>
        <w:rPr>
          <w:rFonts w:ascii="Times New Roman" w:cs="Times New Roman" w:eastAsia="Times New Roman" w:hAnsi="Times New Roman"/>
          <w:sz w:val="18"/>
          <w:szCs w:val="18"/>
          <w:i w:val="1"/>
          <w:iCs w:val="1"/>
          <w:color w:val="auto"/>
        </w:rPr>
        <w:t xml:space="preserve"> of </w:t>
      </w:r>
      <w:r>
        <w:rPr>
          <w:rFonts w:ascii="Times New Roman" w:cs="Times New Roman" w:eastAsia="Times New Roman" w:hAnsi="Times New Roman"/>
          <w:sz w:val="18"/>
          <w:szCs w:val="18"/>
          <w:b w:val="1"/>
          <w:bCs w:val="1"/>
          <w:i w:val="1"/>
          <w:iCs w:val="1"/>
          <w:color w:val="auto"/>
        </w:rPr>
        <w:t>14</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CALAVO GROWERS, INC.</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CONSOLIDATED CONDENSED STATEMENTS OF OPERATIONS (UNAUDITED)</w:t>
      </w: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4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900" w:type="dxa"/>
            <w:vAlign w:val="bottom"/>
            <w:gridSpan w:val="6"/>
          </w:tcPr>
          <w:p>
            <w:pPr>
              <w:ind w:left="1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3"/>
                <w:szCs w:val="13"/>
                <w:color w:val="auto"/>
              </w:rPr>
            </w:pPr>
          </w:p>
        </w:tc>
        <w:tc>
          <w:tcPr>
            <w:tcW w:w="1700" w:type="dxa"/>
            <w:vAlign w:val="bottom"/>
            <w:gridSpan w:val="6"/>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73"/>
        </w:trPr>
        <w:tc>
          <w:tcPr>
            <w:tcW w:w="47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April 30,</w:t>
            </w:r>
          </w:p>
        </w:tc>
        <w:tc>
          <w:tcPr>
            <w:tcW w:w="66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April 30,</w:t>
            </w:r>
          </w:p>
        </w:tc>
        <w:tc>
          <w:tcPr>
            <w:tcW w:w="64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142"/>
        </w:trPr>
        <w:tc>
          <w:tcPr>
            <w:tcW w:w="47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64"/>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62"/>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84"/>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62"/>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Pr>
          <w:p>
            <w:pPr>
              <w:spacing w:after="0"/>
              <w:rPr>
                <w:sz w:val="12"/>
                <w:szCs w:val="12"/>
                <w:color w:val="auto"/>
              </w:rPr>
            </w:pPr>
          </w:p>
        </w:tc>
      </w:tr>
      <w:tr>
        <w:trPr>
          <w:trHeight w:val="142"/>
        </w:trPr>
        <w:tc>
          <w:tcPr>
            <w:tcW w:w="4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29"/>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Net sales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20"/>
                <w:szCs w:val="20"/>
                <w:color w:val="auto"/>
              </w:rPr>
              <w:t>331,418</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20"/>
                <w:szCs w:val="20"/>
                <w:color w:val="auto"/>
                <w:w w:val="98"/>
              </w:rPr>
              <w:t>276,821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20"/>
                <w:szCs w:val="20"/>
                <w:color w:val="auto"/>
              </w:rPr>
              <w:t>605,510</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20"/>
                <w:szCs w:val="20"/>
                <w:color w:val="auto"/>
                <w:w w:val="95"/>
              </w:rPr>
              <w:t>497,399</w:t>
            </w:r>
          </w:p>
        </w:tc>
      </w:tr>
      <w:tr>
        <w:trPr>
          <w:trHeight w:val="229"/>
        </w:trPr>
        <w:tc>
          <w:tcPr>
            <w:tcW w:w="4720" w:type="dxa"/>
            <w:vAlign w:val="bottom"/>
          </w:tcPr>
          <w:p>
            <w:pPr>
              <w:spacing w:after="0"/>
              <w:rPr>
                <w:sz w:val="20"/>
                <w:szCs w:val="20"/>
                <w:color w:val="auto"/>
              </w:rPr>
            </w:pPr>
            <w:r>
              <w:rPr>
                <w:rFonts w:ascii="Times New Roman" w:cs="Times New Roman" w:eastAsia="Times New Roman" w:hAnsi="Times New Roman"/>
                <w:sz w:val="20"/>
                <w:szCs w:val="20"/>
                <w:color w:val="auto"/>
              </w:rPr>
              <w:t>Cost of sales</w:t>
            </w:r>
          </w:p>
        </w:tc>
        <w:tc>
          <w:tcPr>
            <w:tcW w:w="12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309,677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w w:val="98"/>
              </w:rPr>
              <w:t>254,221</w:t>
            </w:r>
          </w:p>
        </w:tc>
        <w:tc>
          <w:tcPr>
            <w:tcW w:w="14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570,541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w w:val="95"/>
              </w:rPr>
              <w:t>456,960</w:t>
            </w:r>
          </w:p>
        </w:tc>
      </w:tr>
      <w:tr>
        <w:trPr>
          <w:trHeight w:val="223"/>
        </w:trPr>
        <w:tc>
          <w:tcPr>
            <w:tcW w:w="4720" w:type="dxa"/>
            <w:vAlign w:val="bottom"/>
            <w:tcBorders>
              <w:top w:val="single" w:sz="8" w:color="CCEEFF"/>
            </w:tcBorders>
            <w:shd w:val="clear" w:color="auto" w:fill="CCEEFF"/>
          </w:tcPr>
          <w:p>
            <w:pPr>
              <w:spacing w:after="0" w:line="223" w:lineRule="exact"/>
              <w:rPr>
                <w:sz w:val="20"/>
                <w:szCs w:val="20"/>
                <w:color w:val="auto"/>
              </w:rPr>
            </w:pPr>
            <w:r>
              <w:rPr>
                <w:rFonts w:ascii="Times New Roman" w:cs="Times New Roman" w:eastAsia="Times New Roman" w:hAnsi="Times New Roman"/>
                <w:sz w:val="20"/>
                <w:szCs w:val="20"/>
                <w:color w:val="auto"/>
              </w:rPr>
              <w:t>Gross profit</w:t>
            </w:r>
          </w:p>
        </w:tc>
        <w:tc>
          <w:tcPr>
            <w:tcW w:w="12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spacing w:after="0" w:line="223" w:lineRule="exact"/>
              <w:rPr>
                <w:sz w:val="20"/>
                <w:szCs w:val="20"/>
                <w:color w:val="auto"/>
              </w:rPr>
            </w:pPr>
            <w:r>
              <w:rPr>
                <w:rFonts w:ascii="Times New Roman" w:cs="Times New Roman" w:eastAsia="Times New Roman" w:hAnsi="Times New Roman"/>
                <w:sz w:val="20"/>
                <w:szCs w:val="20"/>
                <w:color w:val="auto"/>
              </w:rPr>
              <w:t>21,741</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jc w:val="right"/>
              <w:spacing w:after="0" w:line="223" w:lineRule="exact"/>
              <w:rPr>
                <w:sz w:val="20"/>
                <w:szCs w:val="20"/>
                <w:color w:val="auto"/>
              </w:rPr>
            </w:pPr>
            <w:r>
              <w:rPr>
                <w:rFonts w:ascii="Times New Roman" w:cs="Times New Roman" w:eastAsia="Times New Roman" w:hAnsi="Times New Roman"/>
                <w:sz w:val="20"/>
                <w:szCs w:val="20"/>
                <w:color w:val="auto"/>
              </w:rPr>
              <w:t>22,600</w:t>
            </w:r>
          </w:p>
        </w:tc>
        <w:tc>
          <w:tcPr>
            <w:tcW w:w="2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spacing w:after="0" w:line="223" w:lineRule="exact"/>
              <w:rPr>
                <w:sz w:val="20"/>
                <w:szCs w:val="20"/>
                <w:color w:val="auto"/>
              </w:rPr>
            </w:pPr>
            <w:r>
              <w:rPr>
                <w:rFonts w:ascii="Times New Roman" w:cs="Times New Roman" w:eastAsia="Times New Roman" w:hAnsi="Times New Roman"/>
                <w:sz w:val="20"/>
                <w:szCs w:val="20"/>
                <w:color w:val="auto"/>
              </w:rPr>
              <w:t>34,969</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jc w:val="right"/>
              <w:spacing w:after="0" w:line="223" w:lineRule="exact"/>
              <w:rPr>
                <w:sz w:val="20"/>
                <w:szCs w:val="20"/>
                <w:color w:val="auto"/>
              </w:rPr>
            </w:pPr>
            <w:r>
              <w:rPr>
                <w:rFonts w:ascii="Times New Roman" w:cs="Times New Roman" w:eastAsia="Times New Roman" w:hAnsi="Times New Roman"/>
                <w:sz w:val="20"/>
                <w:szCs w:val="20"/>
                <w:color w:val="auto"/>
              </w:rPr>
              <w:t>40,439</w:t>
            </w:r>
          </w:p>
        </w:tc>
        <w:tc>
          <w:tcPr>
            <w:tcW w:w="20" w:type="dxa"/>
            <w:vAlign w:val="bottom"/>
            <w:tcBorders>
              <w:top w:val="single" w:sz="8" w:color="CCEEFF"/>
            </w:tcBorders>
            <w:shd w:val="clear" w:color="auto" w:fill="CCEEFF"/>
          </w:tcPr>
          <w:p>
            <w:pPr>
              <w:spacing w:after="0"/>
              <w:rPr>
                <w:sz w:val="19"/>
                <w:szCs w:val="19"/>
                <w:color w:val="auto"/>
              </w:rPr>
            </w:pPr>
          </w:p>
        </w:tc>
      </w:tr>
      <w:tr>
        <w:trPr>
          <w:trHeight w:val="229"/>
        </w:trPr>
        <w:tc>
          <w:tcPr>
            <w:tcW w:w="4720" w:type="dxa"/>
            <w:vAlign w:val="bottom"/>
          </w:tcPr>
          <w:p>
            <w:pPr>
              <w:spacing w:after="0"/>
              <w:rPr>
                <w:sz w:val="20"/>
                <w:szCs w:val="20"/>
                <w:color w:val="auto"/>
              </w:rPr>
            </w:pPr>
            <w:r>
              <w:rPr>
                <w:rFonts w:ascii="Times New Roman" w:cs="Times New Roman" w:eastAsia="Times New Roman" w:hAnsi="Times New Roman"/>
                <w:sz w:val="20"/>
                <w:szCs w:val="20"/>
                <w:color w:val="auto"/>
              </w:rPr>
              <w:t>Selling, general and administrative</w:t>
            </w:r>
          </w:p>
        </w:tc>
        <w:tc>
          <w:tcPr>
            <w:tcW w:w="12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16,605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13,683</w:t>
            </w:r>
          </w:p>
        </w:tc>
        <w:tc>
          <w:tcPr>
            <w:tcW w:w="14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31,853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27,857</w:t>
            </w:r>
          </w:p>
        </w:tc>
      </w:tr>
      <w:tr>
        <w:trPr>
          <w:trHeight w:val="230"/>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Expenses related to Mexican tax matters</w:t>
            </w:r>
          </w:p>
        </w:tc>
        <w:tc>
          <w:tcPr>
            <w:tcW w:w="1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20"/>
                <w:szCs w:val="20"/>
                <w:color w:val="auto"/>
              </w:rPr>
              <w:t>478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20"/>
                <w:szCs w:val="20"/>
                <w:color w:val="auto"/>
              </w:rPr>
              <w:t>845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r>
      <w:tr>
        <w:trPr>
          <w:trHeight w:val="207"/>
        </w:trPr>
        <w:tc>
          <w:tcPr>
            <w:tcW w:w="4720" w:type="dxa"/>
            <w:vAlign w:val="bottom"/>
          </w:tcPr>
          <w:p>
            <w:pPr>
              <w:spacing w:after="0" w:line="207" w:lineRule="exact"/>
              <w:rPr>
                <w:sz w:val="20"/>
                <w:szCs w:val="20"/>
                <w:color w:val="auto"/>
              </w:rPr>
            </w:pPr>
            <w:r>
              <w:rPr>
                <w:rFonts w:ascii="Times New Roman" w:cs="Times New Roman" w:eastAsia="Times New Roman" w:hAnsi="Times New Roman"/>
                <w:sz w:val="20"/>
                <w:szCs w:val="20"/>
                <w:color w:val="auto"/>
              </w:rPr>
              <w:t>Impairment and charges related to RFG Florida facility</w:t>
            </w: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52"/>
        </w:trPr>
        <w:tc>
          <w:tcPr>
            <w:tcW w:w="4720" w:type="dxa"/>
            <w:vAlign w:val="bottom"/>
          </w:tcPr>
          <w:p>
            <w:pPr>
              <w:spacing w:after="0"/>
              <w:rPr>
                <w:sz w:val="20"/>
                <w:szCs w:val="20"/>
                <w:color w:val="auto"/>
              </w:rPr>
            </w:pPr>
            <w:r>
              <w:rPr>
                <w:rFonts w:ascii="Times New Roman" w:cs="Times New Roman" w:eastAsia="Times New Roman" w:hAnsi="Times New Roman"/>
                <w:sz w:val="20"/>
                <w:szCs w:val="20"/>
                <w:color w:val="auto"/>
              </w:rPr>
              <w:t>closure</w:t>
            </w:r>
          </w:p>
        </w:tc>
        <w:tc>
          <w:tcPr>
            <w:tcW w:w="120" w:type="dxa"/>
            <w:vAlign w:val="bottom"/>
          </w:tcPr>
          <w:p>
            <w:pPr>
              <w:spacing w:after="0"/>
              <w:rPr>
                <w:sz w:val="21"/>
                <w:szCs w:val="21"/>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305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tcPr>
          <w:p>
            <w:pPr>
              <w:spacing w:after="0"/>
              <w:rPr>
                <w:sz w:val="21"/>
                <w:szCs w:val="21"/>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959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r>
      <w:tr>
        <w:trPr>
          <w:trHeight w:val="229"/>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Gain on sale of Temecula packinghouse</w:t>
            </w:r>
          </w:p>
        </w:tc>
        <w:tc>
          <w:tcPr>
            <w:tcW w:w="1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20"/>
                <w:szCs w:val="20"/>
                <w:color w:val="auto"/>
              </w:rPr>
              <w:t>(54)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20"/>
                <w:szCs w:val="20"/>
                <w:color w:val="auto"/>
              </w:rPr>
              <w:t>(54)</w:t>
            </w:r>
          </w:p>
        </w:tc>
        <w:tc>
          <w:tcPr>
            <w:tcW w:w="14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20"/>
                <w:szCs w:val="20"/>
                <w:color w:val="auto"/>
              </w:rPr>
              <w:t>(108)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20"/>
                <w:szCs w:val="20"/>
                <w:color w:val="auto"/>
              </w:rPr>
              <w:t>(108)</w:t>
            </w:r>
          </w:p>
        </w:tc>
      </w:tr>
      <w:tr>
        <w:trPr>
          <w:trHeight w:val="223"/>
        </w:trPr>
        <w:tc>
          <w:tcPr>
            <w:tcW w:w="4720" w:type="dxa"/>
            <w:vAlign w:val="bottom"/>
          </w:tcPr>
          <w:p>
            <w:pPr>
              <w:spacing w:after="0" w:line="223" w:lineRule="exact"/>
              <w:rPr>
                <w:sz w:val="20"/>
                <w:szCs w:val="20"/>
                <w:color w:val="auto"/>
              </w:rPr>
            </w:pPr>
            <w:r>
              <w:rPr>
                <w:rFonts w:ascii="Times New Roman" w:cs="Times New Roman" w:eastAsia="Times New Roman" w:hAnsi="Times New Roman"/>
                <w:sz w:val="20"/>
                <w:szCs w:val="20"/>
                <w:color w:val="auto"/>
              </w:rPr>
              <w:t>Operating income</w:t>
            </w:r>
          </w:p>
        </w:tc>
        <w:tc>
          <w:tcPr>
            <w:tcW w:w="1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4,407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8,971</w:t>
            </w:r>
          </w:p>
        </w:tc>
        <w:tc>
          <w:tcPr>
            <w:tcW w:w="2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1,420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12,690</w:t>
            </w:r>
          </w:p>
        </w:tc>
        <w:tc>
          <w:tcPr>
            <w:tcW w:w="20" w:type="dxa"/>
            <w:vAlign w:val="bottom"/>
          </w:tcPr>
          <w:p>
            <w:pPr>
              <w:spacing w:after="0"/>
              <w:rPr>
                <w:sz w:val="19"/>
                <w:szCs w:val="19"/>
                <w:color w:val="auto"/>
              </w:rPr>
            </w:pPr>
          </w:p>
        </w:tc>
      </w:tr>
      <w:tr>
        <w:trPr>
          <w:trHeight w:val="230"/>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Interest expense</w:t>
            </w:r>
          </w:p>
        </w:tc>
        <w:tc>
          <w:tcPr>
            <w:tcW w:w="1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20"/>
                <w:szCs w:val="20"/>
                <w:color w:val="auto"/>
              </w:rPr>
              <w:t>(460)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20"/>
                <w:szCs w:val="20"/>
                <w:color w:val="auto"/>
              </w:rPr>
              <w:t>(191)</w:t>
            </w:r>
          </w:p>
        </w:tc>
        <w:tc>
          <w:tcPr>
            <w:tcW w:w="14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20"/>
                <w:szCs w:val="20"/>
                <w:color w:val="auto"/>
              </w:rPr>
              <w:t>(787)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20"/>
                <w:szCs w:val="20"/>
                <w:color w:val="auto"/>
              </w:rPr>
              <w:t>(365)</w:t>
            </w:r>
          </w:p>
        </w:tc>
      </w:tr>
      <w:tr>
        <w:trPr>
          <w:trHeight w:val="229"/>
        </w:trPr>
        <w:tc>
          <w:tcPr>
            <w:tcW w:w="4720" w:type="dxa"/>
            <w:vAlign w:val="bottom"/>
          </w:tcPr>
          <w:p>
            <w:pPr>
              <w:spacing w:after="0"/>
              <w:rPr>
                <w:sz w:val="20"/>
                <w:szCs w:val="20"/>
                <w:color w:val="auto"/>
              </w:rPr>
            </w:pPr>
            <w:r>
              <w:rPr>
                <w:rFonts w:ascii="Times New Roman" w:cs="Times New Roman" w:eastAsia="Times New Roman" w:hAnsi="Times New Roman"/>
                <w:sz w:val="20"/>
                <w:szCs w:val="20"/>
                <w:color w:val="auto"/>
              </w:rPr>
              <w:t>Other income, net</w:t>
            </w:r>
          </w:p>
        </w:tc>
        <w:tc>
          <w:tcPr>
            <w:tcW w:w="12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496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411</w:t>
            </w:r>
          </w:p>
        </w:tc>
        <w:tc>
          <w:tcPr>
            <w:tcW w:w="14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1,155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612</w:t>
            </w:r>
          </w:p>
        </w:tc>
      </w:tr>
      <w:tr>
        <w:trPr>
          <w:trHeight w:val="230"/>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Unrealized net gain (loss) on Limoneira shares</w:t>
            </w:r>
          </w:p>
        </w:tc>
        <w:tc>
          <w:tcPr>
            <w:tcW w:w="1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20"/>
                <w:szCs w:val="20"/>
                <w:color w:val="auto"/>
              </w:rPr>
              <w:t>(4,898)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20"/>
                <w:szCs w:val="20"/>
                <w:color w:val="auto"/>
              </w:rPr>
              <w:t>3,506</w:t>
            </w:r>
          </w:p>
        </w:tc>
        <w:tc>
          <w:tcPr>
            <w:tcW w:w="14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20"/>
                <w:szCs w:val="20"/>
                <w:color w:val="auto"/>
              </w:rPr>
              <w:t>(7,028)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20"/>
                <w:szCs w:val="20"/>
                <w:color w:val="auto"/>
              </w:rPr>
              <w:t>7,095</w:t>
            </w:r>
          </w:p>
        </w:tc>
      </w:tr>
      <w:tr>
        <w:trPr>
          <w:trHeight w:val="187"/>
        </w:trPr>
        <w:tc>
          <w:tcPr>
            <w:tcW w:w="4720" w:type="dxa"/>
            <w:vAlign w:val="bottom"/>
          </w:tcPr>
          <w:p>
            <w:pPr>
              <w:spacing w:after="0" w:line="186" w:lineRule="exact"/>
              <w:rPr>
                <w:sz w:val="20"/>
                <w:szCs w:val="20"/>
                <w:color w:val="auto"/>
              </w:rPr>
            </w:pPr>
            <w:r>
              <w:rPr>
                <w:rFonts w:ascii="Times New Roman" w:cs="Times New Roman" w:eastAsia="Times New Roman" w:hAnsi="Times New Roman"/>
                <w:sz w:val="20"/>
                <w:szCs w:val="20"/>
                <w:color w:val="auto"/>
              </w:rPr>
              <w:t>Income (loss) before income taxes and loss from</w:t>
            </w:r>
          </w:p>
        </w:tc>
        <w:tc>
          <w:tcPr>
            <w:tcW w:w="12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252"/>
        </w:trPr>
        <w:tc>
          <w:tcPr>
            <w:tcW w:w="4720" w:type="dxa"/>
            <w:vAlign w:val="bottom"/>
          </w:tcPr>
          <w:p>
            <w:pPr>
              <w:spacing w:after="0"/>
              <w:rPr>
                <w:sz w:val="20"/>
                <w:szCs w:val="20"/>
                <w:color w:val="auto"/>
              </w:rPr>
            </w:pPr>
            <w:r>
              <w:rPr>
                <w:rFonts w:ascii="Times New Roman" w:cs="Times New Roman" w:eastAsia="Times New Roman" w:hAnsi="Times New Roman"/>
                <w:sz w:val="20"/>
                <w:szCs w:val="20"/>
                <w:color w:val="auto"/>
              </w:rPr>
              <w:t>unconsolidated entities</w:t>
            </w:r>
          </w:p>
        </w:tc>
        <w:tc>
          <w:tcPr>
            <w:tcW w:w="120" w:type="dxa"/>
            <w:vAlign w:val="bottom"/>
          </w:tcPr>
          <w:p>
            <w:pPr>
              <w:spacing w:after="0"/>
              <w:rPr>
                <w:sz w:val="21"/>
                <w:szCs w:val="21"/>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(455)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12,697</w:t>
            </w:r>
          </w:p>
        </w:tc>
        <w:tc>
          <w:tcPr>
            <w:tcW w:w="140" w:type="dxa"/>
            <w:vAlign w:val="bottom"/>
          </w:tcPr>
          <w:p>
            <w:pPr>
              <w:spacing w:after="0"/>
              <w:rPr>
                <w:sz w:val="21"/>
                <w:szCs w:val="21"/>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(5,240)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20,032</w:t>
            </w:r>
          </w:p>
        </w:tc>
      </w:tr>
      <w:tr>
        <w:trPr>
          <w:trHeight w:val="230"/>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Income tax (provision) benefit</w:t>
            </w:r>
          </w:p>
        </w:tc>
        <w:tc>
          <w:tcPr>
            <w:tcW w:w="1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20"/>
                <w:szCs w:val="20"/>
                <w:color w:val="auto"/>
              </w:rPr>
              <w:t>187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20"/>
                <w:szCs w:val="20"/>
                <w:color w:val="auto"/>
              </w:rPr>
              <w:t>(2,772)</w:t>
            </w:r>
          </w:p>
        </w:tc>
        <w:tc>
          <w:tcPr>
            <w:tcW w:w="14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20"/>
                <w:szCs w:val="20"/>
                <w:color w:val="auto"/>
              </w:rPr>
              <w:t>1,347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20"/>
                <w:szCs w:val="20"/>
                <w:color w:val="auto"/>
              </w:rPr>
              <w:t>(4,715)</w:t>
            </w:r>
          </w:p>
        </w:tc>
      </w:tr>
      <w:tr>
        <w:trPr>
          <w:trHeight w:val="229"/>
        </w:trPr>
        <w:tc>
          <w:tcPr>
            <w:tcW w:w="4720" w:type="dxa"/>
            <w:vAlign w:val="bottom"/>
          </w:tcPr>
          <w:p>
            <w:pPr>
              <w:spacing w:after="0"/>
              <w:rPr>
                <w:sz w:val="20"/>
                <w:szCs w:val="20"/>
                <w:color w:val="auto"/>
              </w:rPr>
            </w:pPr>
            <w:r>
              <w:rPr>
                <w:rFonts w:ascii="Times New Roman" w:cs="Times New Roman" w:eastAsia="Times New Roman" w:hAnsi="Times New Roman"/>
                <w:sz w:val="20"/>
                <w:szCs w:val="20"/>
                <w:color w:val="auto"/>
              </w:rPr>
              <w:t>Net loss from unconsolidated entities</w:t>
            </w:r>
          </w:p>
        </w:tc>
        <w:tc>
          <w:tcPr>
            <w:tcW w:w="12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(1,131)</w:t>
            </w:r>
          </w:p>
        </w:tc>
        <w:tc>
          <w:tcPr>
            <w:tcW w:w="14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(543)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(1,286)</w:t>
            </w:r>
          </w:p>
        </w:tc>
      </w:tr>
      <w:tr>
        <w:trPr>
          <w:trHeight w:val="223"/>
        </w:trPr>
        <w:tc>
          <w:tcPr>
            <w:tcW w:w="4720" w:type="dxa"/>
            <w:vAlign w:val="bottom"/>
            <w:tcBorders>
              <w:top w:val="single" w:sz="8" w:color="CCEEFF"/>
            </w:tcBorders>
            <w:shd w:val="clear" w:color="auto" w:fill="CCEEFF"/>
          </w:tcPr>
          <w:p>
            <w:pPr>
              <w:spacing w:after="0" w:line="223" w:lineRule="exact"/>
              <w:rPr>
                <w:sz w:val="20"/>
                <w:szCs w:val="20"/>
                <w:color w:val="auto"/>
              </w:rPr>
            </w:pPr>
            <w:r>
              <w:rPr>
                <w:rFonts w:ascii="Times New Roman" w:cs="Times New Roman" w:eastAsia="Times New Roman" w:hAnsi="Times New Roman"/>
                <w:sz w:val="20"/>
                <w:szCs w:val="20"/>
                <w:color w:val="auto"/>
              </w:rPr>
              <w:t>Net income (loss)</w:t>
            </w:r>
          </w:p>
        </w:tc>
        <w:tc>
          <w:tcPr>
            <w:tcW w:w="12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spacing w:after="0" w:line="223" w:lineRule="exact"/>
              <w:rPr>
                <w:sz w:val="20"/>
                <w:szCs w:val="20"/>
                <w:color w:val="auto"/>
              </w:rPr>
            </w:pPr>
            <w:r>
              <w:rPr>
                <w:rFonts w:ascii="Times New Roman" w:cs="Times New Roman" w:eastAsia="Times New Roman" w:hAnsi="Times New Roman"/>
                <w:sz w:val="20"/>
                <w:szCs w:val="20"/>
                <w:color w:val="auto"/>
              </w:rPr>
              <w:t>(276)</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jc w:val="right"/>
              <w:spacing w:after="0" w:line="223" w:lineRule="exact"/>
              <w:rPr>
                <w:sz w:val="20"/>
                <w:szCs w:val="20"/>
                <w:color w:val="auto"/>
              </w:rPr>
            </w:pPr>
            <w:r>
              <w:rPr>
                <w:rFonts w:ascii="Times New Roman" w:cs="Times New Roman" w:eastAsia="Times New Roman" w:hAnsi="Times New Roman"/>
                <w:sz w:val="20"/>
                <w:szCs w:val="20"/>
                <w:color w:val="auto"/>
              </w:rPr>
              <w:t>8,794</w:t>
            </w:r>
          </w:p>
        </w:tc>
        <w:tc>
          <w:tcPr>
            <w:tcW w:w="2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spacing w:after="0" w:line="223" w:lineRule="exact"/>
              <w:rPr>
                <w:sz w:val="20"/>
                <w:szCs w:val="20"/>
                <w:color w:val="auto"/>
              </w:rPr>
            </w:pPr>
            <w:r>
              <w:rPr>
                <w:rFonts w:ascii="Times New Roman" w:cs="Times New Roman" w:eastAsia="Times New Roman" w:hAnsi="Times New Roman"/>
                <w:sz w:val="20"/>
                <w:szCs w:val="20"/>
                <w:color w:val="auto"/>
              </w:rPr>
              <w:t>(4,436)</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jc w:val="right"/>
              <w:spacing w:after="0" w:line="223" w:lineRule="exact"/>
              <w:rPr>
                <w:sz w:val="20"/>
                <w:szCs w:val="20"/>
                <w:color w:val="auto"/>
              </w:rPr>
            </w:pPr>
            <w:r>
              <w:rPr>
                <w:rFonts w:ascii="Times New Roman" w:cs="Times New Roman" w:eastAsia="Times New Roman" w:hAnsi="Times New Roman"/>
                <w:sz w:val="20"/>
                <w:szCs w:val="20"/>
                <w:color w:val="auto"/>
              </w:rPr>
              <w:t>14,031</w:t>
            </w:r>
          </w:p>
        </w:tc>
        <w:tc>
          <w:tcPr>
            <w:tcW w:w="20" w:type="dxa"/>
            <w:vAlign w:val="bottom"/>
            <w:tcBorders>
              <w:top w:val="single" w:sz="8" w:color="CCEEFF"/>
            </w:tcBorders>
            <w:shd w:val="clear" w:color="auto" w:fill="CCEEFF"/>
          </w:tcPr>
          <w:p>
            <w:pPr>
              <w:spacing w:after="0"/>
              <w:rPr>
                <w:sz w:val="19"/>
                <w:szCs w:val="19"/>
                <w:color w:val="auto"/>
              </w:rPr>
            </w:pPr>
          </w:p>
        </w:tc>
      </w:tr>
      <w:tr>
        <w:trPr>
          <w:trHeight w:val="230"/>
        </w:trPr>
        <w:tc>
          <w:tcPr>
            <w:tcW w:w="47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Add: Net loss attributable to noncontrolling interest</w:t>
            </w:r>
          </w:p>
        </w:tc>
        <w:tc>
          <w:tcPr>
            <w:tcW w:w="12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85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47</w:t>
            </w:r>
          </w:p>
        </w:tc>
        <w:tc>
          <w:tcPr>
            <w:tcW w:w="14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202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87</w:t>
            </w:r>
          </w:p>
        </w:tc>
      </w:tr>
      <w:tr>
        <w:trPr>
          <w:trHeight w:val="223"/>
        </w:trPr>
        <w:tc>
          <w:tcPr>
            <w:tcW w:w="4720" w:type="dxa"/>
            <w:vAlign w:val="bottom"/>
            <w:tcBorders>
              <w:top w:val="single" w:sz="8" w:color="CCEEFF"/>
              <w:bottom w:val="single" w:sz="8" w:color="CCEEFF"/>
            </w:tcBorders>
            <w:shd w:val="clear" w:color="auto" w:fill="CCEEFF"/>
          </w:tcPr>
          <w:p>
            <w:pPr>
              <w:spacing w:after="0" w:line="223" w:lineRule="exact"/>
              <w:rPr>
                <w:sz w:val="20"/>
                <w:szCs w:val="20"/>
                <w:color w:val="auto"/>
              </w:rPr>
            </w:pPr>
            <w:r>
              <w:rPr>
                <w:rFonts w:ascii="Times New Roman" w:cs="Times New Roman" w:eastAsia="Times New Roman" w:hAnsi="Times New Roman"/>
                <w:sz w:val="20"/>
                <w:szCs w:val="20"/>
                <w:color w:val="auto"/>
              </w:rPr>
              <w:t>Net income (loss) attributable to Calavo Growers, Inc.</w:t>
            </w:r>
          </w:p>
        </w:tc>
        <w:tc>
          <w:tcPr>
            <w:tcW w:w="120" w:type="dxa"/>
            <w:vAlign w:val="bottom"/>
            <w:tcBorders>
              <w:top w:val="single" w:sz="8" w:color="auto"/>
              <w:bottom w:val="single" w:sz="8" w:color="auto"/>
            </w:tcBorders>
            <w:shd w:val="clear" w:color="auto" w:fill="CCEEFF"/>
          </w:tcPr>
          <w:p>
            <w:pPr>
              <w:jc w:val="right"/>
              <w:spacing w:after="0" w:line="223" w:lineRule="exact"/>
              <w:rPr>
                <w:sz w:val="20"/>
                <w:szCs w:val="20"/>
                <w:color w:val="auto"/>
              </w:rPr>
            </w:pPr>
            <w:r>
              <w:rPr>
                <w:rFonts w:ascii="Times New Roman" w:cs="Times New Roman" w:eastAsia="Times New Roman" w:hAnsi="Times New Roman"/>
                <w:sz w:val="20"/>
                <w:szCs w:val="20"/>
                <w:color w:val="auto"/>
                <w:w w:val="79"/>
              </w:rPr>
              <w:t>$</w:t>
            </w:r>
          </w:p>
        </w:tc>
        <w:tc>
          <w:tcPr>
            <w:tcW w:w="680" w:type="dxa"/>
            <w:vAlign w:val="bottom"/>
            <w:tcBorders>
              <w:top w:val="single" w:sz="8" w:color="auto"/>
              <w:bottom w:val="single" w:sz="8" w:color="auto"/>
            </w:tcBorders>
            <w:shd w:val="clear" w:color="auto" w:fill="CCEEFF"/>
          </w:tcPr>
          <w:p>
            <w:pPr>
              <w:jc w:val="right"/>
              <w:spacing w:after="0" w:line="223" w:lineRule="exact"/>
              <w:rPr>
                <w:sz w:val="20"/>
                <w:szCs w:val="20"/>
                <w:color w:val="auto"/>
              </w:rPr>
            </w:pPr>
            <w:r>
              <w:rPr>
                <w:rFonts w:ascii="Times New Roman" w:cs="Times New Roman" w:eastAsia="Times New Roman" w:hAnsi="Times New Roman"/>
                <w:sz w:val="20"/>
                <w:szCs w:val="20"/>
                <w:color w:val="auto"/>
              </w:rPr>
              <w:t>(191)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line="223" w:lineRule="exact"/>
              <w:rPr>
                <w:sz w:val="20"/>
                <w:szCs w:val="20"/>
                <w:color w:val="auto"/>
              </w:rPr>
            </w:pPr>
            <w:r>
              <w:rPr>
                <w:rFonts w:ascii="Times New Roman" w:cs="Times New Roman" w:eastAsia="Times New Roman" w:hAnsi="Times New Roman"/>
                <w:sz w:val="20"/>
                <w:szCs w:val="20"/>
                <w:color w:val="auto"/>
                <w:w w:val="79"/>
              </w:rPr>
              <w:t>$</w:t>
            </w:r>
          </w:p>
        </w:tc>
        <w:tc>
          <w:tcPr>
            <w:tcW w:w="660" w:type="dxa"/>
            <w:vAlign w:val="bottom"/>
            <w:tcBorders>
              <w:top w:val="single" w:sz="8" w:color="auto"/>
              <w:bottom w:val="single" w:sz="8" w:color="auto"/>
            </w:tcBorders>
            <w:shd w:val="clear" w:color="auto" w:fill="CCEEFF"/>
          </w:tcPr>
          <w:p>
            <w:pPr>
              <w:jc w:val="right"/>
              <w:spacing w:after="0" w:line="223" w:lineRule="exact"/>
              <w:rPr>
                <w:sz w:val="20"/>
                <w:szCs w:val="20"/>
                <w:color w:val="auto"/>
              </w:rPr>
            </w:pPr>
            <w:r>
              <w:rPr>
                <w:rFonts w:ascii="Times New Roman" w:cs="Times New Roman" w:eastAsia="Times New Roman" w:hAnsi="Times New Roman"/>
                <w:sz w:val="20"/>
                <w:szCs w:val="20"/>
                <w:color w:val="auto"/>
              </w:rPr>
              <w:t>8,841</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line="223" w:lineRule="exact"/>
              <w:rPr>
                <w:sz w:val="20"/>
                <w:szCs w:val="20"/>
                <w:color w:val="auto"/>
              </w:rPr>
            </w:pPr>
            <w:r>
              <w:rPr>
                <w:rFonts w:ascii="Times New Roman" w:cs="Times New Roman" w:eastAsia="Times New Roman" w:hAnsi="Times New Roman"/>
                <w:sz w:val="20"/>
                <w:szCs w:val="20"/>
                <w:color w:val="auto"/>
                <w:w w:val="79"/>
              </w:rPr>
              <w:t>$</w:t>
            </w:r>
          </w:p>
        </w:tc>
        <w:tc>
          <w:tcPr>
            <w:tcW w:w="680" w:type="dxa"/>
            <w:vAlign w:val="bottom"/>
            <w:tcBorders>
              <w:top w:val="single" w:sz="8" w:color="auto"/>
              <w:bottom w:val="single" w:sz="8" w:color="auto"/>
            </w:tcBorders>
            <w:shd w:val="clear" w:color="auto" w:fill="CCEEFF"/>
          </w:tcPr>
          <w:p>
            <w:pPr>
              <w:jc w:val="right"/>
              <w:spacing w:after="0" w:line="223" w:lineRule="exact"/>
              <w:rPr>
                <w:sz w:val="20"/>
                <w:szCs w:val="20"/>
                <w:color w:val="auto"/>
              </w:rPr>
            </w:pPr>
            <w:r>
              <w:rPr>
                <w:rFonts w:ascii="Times New Roman" w:cs="Times New Roman" w:eastAsia="Times New Roman" w:hAnsi="Times New Roman"/>
                <w:sz w:val="20"/>
                <w:szCs w:val="20"/>
                <w:color w:val="auto"/>
              </w:rPr>
              <w:t>(4,234)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line="223" w:lineRule="exact"/>
              <w:rPr>
                <w:sz w:val="20"/>
                <w:szCs w:val="20"/>
                <w:color w:val="auto"/>
              </w:rPr>
            </w:pPr>
            <w:r>
              <w:rPr>
                <w:rFonts w:ascii="Times New Roman" w:cs="Times New Roman" w:eastAsia="Times New Roman" w:hAnsi="Times New Roman"/>
                <w:sz w:val="20"/>
                <w:szCs w:val="20"/>
                <w:color w:val="auto"/>
                <w:w w:val="79"/>
              </w:rPr>
              <w:t>$</w:t>
            </w:r>
          </w:p>
        </w:tc>
        <w:tc>
          <w:tcPr>
            <w:tcW w:w="640" w:type="dxa"/>
            <w:vAlign w:val="bottom"/>
            <w:tcBorders>
              <w:top w:val="single" w:sz="8" w:color="auto"/>
              <w:bottom w:val="single" w:sz="8" w:color="auto"/>
            </w:tcBorders>
            <w:shd w:val="clear" w:color="auto" w:fill="CCEEFF"/>
          </w:tcPr>
          <w:p>
            <w:pPr>
              <w:jc w:val="right"/>
              <w:spacing w:after="0" w:line="223" w:lineRule="exact"/>
              <w:rPr>
                <w:sz w:val="20"/>
                <w:szCs w:val="20"/>
                <w:color w:val="auto"/>
              </w:rPr>
            </w:pPr>
            <w:r>
              <w:rPr>
                <w:rFonts w:ascii="Times New Roman" w:cs="Times New Roman" w:eastAsia="Times New Roman" w:hAnsi="Times New Roman"/>
                <w:sz w:val="20"/>
                <w:szCs w:val="20"/>
                <w:color w:val="auto"/>
              </w:rPr>
              <w:t>14,118</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7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7"/>
        </w:trPr>
        <w:tc>
          <w:tcPr>
            <w:tcW w:w="4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0"/>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Calavo Growers, Inc.’s net income (loss) per share:</w:t>
            </w: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269"/>
        </w:trPr>
        <w:tc>
          <w:tcPr>
            <w:tcW w:w="47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Basic</w:t>
            </w:r>
          </w:p>
        </w:tc>
        <w:tc>
          <w:tcPr>
            <w:tcW w:w="1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(0.01)</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0.50</w:t>
            </w:r>
          </w:p>
        </w:tc>
        <w:tc>
          <w:tcPr>
            <w:tcW w:w="1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(0.24)</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0.80</w:t>
            </w:r>
          </w:p>
        </w:tc>
      </w:tr>
      <w:tr>
        <w:trPr>
          <w:trHeight w:val="210"/>
        </w:trPr>
        <w:tc>
          <w:tcPr>
            <w:tcW w:w="4720" w:type="dxa"/>
            <w:vAlign w:val="bottom"/>
            <w:tcBorders>
              <w:top w:val="single" w:sz="8" w:color="CCEEFF"/>
              <w:bottom w:val="single" w:sz="8" w:color="CCEEFF"/>
            </w:tcBorders>
            <w:shd w:val="clear" w:color="auto" w:fill="CCEEFF"/>
          </w:tcPr>
          <w:p>
            <w:pPr>
              <w:ind w:left="200"/>
              <w:spacing w:after="0" w:line="210" w:lineRule="exact"/>
              <w:rPr>
                <w:sz w:val="20"/>
                <w:szCs w:val="20"/>
                <w:color w:val="auto"/>
              </w:rPr>
            </w:pPr>
            <w:r>
              <w:rPr>
                <w:rFonts w:ascii="Times New Roman" w:cs="Times New Roman" w:eastAsia="Times New Roman" w:hAnsi="Times New Roman"/>
                <w:sz w:val="20"/>
                <w:szCs w:val="20"/>
                <w:color w:val="auto"/>
              </w:rPr>
              <w:t>Diluted</w:t>
            </w:r>
          </w:p>
        </w:tc>
        <w:tc>
          <w:tcPr>
            <w:tcW w:w="120" w:type="dxa"/>
            <w:vAlign w:val="bottom"/>
            <w:tcBorders>
              <w:top w:val="single" w:sz="8" w:color="auto"/>
              <w:bottom w:val="single" w:sz="8" w:color="auto"/>
            </w:tcBorders>
            <w:shd w:val="clear" w:color="auto" w:fill="CCEEFF"/>
          </w:tcPr>
          <w:p>
            <w:pPr>
              <w:jc w:val="right"/>
              <w:spacing w:after="0" w:line="210" w:lineRule="exact"/>
              <w:rPr>
                <w:sz w:val="20"/>
                <w:szCs w:val="20"/>
                <w:color w:val="auto"/>
              </w:rPr>
            </w:pPr>
            <w:r>
              <w:rPr>
                <w:rFonts w:ascii="Times New Roman" w:cs="Times New Roman" w:eastAsia="Times New Roman" w:hAnsi="Times New Roman"/>
                <w:sz w:val="20"/>
                <w:szCs w:val="20"/>
                <w:color w:val="auto"/>
                <w:w w:val="79"/>
              </w:rPr>
              <w:t>$</w:t>
            </w:r>
          </w:p>
        </w:tc>
        <w:tc>
          <w:tcPr>
            <w:tcW w:w="680" w:type="dxa"/>
            <w:vAlign w:val="bottom"/>
            <w:tcBorders>
              <w:top w:val="single" w:sz="8" w:color="auto"/>
              <w:bottom w:val="single" w:sz="8" w:color="auto"/>
            </w:tcBorders>
            <w:shd w:val="clear" w:color="auto" w:fill="CCEEFF"/>
          </w:tcPr>
          <w:p>
            <w:pPr>
              <w:jc w:val="right"/>
              <w:spacing w:after="0" w:line="210" w:lineRule="exact"/>
              <w:rPr>
                <w:sz w:val="20"/>
                <w:szCs w:val="20"/>
                <w:color w:val="auto"/>
              </w:rPr>
            </w:pPr>
            <w:r>
              <w:rPr>
                <w:rFonts w:ascii="Times New Roman" w:cs="Times New Roman" w:eastAsia="Times New Roman" w:hAnsi="Times New Roman"/>
                <w:sz w:val="20"/>
                <w:szCs w:val="20"/>
                <w:color w:val="auto"/>
              </w:rPr>
              <w:t>(0.01)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line="210" w:lineRule="exact"/>
              <w:rPr>
                <w:sz w:val="20"/>
                <w:szCs w:val="20"/>
                <w:color w:val="auto"/>
              </w:rPr>
            </w:pPr>
            <w:r>
              <w:rPr>
                <w:rFonts w:ascii="Times New Roman" w:cs="Times New Roman" w:eastAsia="Times New Roman" w:hAnsi="Times New Roman"/>
                <w:sz w:val="20"/>
                <w:szCs w:val="20"/>
                <w:color w:val="auto"/>
                <w:w w:val="79"/>
              </w:rPr>
              <w:t>$</w:t>
            </w:r>
          </w:p>
        </w:tc>
        <w:tc>
          <w:tcPr>
            <w:tcW w:w="660" w:type="dxa"/>
            <w:vAlign w:val="bottom"/>
            <w:tcBorders>
              <w:top w:val="single" w:sz="8" w:color="auto"/>
              <w:bottom w:val="single" w:sz="8" w:color="auto"/>
            </w:tcBorders>
            <w:shd w:val="clear" w:color="auto" w:fill="CCEEFF"/>
          </w:tcPr>
          <w:p>
            <w:pPr>
              <w:jc w:val="right"/>
              <w:spacing w:after="0" w:line="210" w:lineRule="exact"/>
              <w:rPr>
                <w:sz w:val="20"/>
                <w:szCs w:val="20"/>
                <w:color w:val="auto"/>
              </w:rPr>
            </w:pPr>
            <w:r>
              <w:rPr>
                <w:rFonts w:ascii="Times New Roman" w:cs="Times New Roman" w:eastAsia="Times New Roman" w:hAnsi="Times New Roman"/>
                <w:sz w:val="20"/>
                <w:szCs w:val="20"/>
                <w:color w:val="auto"/>
              </w:rPr>
              <w:t>0.50</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line="210" w:lineRule="exact"/>
              <w:rPr>
                <w:sz w:val="20"/>
                <w:szCs w:val="20"/>
                <w:color w:val="auto"/>
              </w:rPr>
            </w:pPr>
            <w:r>
              <w:rPr>
                <w:rFonts w:ascii="Times New Roman" w:cs="Times New Roman" w:eastAsia="Times New Roman" w:hAnsi="Times New Roman"/>
                <w:sz w:val="20"/>
                <w:szCs w:val="20"/>
                <w:color w:val="auto"/>
                <w:w w:val="79"/>
              </w:rPr>
              <w:t>$</w:t>
            </w:r>
          </w:p>
        </w:tc>
        <w:tc>
          <w:tcPr>
            <w:tcW w:w="680" w:type="dxa"/>
            <w:vAlign w:val="bottom"/>
            <w:tcBorders>
              <w:top w:val="single" w:sz="8" w:color="auto"/>
              <w:bottom w:val="single" w:sz="8" w:color="auto"/>
            </w:tcBorders>
            <w:shd w:val="clear" w:color="auto" w:fill="CCEEFF"/>
          </w:tcPr>
          <w:p>
            <w:pPr>
              <w:jc w:val="right"/>
              <w:spacing w:after="0" w:line="210" w:lineRule="exact"/>
              <w:rPr>
                <w:sz w:val="20"/>
                <w:szCs w:val="20"/>
                <w:color w:val="auto"/>
              </w:rPr>
            </w:pPr>
            <w:r>
              <w:rPr>
                <w:rFonts w:ascii="Times New Roman" w:cs="Times New Roman" w:eastAsia="Times New Roman" w:hAnsi="Times New Roman"/>
                <w:sz w:val="20"/>
                <w:szCs w:val="20"/>
                <w:color w:val="auto"/>
              </w:rPr>
              <w:t>(0.24)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line="210" w:lineRule="exact"/>
              <w:rPr>
                <w:sz w:val="20"/>
                <w:szCs w:val="20"/>
                <w:color w:val="auto"/>
              </w:rPr>
            </w:pPr>
            <w:r>
              <w:rPr>
                <w:rFonts w:ascii="Times New Roman" w:cs="Times New Roman" w:eastAsia="Times New Roman" w:hAnsi="Times New Roman"/>
                <w:sz w:val="20"/>
                <w:szCs w:val="20"/>
                <w:color w:val="auto"/>
                <w:w w:val="79"/>
              </w:rPr>
              <w:t>$</w:t>
            </w:r>
          </w:p>
        </w:tc>
        <w:tc>
          <w:tcPr>
            <w:tcW w:w="640" w:type="dxa"/>
            <w:vAlign w:val="bottom"/>
            <w:tcBorders>
              <w:top w:val="single" w:sz="8" w:color="auto"/>
              <w:bottom w:val="single" w:sz="8" w:color="auto"/>
            </w:tcBorders>
            <w:shd w:val="clear" w:color="auto" w:fill="CCEEFF"/>
          </w:tcPr>
          <w:p>
            <w:pPr>
              <w:jc w:val="right"/>
              <w:spacing w:after="0" w:line="210" w:lineRule="exact"/>
              <w:rPr>
                <w:sz w:val="20"/>
                <w:szCs w:val="20"/>
                <w:color w:val="auto"/>
              </w:rPr>
            </w:pPr>
            <w:r>
              <w:rPr>
                <w:rFonts w:ascii="Times New Roman" w:cs="Times New Roman" w:eastAsia="Times New Roman" w:hAnsi="Times New Roman"/>
                <w:sz w:val="20"/>
                <w:szCs w:val="20"/>
                <w:color w:val="auto"/>
              </w:rPr>
              <w:t>0.80</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47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7"/>
        </w:trPr>
        <w:tc>
          <w:tcPr>
            <w:tcW w:w="4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0"/>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Number of shares used in per share computation:</w:t>
            </w: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269"/>
        </w:trPr>
        <w:tc>
          <w:tcPr>
            <w:tcW w:w="47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Basic</w:t>
            </w:r>
          </w:p>
        </w:tc>
        <w:tc>
          <w:tcPr>
            <w:tcW w:w="120" w:type="dxa"/>
            <w:vAlign w:val="bottom"/>
          </w:tcPr>
          <w:p>
            <w:pPr>
              <w:spacing w:after="0"/>
              <w:rPr>
                <w:sz w:val="23"/>
                <w:szCs w:val="23"/>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17,664</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17,619</w:t>
            </w:r>
          </w:p>
        </w:tc>
        <w:tc>
          <w:tcPr>
            <w:tcW w:w="140" w:type="dxa"/>
            <w:vAlign w:val="bottom"/>
          </w:tcPr>
          <w:p>
            <w:pPr>
              <w:spacing w:after="0"/>
              <w:rPr>
                <w:sz w:val="23"/>
                <w:szCs w:val="23"/>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17,659</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17,609</w:t>
            </w:r>
          </w:p>
        </w:tc>
      </w:tr>
      <w:tr>
        <w:trPr>
          <w:trHeight w:val="210"/>
        </w:trPr>
        <w:tc>
          <w:tcPr>
            <w:tcW w:w="4720" w:type="dxa"/>
            <w:vAlign w:val="bottom"/>
            <w:tcBorders>
              <w:top w:val="single" w:sz="8" w:color="CCEEFF"/>
              <w:bottom w:val="single" w:sz="8" w:color="CCEEFF"/>
            </w:tcBorders>
            <w:shd w:val="clear" w:color="auto" w:fill="CCEEFF"/>
          </w:tcPr>
          <w:p>
            <w:pPr>
              <w:ind w:left="200"/>
              <w:spacing w:after="0" w:line="210" w:lineRule="exact"/>
              <w:rPr>
                <w:sz w:val="20"/>
                <w:szCs w:val="20"/>
                <w:color w:val="auto"/>
              </w:rPr>
            </w:pPr>
            <w:r>
              <w:rPr>
                <w:rFonts w:ascii="Times New Roman" w:cs="Times New Roman" w:eastAsia="Times New Roman" w:hAnsi="Times New Roman"/>
                <w:sz w:val="20"/>
                <w:szCs w:val="20"/>
                <w:color w:val="auto"/>
              </w:rPr>
              <w:t>Diluted</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line="210" w:lineRule="exact"/>
              <w:rPr>
                <w:sz w:val="20"/>
                <w:szCs w:val="20"/>
                <w:color w:val="auto"/>
              </w:rPr>
            </w:pPr>
            <w:r>
              <w:rPr>
                <w:rFonts w:ascii="Times New Roman" w:cs="Times New Roman" w:eastAsia="Times New Roman" w:hAnsi="Times New Roman"/>
                <w:sz w:val="20"/>
                <w:szCs w:val="20"/>
                <w:color w:val="auto"/>
              </w:rPr>
              <w:t>17,664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line="210" w:lineRule="exact"/>
              <w:rPr>
                <w:sz w:val="20"/>
                <w:szCs w:val="20"/>
                <w:color w:val="auto"/>
              </w:rPr>
            </w:pPr>
            <w:r>
              <w:rPr>
                <w:rFonts w:ascii="Times New Roman" w:cs="Times New Roman" w:eastAsia="Times New Roman" w:hAnsi="Times New Roman"/>
                <w:sz w:val="20"/>
                <w:szCs w:val="20"/>
                <w:color w:val="auto"/>
              </w:rPr>
              <w:t>17,679</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line="210" w:lineRule="exact"/>
              <w:rPr>
                <w:sz w:val="20"/>
                <w:szCs w:val="20"/>
                <w:color w:val="auto"/>
              </w:rPr>
            </w:pPr>
            <w:r>
              <w:rPr>
                <w:rFonts w:ascii="Times New Roman" w:cs="Times New Roman" w:eastAsia="Times New Roman" w:hAnsi="Times New Roman"/>
                <w:sz w:val="20"/>
                <w:szCs w:val="20"/>
                <w:color w:val="auto"/>
              </w:rPr>
              <w:t>17,659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line="210" w:lineRule="exact"/>
              <w:rPr>
                <w:sz w:val="20"/>
                <w:szCs w:val="20"/>
                <w:color w:val="auto"/>
              </w:rPr>
            </w:pPr>
            <w:r>
              <w:rPr>
                <w:rFonts w:ascii="Times New Roman" w:cs="Times New Roman" w:eastAsia="Times New Roman" w:hAnsi="Times New Roman"/>
                <w:sz w:val="20"/>
                <w:szCs w:val="20"/>
                <w:color w:val="auto"/>
              </w:rPr>
              <w:t>17,668</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47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13"/>
        </w:trPr>
        <w:tc>
          <w:tcPr>
            <w:tcW w:w="47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659" w:right="1440" w:bottom="1440" w:gutter="0" w:footer="0" w:header="0"/>
        </w:sectPr>
      </w:pPr>
    </w:p>
    <w:bookmarkStart w:id="12" w:name="page13"/>
    <w:bookmarkEnd w:id="12"/>
    <w:p>
      <w:pPr>
        <w:ind w:left="200"/>
        <w:spacing w:after="0"/>
        <w:rPr>
          <w:sz w:val="20"/>
          <w:szCs w:val="20"/>
          <w:color w:val="auto"/>
        </w:rPr>
      </w:pPr>
      <w:r>
        <w:rPr>
          <w:rFonts w:ascii="Times New Roman" w:cs="Times New Roman" w:eastAsia="Times New Roman" w:hAnsi="Times New Roman"/>
          <w:sz w:val="18"/>
          <w:szCs w:val="18"/>
          <w:i w:val="1"/>
          <w:iCs w:val="1"/>
          <w:color w:val="auto"/>
        </w:rPr>
        <w:t>Calavo Growers, Inc.</w:t>
      </w:r>
    </w:p>
    <w:p>
      <w:pPr>
        <w:spacing w:after="0" w:line="2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 xml:space="preserve">Page </w:t>
      </w:r>
      <w:r>
        <w:rPr>
          <w:rFonts w:ascii="Times New Roman" w:cs="Times New Roman" w:eastAsia="Times New Roman" w:hAnsi="Times New Roman"/>
          <w:sz w:val="18"/>
          <w:szCs w:val="18"/>
          <w:b w:val="1"/>
          <w:bCs w:val="1"/>
          <w:i w:val="1"/>
          <w:iCs w:val="1"/>
          <w:color w:val="auto"/>
        </w:rPr>
        <w:t>10</w:t>
      </w:r>
      <w:r>
        <w:rPr>
          <w:rFonts w:ascii="Times New Roman" w:cs="Times New Roman" w:eastAsia="Times New Roman" w:hAnsi="Times New Roman"/>
          <w:sz w:val="18"/>
          <w:szCs w:val="18"/>
          <w:i w:val="1"/>
          <w:iCs w:val="1"/>
          <w:color w:val="auto"/>
        </w:rPr>
        <w:t xml:space="preserve"> of </w:t>
      </w:r>
      <w:r>
        <w:rPr>
          <w:rFonts w:ascii="Times New Roman" w:cs="Times New Roman" w:eastAsia="Times New Roman" w:hAnsi="Times New Roman"/>
          <w:sz w:val="18"/>
          <w:szCs w:val="18"/>
          <w:b w:val="1"/>
          <w:bCs w:val="1"/>
          <w:i w:val="1"/>
          <w:iCs w:val="1"/>
          <w:color w:val="auto"/>
        </w:rPr>
        <w:t>14</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CALAVO GROWERS, INC.</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NET SALES AND GROSS PROFIT BY BUSINESS SEGMENT (UNAUDITED)</w:t>
      </w: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34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Fresh</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RFG</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gridSpan w:val="2"/>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rPr>
              <w:t>Calavo</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Interco.</w:t>
            </w:r>
          </w:p>
        </w:tc>
        <w:tc>
          <w:tcPr>
            <w:tcW w:w="140" w:type="dxa"/>
            <w:vAlign w:val="bottom"/>
          </w:tcPr>
          <w:p>
            <w:pPr>
              <w:spacing w:after="0"/>
              <w:rPr>
                <w:sz w:val="13"/>
                <w:szCs w:val="13"/>
                <w:color w:val="auto"/>
              </w:rPr>
            </w:pPr>
          </w:p>
        </w:tc>
        <w:tc>
          <w:tcPr>
            <w:tcW w:w="720" w:type="dxa"/>
            <w:vAlign w:val="bottom"/>
            <w:gridSpan w:val="3"/>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9"/>
        </w:trPr>
        <w:tc>
          <w:tcPr>
            <w:tcW w:w="34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products</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tcPr>
          <w:p>
            <w:pPr>
              <w:jc w:val="right"/>
              <w:ind w:right="209"/>
              <w:spacing w:after="0" w:line="149" w:lineRule="exact"/>
              <w:rPr>
                <w:sz w:val="20"/>
                <w:szCs w:val="20"/>
                <w:color w:val="auto"/>
              </w:rPr>
            </w:pPr>
            <w:r>
              <w:rPr>
                <w:rFonts w:ascii="Times New Roman" w:cs="Times New Roman" w:eastAsia="Times New Roman" w:hAnsi="Times New Roman"/>
                <w:sz w:val="14"/>
                <w:szCs w:val="14"/>
                <w:b w:val="1"/>
                <w:bCs w:val="1"/>
                <w:color w:val="auto"/>
              </w:rPr>
              <w:t>Foods</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Elimins.</w:t>
            </w:r>
          </w:p>
        </w:tc>
        <w:tc>
          <w:tcPr>
            <w:tcW w:w="140" w:type="dxa"/>
            <w:vAlign w:val="bottom"/>
          </w:tcPr>
          <w:p>
            <w:pPr>
              <w:spacing w:after="0"/>
              <w:rPr>
                <w:sz w:val="12"/>
                <w:szCs w:val="12"/>
                <w:color w:val="auto"/>
              </w:rPr>
            </w:pPr>
          </w:p>
        </w:tc>
        <w:tc>
          <w:tcPr>
            <w:tcW w:w="7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5"/>
        </w:trPr>
        <w:tc>
          <w:tcPr>
            <w:tcW w:w="34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c>
          <w:tcPr>
            <w:tcW w:w="140" w:type="dxa"/>
            <w:vAlign w:val="bottom"/>
            <w:gridSpan w:val="2"/>
          </w:tcPr>
          <w:p>
            <w:pPr>
              <w:spacing w:after="0"/>
              <w:rPr>
                <w:sz w:val="2"/>
                <w:szCs w:val="2"/>
                <w:color w:val="auto"/>
              </w:rPr>
            </w:pPr>
          </w:p>
        </w:tc>
        <w:tc>
          <w:tcPr>
            <w:tcW w:w="720" w:type="dxa"/>
            <w:vAlign w:val="bottom"/>
            <w:tcBorders>
              <w:bottom w:val="single" w:sz="8" w:color="auto"/>
            </w:tcBorders>
            <w:gridSpan w:val="2"/>
          </w:tcPr>
          <w:p>
            <w:pPr>
              <w:spacing w:after="0"/>
              <w:rPr>
                <w:sz w:val="2"/>
                <w:szCs w:val="2"/>
                <w:color w:val="auto"/>
              </w:rPr>
            </w:pPr>
          </w:p>
        </w:tc>
        <w:tc>
          <w:tcPr>
            <w:tcW w:w="140" w:type="dxa"/>
            <w:vAlign w:val="bottom"/>
            <w:gridSpan w:val="2"/>
            <w:vMerge w:val="restart"/>
          </w:tcPr>
          <w:p>
            <w:pPr>
              <w:ind w:left="60"/>
              <w:spacing w:after="0"/>
              <w:rPr>
                <w:sz w:val="20"/>
                <w:szCs w:val="20"/>
                <w:color w:val="auto"/>
              </w:rPr>
            </w:pPr>
            <w:r>
              <w:rPr>
                <w:rFonts w:ascii="Times New Roman" w:cs="Times New Roman" w:eastAsia="Times New Roman" w:hAnsi="Times New Roman"/>
                <w:sz w:val="10"/>
                <w:szCs w:val="10"/>
                <w:b w:val="1"/>
                <w:bCs w:val="1"/>
                <w:color w:val="auto"/>
                <w:w w:val="71"/>
              </w:rPr>
              <w:t>in</w:t>
            </w:r>
          </w:p>
        </w:tc>
        <w:tc>
          <w:tcPr>
            <w:tcW w:w="760" w:type="dxa"/>
            <w:vAlign w:val="bottom"/>
            <w:tcBorders>
              <w:bottom w:val="single" w:sz="8" w:color="auto"/>
            </w:tcBorders>
            <w:gridSpan w:val="2"/>
          </w:tcPr>
          <w:p>
            <w:pPr>
              <w:spacing w:after="0"/>
              <w:rPr>
                <w:sz w:val="2"/>
                <w:szCs w:val="2"/>
                <w:color w:val="auto"/>
              </w:rPr>
            </w:pPr>
          </w:p>
        </w:tc>
        <w:tc>
          <w:tcPr>
            <w:tcW w:w="160" w:type="dxa"/>
            <w:vAlign w:val="bottom"/>
            <w:vMerge w:val="restart"/>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34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80" w:type="dxa"/>
            <w:vAlign w:val="bottom"/>
            <w:gridSpan w:val="6"/>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(All amounts are presented</w:t>
            </w:r>
          </w:p>
        </w:tc>
        <w:tc>
          <w:tcPr>
            <w:tcW w:w="140" w:type="dxa"/>
            <w:vAlign w:val="bottom"/>
            <w:gridSpan w:val="2"/>
            <w:vMerge w:val="continue"/>
          </w:tcPr>
          <w:p>
            <w:pPr>
              <w:spacing w:after="0"/>
              <w:rPr>
                <w:sz w:val="11"/>
                <w:szCs w:val="11"/>
                <w:color w:val="auto"/>
              </w:rPr>
            </w:pPr>
          </w:p>
        </w:tc>
        <w:tc>
          <w:tcPr>
            <w:tcW w:w="760" w:type="dxa"/>
            <w:vAlign w:val="bottom"/>
            <w:gridSpan w:val="2"/>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thousands)</w:t>
            </w:r>
          </w:p>
        </w:tc>
        <w:tc>
          <w:tcPr>
            <w:tcW w:w="16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9"/>
        </w:trPr>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b w:val="1"/>
                <w:bCs w:val="1"/>
                <w:color w:val="auto"/>
              </w:rPr>
              <w:t>Three months ended April 30, 2022</w:t>
            </w:r>
          </w:p>
        </w:tc>
        <w:tc>
          <w:tcPr>
            <w:tcW w:w="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80" w:type="dxa"/>
            <w:vAlign w:val="bottom"/>
          </w:tcPr>
          <w:p>
            <w:pPr>
              <w:spacing w:after="0"/>
              <w:rPr>
                <w:sz w:val="20"/>
                <w:szCs w:val="20"/>
                <w:color w:val="auto"/>
              </w:rPr>
            </w:pPr>
            <w:r>
              <w:rPr>
                <w:rFonts w:ascii="Times New Roman" w:cs="Times New Roman" w:eastAsia="Times New Roman" w:hAnsi="Times New Roman"/>
                <w:sz w:val="20"/>
                <w:szCs w:val="20"/>
                <w:color w:val="auto"/>
              </w:rPr>
              <w:t>Net sales</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210,997</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102,159</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80" w:type="dxa"/>
            <w:vAlign w:val="bottom"/>
            <w:gridSpan w:val="2"/>
          </w:tcPr>
          <w:p>
            <w:pPr>
              <w:jc w:val="right"/>
              <w:ind w:right="29"/>
              <w:spacing w:after="0"/>
              <w:rPr>
                <w:sz w:val="20"/>
                <w:szCs w:val="20"/>
                <w:color w:val="auto"/>
              </w:rPr>
            </w:pPr>
            <w:r>
              <w:rPr>
                <w:rFonts w:ascii="Times New Roman" w:cs="Times New Roman" w:eastAsia="Times New Roman" w:hAnsi="Times New Roman"/>
                <w:sz w:val="20"/>
                <w:szCs w:val="20"/>
                <w:color w:val="auto"/>
              </w:rPr>
              <w:t>19,815</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(1,553)</w:t>
            </w:r>
          </w:p>
        </w:tc>
        <w:tc>
          <w:tcPr>
            <w:tcW w:w="1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331,418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Cost of sales</w:t>
            </w:r>
          </w:p>
        </w:tc>
        <w:tc>
          <w:tcPr>
            <w:tcW w:w="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20"/>
                <w:szCs w:val="20"/>
                <w:color w:val="auto"/>
              </w:rPr>
              <w:t>192,841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20"/>
                <w:szCs w:val="20"/>
                <w:color w:val="auto"/>
              </w:rPr>
              <w:t>99,915</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29"/>
              <w:spacing w:after="0"/>
              <w:rPr>
                <w:sz w:val="20"/>
                <w:szCs w:val="20"/>
                <w:color w:val="auto"/>
              </w:rPr>
            </w:pPr>
            <w:r>
              <w:rPr>
                <w:rFonts w:ascii="Times New Roman" w:cs="Times New Roman" w:eastAsia="Times New Roman" w:hAnsi="Times New Roman"/>
                <w:sz w:val="20"/>
                <w:szCs w:val="20"/>
                <w:color w:val="auto"/>
              </w:rPr>
              <w:t>18,474</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20"/>
                <w:szCs w:val="20"/>
                <w:color w:val="auto"/>
              </w:rPr>
              <w:t>(1,553)</w:t>
            </w:r>
          </w:p>
        </w:tc>
        <w:tc>
          <w:tcPr>
            <w:tcW w:w="14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309,677</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80" w:type="dxa"/>
            <w:vAlign w:val="bottom"/>
          </w:tcPr>
          <w:p>
            <w:pPr>
              <w:spacing w:after="0" w:line="223" w:lineRule="exact"/>
              <w:rPr>
                <w:sz w:val="20"/>
                <w:szCs w:val="20"/>
                <w:color w:val="auto"/>
              </w:rPr>
            </w:pPr>
            <w:r>
              <w:rPr>
                <w:rFonts w:ascii="Times New Roman" w:cs="Times New Roman" w:eastAsia="Times New Roman" w:hAnsi="Times New Roman"/>
                <w:sz w:val="20"/>
                <w:szCs w:val="20"/>
                <w:color w:val="auto"/>
              </w:rPr>
              <w:t>Gross profit</w:t>
            </w:r>
          </w:p>
        </w:tc>
        <w:tc>
          <w:tcPr>
            <w:tcW w:w="5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w w:val="79"/>
              </w:rPr>
              <w:t>$</w:t>
            </w:r>
          </w:p>
        </w:tc>
        <w:tc>
          <w:tcPr>
            <w:tcW w:w="700" w:type="dxa"/>
            <w:vAlign w:val="bottom"/>
            <w:tcBorders>
              <w:top w:val="single" w:sz="8" w:color="auto"/>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18,156</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w w:val="79"/>
              </w:rPr>
              <w:t>$</w:t>
            </w:r>
          </w:p>
        </w:tc>
        <w:tc>
          <w:tcPr>
            <w:tcW w:w="680" w:type="dxa"/>
            <w:vAlign w:val="bottom"/>
            <w:tcBorders>
              <w:top w:val="single" w:sz="8" w:color="auto"/>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2,244</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w w:val="79"/>
              </w:rPr>
              <w:t>$</w:t>
            </w:r>
          </w:p>
        </w:tc>
        <w:tc>
          <w:tcPr>
            <w:tcW w:w="600" w:type="dxa"/>
            <w:vAlign w:val="bottom"/>
            <w:tcBorders>
              <w:top w:val="single" w:sz="8" w:color="auto"/>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1,341</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w w:val="79"/>
              </w:rPr>
              <w:t>$</w:t>
            </w:r>
          </w:p>
        </w:tc>
        <w:tc>
          <w:tcPr>
            <w:tcW w:w="640" w:type="dxa"/>
            <w:vAlign w:val="bottom"/>
            <w:tcBorders>
              <w:top w:val="single" w:sz="8" w:color="auto"/>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w:t>
            </w:r>
          </w:p>
        </w:tc>
        <w:tc>
          <w:tcPr>
            <w:tcW w:w="1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w w:val="79"/>
              </w:rPr>
              <w:t>$</w:t>
            </w:r>
          </w:p>
        </w:tc>
        <w:tc>
          <w:tcPr>
            <w:tcW w:w="680" w:type="dxa"/>
            <w:vAlign w:val="bottom"/>
            <w:tcBorders>
              <w:top w:val="single" w:sz="8" w:color="auto"/>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21,741</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b w:val="1"/>
                <w:bCs w:val="1"/>
                <w:color w:val="auto"/>
              </w:rPr>
              <w:t>Three months ended April 30, 2021</w:t>
            </w:r>
          </w:p>
        </w:tc>
        <w:tc>
          <w:tcPr>
            <w:tcW w:w="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80" w:type="dxa"/>
            <w:vAlign w:val="bottom"/>
          </w:tcPr>
          <w:p>
            <w:pPr>
              <w:spacing w:after="0"/>
              <w:rPr>
                <w:sz w:val="20"/>
                <w:szCs w:val="20"/>
                <w:color w:val="auto"/>
              </w:rPr>
            </w:pPr>
            <w:r>
              <w:rPr>
                <w:rFonts w:ascii="Times New Roman" w:cs="Times New Roman" w:eastAsia="Times New Roman" w:hAnsi="Times New Roman"/>
                <w:sz w:val="20"/>
                <w:szCs w:val="20"/>
                <w:color w:val="auto"/>
              </w:rPr>
              <w:t>Net sales</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161,686</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96,289</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80" w:type="dxa"/>
            <w:vAlign w:val="bottom"/>
            <w:gridSpan w:val="2"/>
          </w:tcPr>
          <w:p>
            <w:pPr>
              <w:jc w:val="right"/>
              <w:ind w:right="29"/>
              <w:spacing w:after="0"/>
              <w:rPr>
                <w:sz w:val="20"/>
                <w:szCs w:val="20"/>
                <w:color w:val="auto"/>
              </w:rPr>
            </w:pPr>
            <w:r>
              <w:rPr>
                <w:rFonts w:ascii="Times New Roman" w:cs="Times New Roman" w:eastAsia="Times New Roman" w:hAnsi="Times New Roman"/>
                <w:sz w:val="20"/>
                <w:szCs w:val="20"/>
                <w:color w:val="auto"/>
              </w:rPr>
              <w:t>20,736</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(1,890)</w:t>
            </w:r>
          </w:p>
        </w:tc>
        <w:tc>
          <w:tcPr>
            <w:tcW w:w="1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276,821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Cost of sales</w:t>
            </w:r>
          </w:p>
        </w:tc>
        <w:tc>
          <w:tcPr>
            <w:tcW w:w="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20"/>
                <w:szCs w:val="20"/>
                <w:color w:val="auto"/>
              </w:rPr>
              <w:t>146,678</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20"/>
                <w:szCs w:val="20"/>
                <w:color w:val="auto"/>
              </w:rPr>
              <w:t>94,001</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29"/>
              <w:spacing w:after="0"/>
              <w:rPr>
                <w:sz w:val="20"/>
                <w:szCs w:val="20"/>
                <w:color w:val="auto"/>
              </w:rPr>
            </w:pPr>
            <w:r>
              <w:rPr>
                <w:rFonts w:ascii="Times New Roman" w:cs="Times New Roman" w:eastAsia="Times New Roman" w:hAnsi="Times New Roman"/>
                <w:sz w:val="20"/>
                <w:szCs w:val="20"/>
                <w:color w:val="auto"/>
              </w:rPr>
              <w:t>15,432</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20"/>
                <w:szCs w:val="20"/>
                <w:color w:val="auto"/>
              </w:rPr>
              <w:t>(1,890)</w:t>
            </w:r>
          </w:p>
        </w:tc>
        <w:tc>
          <w:tcPr>
            <w:tcW w:w="14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254,221</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80" w:type="dxa"/>
            <w:vAlign w:val="bottom"/>
          </w:tcPr>
          <w:p>
            <w:pPr>
              <w:spacing w:after="0" w:line="223" w:lineRule="exact"/>
              <w:rPr>
                <w:sz w:val="20"/>
                <w:szCs w:val="20"/>
                <w:color w:val="auto"/>
              </w:rPr>
            </w:pPr>
            <w:r>
              <w:rPr>
                <w:rFonts w:ascii="Times New Roman" w:cs="Times New Roman" w:eastAsia="Times New Roman" w:hAnsi="Times New Roman"/>
                <w:sz w:val="20"/>
                <w:szCs w:val="20"/>
                <w:color w:val="auto"/>
              </w:rPr>
              <w:t>Gross profit</w:t>
            </w:r>
          </w:p>
        </w:tc>
        <w:tc>
          <w:tcPr>
            <w:tcW w:w="5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w w:val="79"/>
              </w:rPr>
              <w:t>$</w:t>
            </w:r>
          </w:p>
        </w:tc>
        <w:tc>
          <w:tcPr>
            <w:tcW w:w="700" w:type="dxa"/>
            <w:vAlign w:val="bottom"/>
            <w:tcBorders>
              <w:top w:val="single" w:sz="8" w:color="auto"/>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15,008</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w w:val="79"/>
              </w:rPr>
              <w:t>$</w:t>
            </w:r>
          </w:p>
        </w:tc>
        <w:tc>
          <w:tcPr>
            <w:tcW w:w="680" w:type="dxa"/>
            <w:vAlign w:val="bottom"/>
            <w:tcBorders>
              <w:top w:val="single" w:sz="8" w:color="auto"/>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2,288</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w w:val="79"/>
              </w:rPr>
              <w:t>$</w:t>
            </w:r>
          </w:p>
        </w:tc>
        <w:tc>
          <w:tcPr>
            <w:tcW w:w="600" w:type="dxa"/>
            <w:vAlign w:val="bottom"/>
            <w:tcBorders>
              <w:top w:val="single" w:sz="8" w:color="auto"/>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5,304</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w w:val="79"/>
              </w:rPr>
              <w:t>$</w:t>
            </w:r>
          </w:p>
        </w:tc>
        <w:tc>
          <w:tcPr>
            <w:tcW w:w="640" w:type="dxa"/>
            <w:vAlign w:val="bottom"/>
            <w:tcBorders>
              <w:top w:val="single" w:sz="8" w:color="auto"/>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w:t>
            </w:r>
          </w:p>
        </w:tc>
        <w:tc>
          <w:tcPr>
            <w:tcW w:w="1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w w:val="79"/>
              </w:rPr>
              <w:t>$</w:t>
            </w:r>
          </w:p>
        </w:tc>
        <w:tc>
          <w:tcPr>
            <w:tcW w:w="680" w:type="dxa"/>
            <w:vAlign w:val="bottom"/>
            <w:tcBorders>
              <w:top w:val="single" w:sz="8" w:color="auto"/>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22,600</w:t>
            </w:r>
          </w:p>
        </w:tc>
        <w:tc>
          <w:tcPr>
            <w:tcW w:w="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3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Fresh</w:t>
            </w:r>
          </w:p>
        </w:tc>
        <w:tc>
          <w:tcPr>
            <w:tcW w:w="140" w:type="dxa"/>
            <w:vAlign w:val="bottom"/>
          </w:tcPr>
          <w:p>
            <w:pPr>
              <w:spacing w:after="0"/>
              <w:rPr>
                <w:sz w:val="13"/>
                <w:szCs w:val="13"/>
                <w:color w:val="auto"/>
              </w:rPr>
            </w:pPr>
          </w:p>
        </w:tc>
        <w:tc>
          <w:tcPr>
            <w:tcW w:w="84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RFG</w:t>
            </w:r>
          </w:p>
        </w:tc>
        <w:tc>
          <w:tcPr>
            <w:tcW w:w="120" w:type="dxa"/>
            <w:vAlign w:val="bottom"/>
          </w:tcPr>
          <w:p>
            <w:pPr>
              <w:spacing w:after="0"/>
              <w:rPr>
                <w:sz w:val="13"/>
                <w:szCs w:val="13"/>
                <w:color w:val="auto"/>
              </w:rPr>
            </w:pPr>
          </w:p>
        </w:tc>
        <w:tc>
          <w:tcPr>
            <w:tcW w:w="680" w:type="dxa"/>
            <w:vAlign w:val="bottom"/>
            <w:gridSpan w:val="2"/>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rPr>
              <w:t>Calavo</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Interco.</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9"/>
        </w:trPr>
        <w:tc>
          <w:tcPr>
            <w:tcW w:w="3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products</w:t>
            </w:r>
          </w:p>
        </w:tc>
        <w:tc>
          <w:tcPr>
            <w:tcW w:w="14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tcPr>
          <w:p>
            <w:pPr>
              <w:jc w:val="right"/>
              <w:ind w:right="209"/>
              <w:spacing w:after="0" w:line="149" w:lineRule="exact"/>
              <w:rPr>
                <w:sz w:val="20"/>
                <w:szCs w:val="20"/>
                <w:color w:val="auto"/>
              </w:rPr>
            </w:pPr>
            <w:r>
              <w:rPr>
                <w:rFonts w:ascii="Times New Roman" w:cs="Times New Roman" w:eastAsia="Times New Roman" w:hAnsi="Times New Roman"/>
                <w:sz w:val="14"/>
                <w:szCs w:val="14"/>
                <w:b w:val="1"/>
                <w:bCs w:val="1"/>
                <w:color w:val="auto"/>
              </w:rPr>
              <w:t>Foods</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Elimins.</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5"/>
        </w:trPr>
        <w:tc>
          <w:tcPr>
            <w:tcW w:w="39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Borders>
              <w:bottom w:val="single" w:sz="8" w:color="auto"/>
            </w:tcBorders>
            <w:gridSpan w:val="2"/>
          </w:tcPr>
          <w:p>
            <w:pPr>
              <w:spacing w:after="0"/>
              <w:rPr>
                <w:sz w:val="2"/>
                <w:szCs w:val="2"/>
                <w:color w:val="auto"/>
              </w:rPr>
            </w:pPr>
          </w:p>
        </w:tc>
        <w:tc>
          <w:tcPr>
            <w:tcW w:w="140" w:type="dxa"/>
            <w:vAlign w:val="bottom"/>
            <w:gridSpan w:val="2"/>
            <w:vMerge w:val="restart"/>
          </w:tcPr>
          <w:p>
            <w:pPr>
              <w:ind w:left="60"/>
              <w:spacing w:after="0"/>
              <w:rPr>
                <w:sz w:val="20"/>
                <w:szCs w:val="20"/>
                <w:color w:val="auto"/>
              </w:rPr>
            </w:pPr>
            <w:r>
              <w:rPr>
                <w:rFonts w:ascii="Times New Roman" w:cs="Times New Roman" w:eastAsia="Times New Roman" w:hAnsi="Times New Roman"/>
                <w:sz w:val="10"/>
                <w:szCs w:val="10"/>
                <w:b w:val="1"/>
                <w:bCs w:val="1"/>
                <w:color w:val="auto"/>
                <w:w w:val="71"/>
              </w:rPr>
              <w:t>in</w:t>
            </w:r>
          </w:p>
        </w:tc>
        <w:tc>
          <w:tcPr>
            <w:tcW w:w="780" w:type="dxa"/>
            <w:vAlign w:val="bottom"/>
            <w:tcBorders>
              <w:bottom w:val="single" w:sz="8" w:color="auto"/>
            </w:tcBorders>
            <w:gridSpan w:val="2"/>
          </w:tcPr>
          <w:p>
            <w:pPr>
              <w:spacing w:after="0"/>
              <w:rPr>
                <w:sz w:val="2"/>
                <w:szCs w:val="2"/>
                <w:color w:val="auto"/>
              </w:rPr>
            </w:pPr>
          </w:p>
        </w:tc>
        <w:tc>
          <w:tcPr>
            <w:tcW w:w="140" w:type="dxa"/>
            <w:vAlign w:val="bottom"/>
            <w:vMerge w:val="restart"/>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3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700" w:type="dxa"/>
            <w:vAlign w:val="bottom"/>
            <w:gridSpan w:val="5"/>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(All amounts are presented</w:t>
            </w:r>
          </w:p>
        </w:tc>
        <w:tc>
          <w:tcPr>
            <w:tcW w:w="140" w:type="dxa"/>
            <w:vAlign w:val="bottom"/>
            <w:gridSpan w:val="2"/>
            <w:vMerge w:val="continue"/>
          </w:tcPr>
          <w:p>
            <w:pPr>
              <w:spacing w:after="0"/>
              <w:rPr>
                <w:sz w:val="11"/>
                <w:szCs w:val="11"/>
                <w:color w:val="auto"/>
              </w:rPr>
            </w:pPr>
          </w:p>
        </w:tc>
        <w:tc>
          <w:tcPr>
            <w:tcW w:w="780" w:type="dxa"/>
            <w:vAlign w:val="bottom"/>
            <w:gridSpan w:val="2"/>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thousands)</w:t>
            </w:r>
          </w:p>
        </w:tc>
        <w:tc>
          <w:tcPr>
            <w:tcW w:w="14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9"/>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b w:val="1"/>
                <w:bCs w:val="1"/>
                <w:color w:val="auto"/>
              </w:rPr>
              <w:t>Six months ended April 30, 2022</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80" w:type="dxa"/>
            <w:vAlign w:val="bottom"/>
          </w:tcPr>
          <w:p>
            <w:pPr>
              <w:spacing w:after="0"/>
              <w:rPr>
                <w:sz w:val="20"/>
                <w:szCs w:val="20"/>
                <w:color w:val="auto"/>
              </w:rPr>
            </w:pPr>
            <w:r>
              <w:rPr>
                <w:rFonts w:ascii="Times New Roman" w:cs="Times New Roman" w:eastAsia="Times New Roman" w:hAnsi="Times New Roman"/>
                <w:sz w:val="20"/>
                <w:szCs w:val="20"/>
                <w:color w:val="auto"/>
              </w:rPr>
              <w:t>Net sales</w:t>
            </w:r>
          </w:p>
        </w:tc>
        <w:tc>
          <w:tcPr>
            <w:tcW w:w="1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373,582</w:t>
            </w:r>
          </w:p>
        </w:tc>
        <w:tc>
          <w:tcPr>
            <w:tcW w:w="1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197,923</w:t>
            </w:r>
          </w:p>
        </w:tc>
        <w:tc>
          <w:tcPr>
            <w:tcW w:w="1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680" w:type="dxa"/>
            <w:vAlign w:val="bottom"/>
            <w:gridSpan w:val="2"/>
          </w:tcPr>
          <w:p>
            <w:pPr>
              <w:jc w:val="right"/>
              <w:ind w:right="29"/>
              <w:spacing w:after="0"/>
              <w:rPr>
                <w:sz w:val="20"/>
                <w:szCs w:val="20"/>
                <w:color w:val="auto"/>
              </w:rPr>
            </w:pPr>
            <w:r>
              <w:rPr>
                <w:rFonts w:ascii="Times New Roman" w:cs="Times New Roman" w:eastAsia="Times New Roman" w:hAnsi="Times New Roman"/>
                <w:sz w:val="20"/>
                <w:szCs w:val="20"/>
                <w:color w:val="auto"/>
              </w:rPr>
              <w:t>36,943</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(2,938)</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605,510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Cost of sales</w:t>
            </w: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20"/>
                <w:szCs w:val="20"/>
                <w:color w:val="auto"/>
              </w:rPr>
              <w:t>343,760</w:t>
            </w: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20"/>
                <w:szCs w:val="20"/>
                <w:color w:val="auto"/>
              </w:rPr>
              <w:t>196,331</w:t>
            </w:r>
          </w:p>
        </w:tc>
        <w:tc>
          <w:tcPr>
            <w:tcW w:w="12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29"/>
              <w:spacing w:after="0"/>
              <w:rPr>
                <w:sz w:val="20"/>
                <w:szCs w:val="20"/>
                <w:color w:val="auto"/>
              </w:rPr>
            </w:pPr>
            <w:r>
              <w:rPr>
                <w:rFonts w:ascii="Times New Roman" w:cs="Times New Roman" w:eastAsia="Times New Roman" w:hAnsi="Times New Roman"/>
                <w:sz w:val="20"/>
                <w:szCs w:val="20"/>
                <w:color w:val="auto"/>
              </w:rPr>
              <w:t>33,388</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20"/>
                <w:szCs w:val="20"/>
                <w:color w:val="auto"/>
              </w:rPr>
              <w:t>(2,938)</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570,541</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80" w:type="dxa"/>
            <w:vAlign w:val="bottom"/>
          </w:tcPr>
          <w:p>
            <w:pPr>
              <w:spacing w:after="0" w:line="223" w:lineRule="exact"/>
              <w:rPr>
                <w:sz w:val="20"/>
                <w:szCs w:val="20"/>
                <w:color w:val="auto"/>
              </w:rPr>
            </w:pPr>
            <w:r>
              <w:rPr>
                <w:rFonts w:ascii="Times New Roman" w:cs="Times New Roman" w:eastAsia="Times New Roman" w:hAnsi="Times New Roman"/>
                <w:sz w:val="20"/>
                <w:szCs w:val="20"/>
                <w:color w:val="auto"/>
              </w:rPr>
              <w:t>Gross profit</w:t>
            </w:r>
          </w:p>
        </w:tc>
        <w:tc>
          <w:tcPr>
            <w:tcW w:w="120" w:type="dxa"/>
            <w:vAlign w:val="bottom"/>
            <w:tcBorders>
              <w:top w:val="single" w:sz="8" w:color="auto"/>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w w:val="79"/>
              </w:rPr>
              <w:t>$</w:t>
            </w:r>
          </w:p>
        </w:tc>
        <w:tc>
          <w:tcPr>
            <w:tcW w:w="720" w:type="dxa"/>
            <w:vAlign w:val="bottom"/>
            <w:tcBorders>
              <w:top w:val="single" w:sz="8" w:color="auto"/>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29,822</w:t>
            </w:r>
          </w:p>
        </w:tc>
        <w:tc>
          <w:tcPr>
            <w:tcW w:w="1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w w:val="79"/>
              </w:rPr>
              <w:t>$</w:t>
            </w:r>
          </w:p>
        </w:tc>
        <w:tc>
          <w:tcPr>
            <w:tcW w:w="680" w:type="dxa"/>
            <w:vAlign w:val="bottom"/>
            <w:tcBorders>
              <w:top w:val="single" w:sz="8" w:color="auto"/>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1,592</w:t>
            </w:r>
          </w:p>
        </w:tc>
        <w:tc>
          <w:tcPr>
            <w:tcW w:w="1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w w:val="79"/>
              </w:rPr>
              <w:t>$</w:t>
            </w:r>
          </w:p>
        </w:tc>
        <w:tc>
          <w:tcPr>
            <w:tcW w:w="600" w:type="dxa"/>
            <w:vAlign w:val="bottom"/>
            <w:tcBorders>
              <w:top w:val="single" w:sz="8" w:color="auto"/>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3,555</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w w:val="79"/>
              </w:rPr>
              <w:t>$</w:t>
            </w:r>
          </w:p>
        </w:tc>
        <w:tc>
          <w:tcPr>
            <w:tcW w:w="660" w:type="dxa"/>
            <w:vAlign w:val="bottom"/>
            <w:tcBorders>
              <w:top w:val="single" w:sz="8" w:color="auto"/>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top w:val="single" w:sz="8" w:color="auto"/>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34,969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b w:val="1"/>
                <w:bCs w:val="1"/>
                <w:color w:val="auto"/>
              </w:rPr>
              <w:t>Six months ended April 30, 2021</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80" w:type="dxa"/>
            <w:vAlign w:val="bottom"/>
          </w:tcPr>
          <w:p>
            <w:pPr>
              <w:spacing w:after="0"/>
              <w:rPr>
                <w:sz w:val="20"/>
                <w:szCs w:val="20"/>
                <w:color w:val="auto"/>
              </w:rPr>
            </w:pPr>
            <w:r>
              <w:rPr>
                <w:rFonts w:ascii="Times New Roman" w:cs="Times New Roman" w:eastAsia="Times New Roman" w:hAnsi="Times New Roman"/>
                <w:sz w:val="20"/>
                <w:szCs w:val="20"/>
                <w:color w:val="auto"/>
              </w:rPr>
              <w:t>Net sales</w:t>
            </w:r>
          </w:p>
        </w:tc>
        <w:tc>
          <w:tcPr>
            <w:tcW w:w="1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277,145</w:t>
            </w:r>
          </w:p>
        </w:tc>
        <w:tc>
          <w:tcPr>
            <w:tcW w:w="1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186,595</w:t>
            </w:r>
          </w:p>
        </w:tc>
        <w:tc>
          <w:tcPr>
            <w:tcW w:w="1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680" w:type="dxa"/>
            <w:vAlign w:val="bottom"/>
            <w:gridSpan w:val="2"/>
          </w:tcPr>
          <w:p>
            <w:pPr>
              <w:jc w:val="right"/>
              <w:ind w:right="29"/>
              <w:spacing w:after="0"/>
              <w:rPr>
                <w:sz w:val="20"/>
                <w:szCs w:val="20"/>
                <w:color w:val="auto"/>
              </w:rPr>
            </w:pPr>
            <w:r>
              <w:rPr>
                <w:rFonts w:ascii="Times New Roman" w:cs="Times New Roman" w:eastAsia="Times New Roman" w:hAnsi="Times New Roman"/>
                <w:sz w:val="20"/>
                <w:szCs w:val="20"/>
                <w:color w:val="auto"/>
              </w:rPr>
              <w:t>37,194</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(3,535)</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497,399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Cost of sales</w:t>
            </w: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20"/>
                <w:szCs w:val="20"/>
                <w:color w:val="auto"/>
              </w:rPr>
              <w:t>248,992</w:t>
            </w: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20"/>
                <w:szCs w:val="20"/>
                <w:color w:val="auto"/>
              </w:rPr>
              <w:t>184,329</w:t>
            </w:r>
          </w:p>
        </w:tc>
        <w:tc>
          <w:tcPr>
            <w:tcW w:w="12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29"/>
              <w:spacing w:after="0"/>
              <w:rPr>
                <w:sz w:val="20"/>
                <w:szCs w:val="20"/>
                <w:color w:val="auto"/>
              </w:rPr>
            </w:pPr>
            <w:r>
              <w:rPr>
                <w:rFonts w:ascii="Times New Roman" w:cs="Times New Roman" w:eastAsia="Times New Roman" w:hAnsi="Times New Roman"/>
                <w:sz w:val="20"/>
                <w:szCs w:val="20"/>
                <w:color w:val="auto"/>
              </w:rPr>
              <w:t>27,174</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20"/>
                <w:szCs w:val="20"/>
                <w:color w:val="auto"/>
              </w:rPr>
              <w:t>(3,535)</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456,960</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80" w:type="dxa"/>
            <w:vAlign w:val="bottom"/>
          </w:tcPr>
          <w:p>
            <w:pPr>
              <w:spacing w:after="0" w:line="223" w:lineRule="exact"/>
              <w:rPr>
                <w:sz w:val="20"/>
                <w:szCs w:val="20"/>
                <w:color w:val="auto"/>
              </w:rPr>
            </w:pPr>
            <w:r>
              <w:rPr>
                <w:rFonts w:ascii="Times New Roman" w:cs="Times New Roman" w:eastAsia="Times New Roman" w:hAnsi="Times New Roman"/>
                <w:sz w:val="20"/>
                <w:szCs w:val="20"/>
                <w:color w:val="auto"/>
              </w:rPr>
              <w:t>Gross profit</w:t>
            </w:r>
          </w:p>
        </w:tc>
        <w:tc>
          <w:tcPr>
            <w:tcW w:w="120" w:type="dxa"/>
            <w:vAlign w:val="bottom"/>
            <w:tcBorders>
              <w:top w:val="single" w:sz="8" w:color="auto"/>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w w:val="79"/>
              </w:rPr>
              <w:t>$</w:t>
            </w:r>
          </w:p>
        </w:tc>
        <w:tc>
          <w:tcPr>
            <w:tcW w:w="720" w:type="dxa"/>
            <w:vAlign w:val="bottom"/>
            <w:tcBorders>
              <w:top w:val="single" w:sz="8" w:color="auto"/>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28,153</w:t>
            </w:r>
          </w:p>
        </w:tc>
        <w:tc>
          <w:tcPr>
            <w:tcW w:w="1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w w:val="79"/>
              </w:rPr>
              <w:t>$</w:t>
            </w:r>
          </w:p>
        </w:tc>
        <w:tc>
          <w:tcPr>
            <w:tcW w:w="680" w:type="dxa"/>
            <w:vAlign w:val="bottom"/>
            <w:tcBorders>
              <w:top w:val="single" w:sz="8" w:color="auto"/>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2,266</w:t>
            </w:r>
          </w:p>
        </w:tc>
        <w:tc>
          <w:tcPr>
            <w:tcW w:w="1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w w:val="79"/>
              </w:rPr>
              <w:t>$</w:t>
            </w:r>
          </w:p>
        </w:tc>
        <w:tc>
          <w:tcPr>
            <w:tcW w:w="600" w:type="dxa"/>
            <w:vAlign w:val="bottom"/>
            <w:tcBorders>
              <w:top w:val="single" w:sz="8" w:color="auto"/>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10,020</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w w:val="79"/>
              </w:rPr>
              <w:t>$</w:t>
            </w:r>
          </w:p>
        </w:tc>
        <w:tc>
          <w:tcPr>
            <w:tcW w:w="660" w:type="dxa"/>
            <w:vAlign w:val="bottom"/>
            <w:tcBorders>
              <w:top w:val="single" w:sz="8" w:color="auto"/>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w:t>
            </w:r>
          </w:p>
        </w:tc>
        <w:tc>
          <w:tcPr>
            <w:tcW w:w="1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top w:val="single" w:sz="8" w:color="auto"/>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40,439</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7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9"/>
          <w:szCs w:val="19"/>
          <w:color w:val="auto"/>
        </w:rPr>
        <w:t>For the three months ended April 30, 2022 and 2021, intercompany sales and cost of sales of $0.5 million</w:t>
      </w:r>
    </w:p>
    <w:p>
      <w:pPr>
        <w:spacing w:after="0" w:line="40" w:lineRule="exact"/>
        <w:rPr>
          <w:sz w:val="20"/>
          <w:szCs w:val="20"/>
          <w:color w:val="auto"/>
        </w:rPr>
      </w:pPr>
    </w:p>
    <w:p>
      <w:pPr>
        <w:ind w:left="200" w:right="219"/>
        <w:spacing w:after="0" w:line="259" w:lineRule="auto"/>
        <w:rPr>
          <w:sz w:val="20"/>
          <w:szCs w:val="20"/>
          <w:color w:val="auto"/>
        </w:rPr>
      </w:pPr>
      <w:r>
        <w:rPr>
          <w:rFonts w:ascii="Times New Roman" w:cs="Times New Roman" w:eastAsia="Times New Roman" w:hAnsi="Times New Roman"/>
          <w:sz w:val="19"/>
          <w:szCs w:val="19"/>
          <w:color w:val="auto"/>
        </w:rPr>
        <w:t>and $0.7 million between Fresh products and RFG were eliminated. For the three months ended April 30, 2022 and 2021, intercompany sales and cost of sales of $1.1 million and $1.2 million between Calavo Foods and RFG were eliminated. For the six months ended April 30, 2022 and 2021, intercompany sales and cost of sales of $1.1 million and $1.2 million between Fresh products and RFG were eliminated. For the six</w:t>
      </w:r>
    </w:p>
    <w:p>
      <w:pPr>
        <w:spacing w:after="0" w:line="2" w:lineRule="exact"/>
        <w:rPr>
          <w:sz w:val="20"/>
          <w:szCs w:val="20"/>
          <w:color w:val="auto"/>
        </w:rPr>
      </w:pPr>
    </w:p>
    <w:p>
      <w:pPr>
        <w:ind w:left="200" w:right="779"/>
        <w:spacing w:after="0" w:line="267" w:lineRule="auto"/>
        <w:rPr>
          <w:sz w:val="20"/>
          <w:szCs w:val="20"/>
          <w:color w:val="auto"/>
        </w:rPr>
      </w:pPr>
      <w:r>
        <w:rPr>
          <w:rFonts w:ascii="Times New Roman" w:cs="Times New Roman" w:eastAsia="Times New Roman" w:hAnsi="Times New Roman"/>
          <w:sz w:val="20"/>
          <w:szCs w:val="20"/>
          <w:color w:val="auto"/>
        </w:rPr>
        <w:t>months ended April 30, 2022 and 2021, intercompany sales and cost of sales of $1.8 million and $2.3 million between Calavo Foods and RFG were eliminated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614045</wp:posOffset>
            </wp:positionV>
            <wp:extent cx="5452110"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659" w:right="1440" w:bottom="1440" w:gutter="0" w:footer="0" w:header="0"/>
        </w:sectPr>
      </w:pPr>
    </w:p>
    <w:bookmarkStart w:id="13" w:name="page14"/>
    <w:bookmarkEnd w:id="13"/>
    <w:p>
      <w:pPr>
        <w:ind w:left="200"/>
        <w:spacing w:after="0"/>
        <w:rPr>
          <w:sz w:val="20"/>
          <w:szCs w:val="20"/>
          <w:color w:val="auto"/>
        </w:rPr>
      </w:pPr>
      <w:r>
        <w:rPr>
          <w:rFonts w:ascii="Times New Roman" w:cs="Times New Roman" w:eastAsia="Times New Roman" w:hAnsi="Times New Roman"/>
          <w:sz w:val="18"/>
          <w:szCs w:val="18"/>
          <w:i w:val="1"/>
          <w:iCs w:val="1"/>
          <w:color w:val="auto"/>
        </w:rPr>
        <w:t>Calavo Growers, Inc.</w:t>
      </w:r>
    </w:p>
    <w:p>
      <w:pPr>
        <w:spacing w:after="0" w:line="2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 xml:space="preserve">Page </w:t>
      </w:r>
      <w:r>
        <w:rPr>
          <w:rFonts w:ascii="Times New Roman" w:cs="Times New Roman" w:eastAsia="Times New Roman" w:hAnsi="Times New Roman"/>
          <w:sz w:val="18"/>
          <w:szCs w:val="18"/>
          <w:b w:val="1"/>
          <w:bCs w:val="1"/>
          <w:i w:val="1"/>
          <w:iCs w:val="1"/>
          <w:color w:val="auto"/>
        </w:rPr>
        <w:t>11</w:t>
      </w:r>
      <w:r>
        <w:rPr>
          <w:rFonts w:ascii="Times New Roman" w:cs="Times New Roman" w:eastAsia="Times New Roman" w:hAnsi="Times New Roman"/>
          <w:sz w:val="18"/>
          <w:szCs w:val="18"/>
          <w:i w:val="1"/>
          <w:iCs w:val="1"/>
          <w:color w:val="auto"/>
        </w:rPr>
        <w:t xml:space="preserve"> of </w:t>
      </w:r>
      <w:r>
        <w:rPr>
          <w:rFonts w:ascii="Times New Roman" w:cs="Times New Roman" w:eastAsia="Times New Roman" w:hAnsi="Times New Roman"/>
          <w:sz w:val="18"/>
          <w:szCs w:val="18"/>
          <w:b w:val="1"/>
          <w:bCs w:val="1"/>
          <w:i w:val="1"/>
          <w:iCs w:val="1"/>
          <w:color w:val="auto"/>
        </w:rPr>
        <w:t>14</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CALAVO GROWERS, INC.</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RECONCILIATION OF ADJUSTED NET INCOME AND EPS (UNAUDITED)</w:t>
      </w: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(in thousands, except per share amounts)</w:t>
      </w:r>
    </w:p>
    <w:p>
      <w:pPr>
        <w:spacing w:after="0" w:line="216" w:lineRule="exact"/>
        <w:rPr>
          <w:sz w:val="20"/>
          <w:szCs w:val="20"/>
          <w:color w:val="auto"/>
        </w:rPr>
      </w:pPr>
    </w:p>
    <w:p>
      <w:pPr>
        <w:jc w:val="both"/>
        <w:ind w:left="200" w:right="319"/>
        <w:spacing w:after="0" w:line="281" w:lineRule="auto"/>
        <w:rPr>
          <w:sz w:val="20"/>
          <w:szCs w:val="20"/>
          <w:color w:val="auto"/>
        </w:rPr>
      </w:pPr>
      <w:r>
        <w:rPr>
          <w:rFonts w:ascii="Times New Roman" w:cs="Times New Roman" w:eastAsia="Times New Roman" w:hAnsi="Times New Roman"/>
          <w:sz w:val="16"/>
          <w:szCs w:val="16"/>
          <w:color w:val="auto"/>
        </w:rPr>
        <w:t>The following table presents adjusted net income and adjusted diluted EPS, each a non-GAAP measure, and reconciles them to net income (loss) attributable to Calavo Growers, Inc., and Diluted EPS, which are the most directly comparable GAAP measures. See “Non-GAAP Financial Measures” earlier in this release.</w:t>
      </w:r>
    </w:p>
    <w:p>
      <w:pPr>
        <w:spacing w:after="0" w:line="200" w:lineRule="exact"/>
        <w:rPr>
          <w:sz w:val="20"/>
          <w:szCs w:val="20"/>
          <w:color w:val="auto"/>
        </w:rPr>
      </w:pPr>
    </w:p>
    <w:p>
      <w:pPr>
        <w:spacing w:after="0" w:line="332"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4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78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2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73"/>
        </w:trPr>
        <w:tc>
          <w:tcPr>
            <w:tcW w:w="48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April 30,</w:t>
            </w:r>
          </w:p>
        </w:tc>
        <w:tc>
          <w:tcPr>
            <w:tcW w:w="62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April 30,</w:t>
            </w:r>
          </w:p>
        </w:tc>
        <w:tc>
          <w:tcPr>
            <w:tcW w:w="60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86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26"/>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223"/>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2021</w:t>
            </w:r>
          </w:p>
        </w:tc>
        <w:tc>
          <w:tcPr>
            <w:tcW w:w="6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46"/>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63"/>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3"/>
        </w:trPr>
        <w:tc>
          <w:tcPr>
            <w:tcW w:w="4860" w:type="dxa"/>
            <w:vAlign w:val="bottom"/>
            <w:shd w:val="clear" w:color="auto" w:fill="CCEEFF"/>
          </w:tcPr>
          <w:p>
            <w:pPr>
              <w:spacing w:after="0" w:line="223" w:lineRule="exact"/>
              <w:rPr>
                <w:sz w:val="20"/>
                <w:szCs w:val="20"/>
                <w:color w:val="auto"/>
              </w:rPr>
            </w:pPr>
            <w:r>
              <w:rPr>
                <w:rFonts w:ascii="Times New Roman" w:cs="Times New Roman" w:eastAsia="Times New Roman" w:hAnsi="Times New Roman"/>
                <w:sz w:val="20"/>
                <w:szCs w:val="20"/>
                <w:color w:val="auto"/>
              </w:rPr>
              <w:t>Net income (loss) attributable to Calavo Growers, Inc.</w:t>
            </w:r>
          </w:p>
        </w:tc>
        <w:tc>
          <w:tcPr>
            <w:tcW w:w="140" w:type="dxa"/>
            <w:vAlign w:val="bottom"/>
            <w:shd w:val="clear" w:color="auto" w:fill="CCEEFF"/>
          </w:tcPr>
          <w:p>
            <w:pPr>
              <w:jc w:val="right"/>
              <w:spacing w:after="0" w:line="223" w:lineRule="exact"/>
              <w:rPr>
                <w:sz w:val="20"/>
                <w:szCs w:val="20"/>
                <w:color w:val="auto"/>
              </w:rPr>
            </w:pPr>
            <w:r>
              <w:rPr>
                <w:rFonts w:ascii="Times New Roman" w:cs="Times New Roman" w:eastAsia="Times New Roman" w:hAnsi="Times New Roman"/>
                <w:sz w:val="20"/>
                <w:szCs w:val="20"/>
                <w:color w:val="auto"/>
                <w:w w:val="79"/>
              </w:rPr>
              <w:t>$</w:t>
            </w:r>
          </w:p>
        </w:tc>
        <w:tc>
          <w:tcPr>
            <w:tcW w:w="600" w:type="dxa"/>
            <w:vAlign w:val="bottom"/>
            <w:shd w:val="clear" w:color="auto" w:fill="CCEEFF"/>
          </w:tcPr>
          <w:p>
            <w:pPr>
              <w:jc w:val="right"/>
              <w:spacing w:after="0" w:line="223" w:lineRule="exact"/>
              <w:rPr>
                <w:sz w:val="20"/>
                <w:szCs w:val="20"/>
                <w:color w:val="auto"/>
              </w:rPr>
            </w:pPr>
            <w:r>
              <w:rPr>
                <w:rFonts w:ascii="Times New Roman" w:cs="Times New Roman" w:eastAsia="Times New Roman" w:hAnsi="Times New Roman"/>
                <w:sz w:val="20"/>
                <w:szCs w:val="20"/>
                <w:color w:val="auto"/>
              </w:rPr>
              <w:t>(191)</w:t>
            </w: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01"/>
              <w:spacing w:after="0" w:line="223" w:lineRule="exact"/>
              <w:rPr>
                <w:sz w:val="20"/>
                <w:szCs w:val="20"/>
                <w:color w:val="auto"/>
              </w:rPr>
            </w:pPr>
            <w:r>
              <w:rPr>
                <w:rFonts w:ascii="Times New Roman" w:cs="Times New Roman" w:eastAsia="Times New Roman" w:hAnsi="Times New Roman"/>
                <w:sz w:val="20"/>
                <w:szCs w:val="20"/>
                <w:color w:val="auto"/>
                <w:w w:val="79"/>
              </w:rPr>
              <w:t>$</w:t>
            </w:r>
          </w:p>
        </w:tc>
        <w:tc>
          <w:tcPr>
            <w:tcW w:w="620" w:type="dxa"/>
            <w:vAlign w:val="bottom"/>
            <w:shd w:val="clear" w:color="auto" w:fill="CCEEFF"/>
          </w:tcPr>
          <w:p>
            <w:pPr>
              <w:jc w:val="right"/>
              <w:spacing w:after="0" w:line="223" w:lineRule="exact"/>
              <w:rPr>
                <w:sz w:val="20"/>
                <w:szCs w:val="20"/>
                <w:color w:val="auto"/>
              </w:rPr>
            </w:pPr>
            <w:r>
              <w:rPr>
                <w:rFonts w:ascii="Times New Roman" w:cs="Times New Roman" w:eastAsia="Times New Roman" w:hAnsi="Times New Roman"/>
                <w:sz w:val="20"/>
                <w:szCs w:val="20"/>
                <w:color w:val="auto"/>
              </w:rPr>
              <w:t>8,841</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line="223" w:lineRule="exact"/>
              <w:rPr>
                <w:sz w:val="20"/>
                <w:szCs w:val="20"/>
                <w:color w:val="auto"/>
              </w:rPr>
            </w:pPr>
            <w:r>
              <w:rPr>
                <w:rFonts w:ascii="Times New Roman" w:cs="Times New Roman" w:eastAsia="Times New Roman" w:hAnsi="Times New Roman"/>
                <w:sz w:val="20"/>
                <w:szCs w:val="20"/>
                <w:color w:val="auto"/>
                <w:w w:val="79"/>
              </w:rPr>
              <w:t>$</w:t>
            </w:r>
          </w:p>
        </w:tc>
        <w:tc>
          <w:tcPr>
            <w:tcW w:w="620" w:type="dxa"/>
            <w:vAlign w:val="bottom"/>
            <w:shd w:val="clear" w:color="auto" w:fill="CCEEFF"/>
          </w:tcPr>
          <w:p>
            <w:pPr>
              <w:jc w:val="right"/>
              <w:spacing w:after="0" w:line="223" w:lineRule="exact"/>
              <w:rPr>
                <w:sz w:val="20"/>
                <w:szCs w:val="20"/>
                <w:color w:val="auto"/>
              </w:rPr>
            </w:pPr>
            <w:r>
              <w:rPr>
                <w:rFonts w:ascii="Times New Roman" w:cs="Times New Roman" w:eastAsia="Times New Roman" w:hAnsi="Times New Roman"/>
                <w:sz w:val="20"/>
                <w:szCs w:val="20"/>
                <w:color w:val="auto"/>
              </w:rPr>
              <w:t>(4,234)</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line="223" w:lineRule="exact"/>
              <w:rPr>
                <w:sz w:val="20"/>
                <w:szCs w:val="20"/>
                <w:color w:val="auto"/>
              </w:rPr>
            </w:pPr>
            <w:r>
              <w:rPr>
                <w:rFonts w:ascii="Times New Roman" w:cs="Times New Roman" w:eastAsia="Times New Roman" w:hAnsi="Times New Roman"/>
                <w:sz w:val="20"/>
                <w:szCs w:val="20"/>
                <w:color w:val="auto"/>
                <w:w w:val="79"/>
              </w:rPr>
              <w:t>$</w:t>
            </w:r>
          </w:p>
        </w:tc>
        <w:tc>
          <w:tcPr>
            <w:tcW w:w="600" w:type="dxa"/>
            <w:vAlign w:val="bottom"/>
            <w:shd w:val="clear" w:color="auto" w:fill="CCEEFF"/>
          </w:tcPr>
          <w:p>
            <w:pPr>
              <w:jc w:val="right"/>
              <w:spacing w:after="0" w:line="223" w:lineRule="exact"/>
              <w:rPr>
                <w:sz w:val="20"/>
                <w:szCs w:val="20"/>
                <w:color w:val="auto"/>
              </w:rPr>
            </w:pPr>
            <w:r>
              <w:rPr>
                <w:rFonts w:ascii="Times New Roman" w:cs="Times New Roman" w:eastAsia="Times New Roman" w:hAnsi="Times New Roman"/>
                <w:sz w:val="20"/>
                <w:szCs w:val="20"/>
                <w:color w:val="auto"/>
              </w:rPr>
              <w:t>14,118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60" w:type="dxa"/>
            <w:vAlign w:val="bottom"/>
          </w:tcPr>
          <w:p>
            <w:pPr>
              <w:spacing w:after="0"/>
              <w:rPr>
                <w:sz w:val="20"/>
                <w:szCs w:val="20"/>
                <w:color w:val="auto"/>
              </w:rPr>
            </w:pPr>
            <w:r>
              <w:rPr>
                <w:rFonts w:ascii="Times New Roman" w:cs="Times New Roman" w:eastAsia="Times New Roman" w:hAnsi="Times New Roman"/>
                <w:sz w:val="20"/>
                <w:szCs w:val="20"/>
                <w:color w:val="auto"/>
              </w:rPr>
              <w:t>Non-GAAP adjustments:</w:t>
            </w: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4860" w:type="dxa"/>
            <w:vAlign w:val="bottom"/>
            <w:shd w:val="clear" w:color="auto" w:fill="CCEEFF"/>
          </w:tcPr>
          <w:p>
            <w:pPr>
              <w:spacing w:after="0" w:line="207" w:lineRule="exact"/>
              <w:rPr>
                <w:sz w:val="20"/>
                <w:szCs w:val="20"/>
                <w:color w:val="auto"/>
              </w:rPr>
            </w:pPr>
            <w:r>
              <w:rPr>
                <w:rFonts w:ascii="Times New Roman" w:cs="Times New Roman" w:eastAsia="Times New Roman" w:hAnsi="Times New Roman"/>
                <w:sz w:val="20"/>
                <w:szCs w:val="20"/>
                <w:color w:val="auto"/>
              </w:rPr>
              <w:t>Non-cash losses recognized from unconsolidated entities</w:t>
            </w: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(a)</w:t>
            </w:r>
          </w:p>
        </w:tc>
        <w:tc>
          <w:tcPr>
            <w:tcW w:w="14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20"/>
                <w:szCs w:val="20"/>
                <w:color w:val="auto"/>
              </w:rPr>
              <w:t>8</w:t>
            </w:r>
          </w:p>
        </w:tc>
        <w:tc>
          <w:tcPr>
            <w:tcW w:w="30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20"/>
                <w:szCs w:val="20"/>
                <w:color w:val="auto"/>
              </w:rPr>
              <w:t>1,131</w:t>
            </w:r>
          </w:p>
        </w:tc>
        <w:tc>
          <w:tcPr>
            <w:tcW w:w="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20"/>
                <w:szCs w:val="20"/>
                <w:color w:val="auto"/>
              </w:rPr>
              <w:t>543</w:t>
            </w:r>
          </w:p>
        </w:tc>
        <w:tc>
          <w:tcPr>
            <w:tcW w:w="18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1,286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860" w:type="dxa"/>
            <w:vAlign w:val="bottom"/>
          </w:tcPr>
          <w:p>
            <w:pPr>
              <w:spacing w:after="0"/>
              <w:rPr>
                <w:sz w:val="20"/>
                <w:szCs w:val="20"/>
                <w:color w:val="auto"/>
              </w:rPr>
            </w:pPr>
            <w:r>
              <w:rPr>
                <w:rFonts w:ascii="Times New Roman" w:cs="Times New Roman" w:eastAsia="Times New Roman" w:hAnsi="Times New Roman"/>
                <w:sz w:val="20"/>
                <w:szCs w:val="20"/>
                <w:color w:val="auto"/>
              </w:rPr>
              <w:t>Loss from FreshRealm and other related expenses (b)</w:t>
            </w:r>
          </w:p>
        </w:tc>
        <w:tc>
          <w:tcPr>
            <w:tcW w:w="140" w:type="dxa"/>
            <w:vAlign w:val="bottom"/>
          </w:tcPr>
          <w:p>
            <w:pPr>
              <w:spacing w:after="0"/>
              <w:rPr>
                <w:sz w:val="19"/>
                <w:szCs w:val="19"/>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300" w:type="dxa"/>
            <w:vAlign w:val="bottom"/>
          </w:tcPr>
          <w:p>
            <w:pPr>
              <w:spacing w:after="0"/>
              <w:rPr>
                <w:sz w:val="19"/>
                <w:szCs w:val="19"/>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50</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Acquisition costs (c)</w:t>
            </w:r>
          </w:p>
        </w:tc>
        <w:tc>
          <w:tcPr>
            <w:tcW w:w="1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3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262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60" w:type="dxa"/>
            <w:vAlign w:val="bottom"/>
          </w:tcPr>
          <w:p>
            <w:pPr>
              <w:spacing w:after="0"/>
              <w:rPr>
                <w:sz w:val="20"/>
                <w:szCs w:val="20"/>
                <w:color w:val="auto"/>
              </w:rPr>
            </w:pPr>
            <w:r>
              <w:rPr>
                <w:rFonts w:ascii="Times New Roman" w:cs="Times New Roman" w:eastAsia="Times New Roman" w:hAnsi="Times New Roman"/>
                <w:sz w:val="20"/>
                <w:szCs w:val="20"/>
                <w:color w:val="auto"/>
              </w:rPr>
              <w:t>Net (gain) loss on Limoneira shares (d)</w:t>
            </w:r>
          </w:p>
        </w:tc>
        <w:tc>
          <w:tcPr>
            <w:tcW w:w="140" w:type="dxa"/>
            <w:vAlign w:val="bottom"/>
          </w:tcPr>
          <w:p>
            <w:pPr>
              <w:spacing w:after="0"/>
              <w:rPr>
                <w:sz w:val="19"/>
                <w:szCs w:val="19"/>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4,898</w:t>
            </w:r>
          </w:p>
        </w:tc>
        <w:tc>
          <w:tcPr>
            <w:tcW w:w="300" w:type="dxa"/>
            <w:vAlign w:val="bottom"/>
          </w:tcPr>
          <w:p>
            <w:pPr>
              <w:spacing w:after="0"/>
              <w:rPr>
                <w:sz w:val="19"/>
                <w:szCs w:val="19"/>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(3,506)</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7,028</w:t>
            </w:r>
          </w:p>
        </w:tc>
        <w:tc>
          <w:tcPr>
            <w:tcW w:w="1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(7,095)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RFG rent expense add back (e)</w:t>
            </w:r>
          </w:p>
        </w:tc>
        <w:tc>
          <w:tcPr>
            <w:tcW w:w="1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20"/>
                <w:szCs w:val="20"/>
                <w:color w:val="auto"/>
              </w:rPr>
              <w:t>108</w:t>
            </w:r>
          </w:p>
        </w:tc>
        <w:tc>
          <w:tcPr>
            <w:tcW w:w="3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20"/>
                <w:szCs w:val="20"/>
                <w:color w:val="auto"/>
              </w:rPr>
              <w:t>108</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20"/>
                <w:szCs w:val="20"/>
                <w:color w:val="auto"/>
              </w:rPr>
              <w:t>216</w:t>
            </w:r>
          </w:p>
        </w:tc>
        <w:tc>
          <w:tcPr>
            <w:tcW w:w="1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216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4860" w:type="dxa"/>
            <w:vAlign w:val="bottom"/>
          </w:tcPr>
          <w:p>
            <w:pPr>
              <w:spacing w:after="0" w:line="207" w:lineRule="exact"/>
              <w:rPr>
                <w:sz w:val="20"/>
                <w:szCs w:val="20"/>
                <w:color w:val="auto"/>
              </w:rPr>
            </w:pPr>
            <w:r>
              <w:rPr>
                <w:rFonts w:ascii="Times New Roman" w:cs="Times New Roman" w:eastAsia="Times New Roman" w:hAnsi="Times New Roman"/>
                <w:sz w:val="20"/>
                <w:szCs w:val="20"/>
                <w:color w:val="auto"/>
              </w:rPr>
              <w:t>Restructure costs - consulting, management recruiting and</w:t>
            </w: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4860" w:type="dxa"/>
            <w:vAlign w:val="bottom"/>
          </w:tcPr>
          <w:p>
            <w:pPr>
              <w:spacing w:after="0"/>
              <w:rPr>
                <w:sz w:val="20"/>
                <w:szCs w:val="20"/>
                <w:color w:val="auto"/>
              </w:rPr>
            </w:pPr>
            <w:r>
              <w:rPr>
                <w:rFonts w:ascii="Times New Roman" w:cs="Times New Roman" w:eastAsia="Times New Roman" w:hAnsi="Times New Roman"/>
                <w:sz w:val="20"/>
                <w:szCs w:val="20"/>
                <w:color w:val="auto"/>
              </w:rPr>
              <w:t>severance (f)</w:t>
            </w:r>
          </w:p>
        </w:tc>
        <w:tc>
          <w:tcPr>
            <w:tcW w:w="140" w:type="dxa"/>
            <w:vAlign w:val="bottom"/>
          </w:tcPr>
          <w:p>
            <w:pPr>
              <w:spacing w:after="0"/>
              <w:rPr>
                <w:sz w:val="21"/>
                <w:szCs w:val="21"/>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2,157</w:t>
            </w:r>
          </w:p>
        </w:tc>
        <w:tc>
          <w:tcPr>
            <w:tcW w:w="300" w:type="dxa"/>
            <w:vAlign w:val="bottom"/>
          </w:tcPr>
          <w:p>
            <w:pPr>
              <w:spacing w:after="0"/>
              <w:rPr>
                <w:sz w:val="21"/>
                <w:szCs w:val="21"/>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685</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3,275</w:t>
            </w:r>
          </w:p>
        </w:tc>
        <w:tc>
          <w:tcPr>
            <w:tcW w:w="180" w:type="dxa"/>
            <w:vAlign w:val="bottom"/>
          </w:tcPr>
          <w:p>
            <w:pPr>
              <w:spacing w:after="0"/>
              <w:rPr>
                <w:sz w:val="21"/>
                <w:szCs w:val="21"/>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685</w:t>
            </w:r>
          </w:p>
        </w:tc>
        <w:tc>
          <w:tcPr>
            <w:tcW w:w="0" w:type="dxa"/>
            <w:vAlign w:val="bottom"/>
          </w:tcPr>
          <w:p>
            <w:pPr>
              <w:spacing w:after="0"/>
              <w:rPr>
                <w:sz w:val="1"/>
                <w:szCs w:val="1"/>
                <w:color w:val="auto"/>
              </w:rPr>
            </w:pPr>
          </w:p>
        </w:tc>
      </w:tr>
      <w:tr>
        <w:trPr>
          <w:trHeight w:val="230"/>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Mexican tax matters (g)</w:t>
            </w:r>
          </w:p>
        </w:tc>
        <w:tc>
          <w:tcPr>
            <w:tcW w:w="1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20"/>
                <w:szCs w:val="20"/>
                <w:color w:val="auto"/>
              </w:rPr>
              <w:t>478</w:t>
            </w:r>
          </w:p>
        </w:tc>
        <w:tc>
          <w:tcPr>
            <w:tcW w:w="3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20"/>
                <w:szCs w:val="20"/>
                <w:color w:val="auto"/>
              </w:rPr>
              <w:t>845</w:t>
            </w:r>
          </w:p>
        </w:tc>
        <w:tc>
          <w:tcPr>
            <w:tcW w:w="1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4860" w:type="dxa"/>
            <w:vAlign w:val="bottom"/>
          </w:tcPr>
          <w:p>
            <w:pPr>
              <w:spacing w:after="0" w:line="207" w:lineRule="exact"/>
              <w:rPr>
                <w:sz w:val="20"/>
                <w:szCs w:val="20"/>
                <w:color w:val="auto"/>
              </w:rPr>
            </w:pPr>
            <w:r>
              <w:rPr>
                <w:rFonts w:ascii="Times New Roman" w:cs="Times New Roman" w:eastAsia="Times New Roman" w:hAnsi="Times New Roman"/>
                <w:sz w:val="20"/>
                <w:szCs w:val="20"/>
                <w:color w:val="auto"/>
              </w:rPr>
              <w:t>Impairment and charges related to closure of RFG Florida</w:t>
            </w: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4860" w:type="dxa"/>
            <w:vAlign w:val="bottom"/>
          </w:tcPr>
          <w:p>
            <w:pPr>
              <w:spacing w:after="0"/>
              <w:rPr>
                <w:sz w:val="20"/>
                <w:szCs w:val="20"/>
                <w:color w:val="auto"/>
              </w:rPr>
            </w:pPr>
            <w:r>
              <w:rPr>
                <w:rFonts w:ascii="Times New Roman" w:cs="Times New Roman" w:eastAsia="Times New Roman" w:hAnsi="Times New Roman"/>
                <w:sz w:val="20"/>
                <w:szCs w:val="20"/>
                <w:color w:val="auto"/>
              </w:rPr>
              <w:t>facility (h)</w:t>
            </w:r>
          </w:p>
        </w:tc>
        <w:tc>
          <w:tcPr>
            <w:tcW w:w="140" w:type="dxa"/>
            <w:vAlign w:val="bottom"/>
          </w:tcPr>
          <w:p>
            <w:pPr>
              <w:spacing w:after="0"/>
              <w:rPr>
                <w:sz w:val="21"/>
                <w:szCs w:val="21"/>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305</w:t>
            </w:r>
          </w:p>
        </w:tc>
        <w:tc>
          <w:tcPr>
            <w:tcW w:w="300" w:type="dxa"/>
            <w:vAlign w:val="bottom"/>
          </w:tcPr>
          <w:p>
            <w:pPr>
              <w:spacing w:after="0"/>
              <w:rPr>
                <w:sz w:val="21"/>
                <w:szCs w:val="21"/>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959</w:t>
            </w:r>
          </w:p>
        </w:tc>
        <w:tc>
          <w:tcPr>
            <w:tcW w:w="180" w:type="dxa"/>
            <w:vAlign w:val="bottom"/>
          </w:tcPr>
          <w:p>
            <w:pPr>
              <w:spacing w:after="0"/>
              <w:rPr>
                <w:sz w:val="21"/>
                <w:szCs w:val="21"/>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30"/>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Tax impact of adjustments (i)</w:t>
            </w:r>
          </w:p>
        </w:tc>
        <w:tc>
          <w:tcPr>
            <w:tcW w:w="1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20"/>
                <w:szCs w:val="20"/>
                <w:color w:val="auto"/>
                <w:w w:val="99"/>
              </w:rPr>
              <w:t>(1,979)</w:t>
            </w:r>
          </w:p>
        </w:tc>
        <w:tc>
          <w:tcPr>
            <w:tcW w:w="3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20"/>
                <w:szCs w:val="20"/>
                <w:color w:val="auto"/>
              </w:rPr>
              <w:t>367</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20"/>
                <w:szCs w:val="20"/>
                <w:color w:val="auto"/>
              </w:rPr>
              <w:t>(3,217)</w:t>
            </w:r>
          </w:p>
        </w:tc>
        <w:tc>
          <w:tcPr>
            <w:tcW w:w="1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1,166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4860" w:type="dxa"/>
            <w:vAlign w:val="bottom"/>
            <w:tcBorders>
              <w:bottom w:val="single" w:sz="8" w:color="CCEEFF"/>
            </w:tcBorders>
          </w:tcPr>
          <w:p>
            <w:pPr>
              <w:spacing w:after="0" w:line="223" w:lineRule="exact"/>
              <w:rPr>
                <w:sz w:val="20"/>
                <w:szCs w:val="20"/>
                <w:color w:val="auto"/>
              </w:rPr>
            </w:pPr>
            <w:r>
              <w:rPr>
                <w:rFonts w:ascii="Times New Roman" w:cs="Times New Roman" w:eastAsia="Times New Roman" w:hAnsi="Times New Roman"/>
                <w:sz w:val="20"/>
                <w:szCs w:val="20"/>
                <w:color w:val="auto"/>
              </w:rPr>
              <w:t>Adjusted net income attributed to Calavo Growers, Inc.</w:t>
            </w:r>
          </w:p>
        </w:tc>
        <w:tc>
          <w:tcPr>
            <w:tcW w:w="140" w:type="dxa"/>
            <w:vAlign w:val="bottom"/>
            <w:tcBorders>
              <w:top w:val="single" w:sz="8" w:color="auto"/>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w w:val="79"/>
              </w:rPr>
              <w:t>$</w:t>
            </w:r>
          </w:p>
        </w:tc>
        <w:tc>
          <w:tcPr>
            <w:tcW w:w="600" w:type="dxa"/>
            <w:vAlign w:val="bottom"/>
            <w:tcBorders>
              <w:top w:val="single" w:sz="8" w:color="auto"/>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5,784</w:t>
            </w:r>
          </w:p>
        </w:tc>
        <w:tc>
          <w:tcPr>
            <w:tcW w:w="20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jc w:val="right"/>
              <w:ind w:right="101"/>
              <w:spacing w:after="0" w:line="223" w:lineRule="exact"/>
              <w:rPr>
                <w:sz w:val="20"/>
                <w:szCs w:val="20"/>
                <w:color w:val="auto"/>
              </w:rPr>
            </w:pPr>
            <w:r>
              <w:rPr>
                <w:rFonts w:ascii="Times New Roman" w:cs="Times New Roman" w:eastAsia="Times New Roman" w:hAnsi="Times New Roman"/>
                <w:sz w:val="20"/>
                <w:szCs w:val="20"/>
                <w:color w:val="auto"/>
                <w:w w:val="79"/>
              </w:rPr>
              <w:t>$</w:t>
            </w:r>
          </w:p>
        </w:tc>
        <w:tc>
          <w:tcPr>
            <w:tcW w:w="620" w:type="dxa"/>
            <w:vAlign w:val="bottom"/>
            <w:tcBorders>
              <w:top w:val="single" w:sz="8" w:color="auto"/>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7,676</w:t>
            </w:r>
          </w:p>
        </w:tc>
        <w:tc>
          <w:tcPr>
            <w:tcW w:w="6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w w:val="79"/>
              </w:rPr>
              <w:t>$</w:t>
            </w:r>
          </w:p>
        </w:tc>
        <w:tc>
          <w:tcPr>
            <w:tcW w:w="620" w:type="dxa"/>
            <w:vAlign w:val="bottom"/>
            <w:tcBorders>
              <w:top w:val="single" w:sz="8" w:color="auto"/>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5,415</w:t>
            </w:r>
          </w:p>
        </w:tc>
        <w:tc>
          <w:tcPr>
            <w:tcW w:w="20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w w:val="79"/>
              </w:rPr>
              <w:t>$</w:t>
            </w:r>
          </w:p>
        </w:tc>
        <w:tc>
          <w:tcPr>
            <w:tcW w:w="600" w:type="dxa"/>
            <w:vAlign w:val="bottom"/>
            <w:tcBorders>
              <w:top w:val="single" w:sz="8" w:color="auto"/>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10,649</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4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860" w:type="dxa"/>
            <w:vAlign w:val="bottom"/>
          </w:tcPr>
          <w:p>
            <w:pPr>
              <w:spacing w:after="0"/>
              <w:rPr>
                <w:sz w:val="20"/>
                <w:szCs w:val="20"/>
                <w:color w:val="auto"/>
              </w:rPr>
            </w:pPr>
            <w:r>
              <w:rPr>
                <w:rFonts w:ascii="Times New Roman" w:cs="Times New Roman" w:eastAsia="Times New Roman" w:hAnsi="Times New Roman"/>
                <w:sz w:val="20"/>
                <w:szCs w:val="20"/>
                <w:color w:val="auto"/>
              </w:rPr>
              <w:t>Calavo Growers, Inc.’s net income (loss) per share:</w:t>
            </w: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Diluted EPS (GAAP)</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20"/>
                <w:szCs w:val="20"/>
                <w:color w:val="auto"/>
              </w:rPr>
              <w:t>(0.01)</w:t>
            </w:r>
          </w:p>
        </w:tc>
        <w:tc>
          <w:tcPr>
            <w:tcW w:w="30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20"/>
                <w:szCs w:val="20"/>
                <w:color w:val="auto"/>
                <w:w w:val="79"/>
              </w:rPr>
              <w:t>$</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20"/>
                <w:szCs w:val="20"/>
                <w:color w:val="auto"/>
              </w:rPr>
              <w:t>0.50</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20"/>
                <w:szCs w:val="20"/>
                <w:color w:val="auto"/>
              </w:rPr>
              <w:t>(0.24)</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0.</w:t>
            </w:r>
            <w:r>
              <w:rPr>
                <w:rFonts w:ascii="Times New Roman" w:cs="Times New Roman" w:eastAsia="Times New Roman" w:hAnsi="Times New Roman"/>
                <w:sz w:val="20"/>
                <w:szCs w:val="20"/>
                <w:u w:val="single" w:color="auto"/>
                <w:color w:val="auto"/>
              </w:rPr>
              <w:t>80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20"/>
                <w:szCs w:val="20"/>
                <w:color w:val="auto"/>
              </w:rPr>
              <w:t>Adjusted Diluted EPS</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CCEEFF"/>
            </w:tcBorders>
            <w:vMerge w:val="restart"/>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CCEEFF"/>
            </w:tcBorders>
            <w:vMerge w:val="restart"/>
          </w:tcPr>
          <w:p>
            <w:pPr>
              <w:spacing w:after="0" w:line="20" w:lineRule="exact"/>
              <w:rPr>
                <w:sz w:val="1"/>
                <w:szCs w:val="1"/>
                <w:color w:val="auto"/>
              </w:rPr>
            </w:pPr>
          </w:p>
        </w:tc>
        <w:tc>
          <w:tcPr>
            <w:tcW w:w="60" w:type="dxa"/>
            <w:vAlign w:val="bottom"/>
            <w:tcBorders>
              <w:top w:val="single" w:sz="8" w:color="CCEEFF"/>
              <w:bottom w:val="single" w:sz="8" w:color="CCEEFF"/>
            </w:tcBorders>
            <w:vMerge w:val="restart"/>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CCEEFF"/>
            </w:tcBorders>
            <w:vMerge w:val="restart"/>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860" w:type="dxa"/>
            <w:vAlign w:val="bottom"/>
            <w:tcBorders>
              <w:bottom w:val="single" w:sz="8" w:color="CCEEFF"/>
            </w:tcBorders>
            <w:vMerge w:val="continue"/>
          </w:tcPr>
          <w:p>
            <w:pPr>
              <w:spacing w:after="0"/>
              <w:rPr>
                <w:sz w:val="21"/>
                <w:szCs w:val="21"/>
                <w:color w:val="auto"/>
              </w:rPr>
            </w:pPr>
          </w:p>
        </w:tc>
        <w:tc>
          <w:tcPr>
            <w:tcW w:w="140" w:type="dxa"/>
            <w:vAlign w:val="bottom"/>
            <w:tcBorders>
              <w:bottom w:val="single" w:sz="8" w:color="auto"/>
            </w:tcBorders>
          </w:tcPr>
          <w:p>
            <w:pPr>
              <w:jc w:val="right"/>
              <w:spacing w:after="0" w:line="210" w:lineRule="exact"/>
              <w:rPr>
                <w:sz w:val="20"/>
                <w:szCs w:val="20"/>
                <w:color w:val="auto"/>
              </w:rPr>
            </w:pPr>
            <w:r>
              <w:rPr>
                <w:rFonts w:ascii="Times New Roman" w:cs="Times New Roman" w:eastAsia="Times New Roman" w:hAnsi="Times New Roman"/>
                <w:sz w:val="20"/>
                <w:szCs w:val="20"/>
                <w:color w:val="auto"/>
                <w:w w:val="79"/>
              </w:rPr>
              <w:t>$</w:t>
            </w:r>
          </w:p>
        </w:tc>
        <w:tc>
          <w:tcPr>
            <w:tcW w:w="600" w:type="dxa"/>
            <w:vAlign w:val="bottom"/>
            <w:tcBorders>
              <w:bottom w:val="single" w:sz="8" w:color="auto"/>
            </w:tcBorders>
          </w:tcPr>
          <w:p>
            <w:pPr>
              <w:jc w:val="right"/>
              <w:spacing w:after="0" w:line="210" w:lineRule="exact"/>
              <w:rPr>
                <w:sz w:val="20"/>
                <w:szCs w:val="20"/>
                <w:color w:val="auto"/>
              </w:rPr>
            </w:pPr>
            <w:r>
              <w:rPr>
                <w:rFonts w:ascii="Times New Roman" w:cs="Times New Roman" w:eastAsia="Times New Roman" w:hAnsi="Times New Roman"/>
                <w:sz w:val="20"/>
                <w:szCs w:val="20"/>
                <w:color w:val="auto"/>
              </w:rPr>
              <w:t>0.</w:t>
            </w:r>
            <w:r>
              <w:rPr>
                <w:rFonts w:ascii="Times New Roman" w:cs="Times New Roman" w:eastAsia="Times New Roman" w:hAnsi="Times New Roman"/>
                <w:sz w:val="20"/>
                <w:szCs w:val="20"/>
                <w:u w:val="single" w:color="auto"/>
                <w:color w:val="auto"/>
              </w:rPr>
              <w:t>33</w:t>
            </w:r>
          </w:p>
        </w:tc>
        <w:tc>
          <w:tcPr>
            <w:tcW w:w="200" w:type="dxa"/>
            <w:vAlign w:val="bottom"/>
            <w:tcBorders>
              <w:bottom w:val="single" w:sz="8" w:color="CCEEFF"/>
            </w:tcBorders>
            <w:vMerge w:val="continue"/>
          </w:tcPr>
          <w:p>
            <w:pPr>
              <w:spacing w:after="0"/>
              <w:rPr>
                <w:sz w:val="21"/>
                <w:szCs w:val="21"/>
                <w:color w:val="auto"/>
              </w:rPr>
            </w:pPr>
          </w:p>
        </w:tc>
        <w:tc>
          <w:tcPr>
            <w:tcW w:w="300" w:type="dxa"/>
            <w:vAlign w:val="bottom"/>
            <w:tcBorders>
              <w:bottom w:val="single" w:sz="8" w:color="auto"/>
            </w:tcBorders>
          </w:tcPr>
          <w:p>
            <w:pPr>
              <w:jc w:val="right"/>
              <w:ind w:right="101"/>
              <w:spacing w:after="0" w:line="210" w:lineRule="exact"/>
              <w:rPr>
                <w:sz w:val="20"/>
                <w:szCs w:val="20"/>
                <w:color w:val="auto"/>
              </w:rPr>
            </w:pPr>
            <w:r>
              <w:rPr>
                <w:rFonts w:ascii="Times New Roman" w:cs="Times New Roman" w:eastAsia="Times New Roman" w:hAnsi="Times New Roman"/>
                <w:sz w:val="20"/>
                <w:szCs w:val="20"/>
                <w:color w:val="auto"/>
                <w:w w:val="79"/>
              </w:rPr>
              <w:t>$</w:t>
            </w:r>
          </w:p>
        </w:tc>
        <w:tc>
          <w:tcPr>
            <w:tcW w:w="620" w:type="dxa"/>
            <w:vAlign w:val="bottom"/>
            <w:tcBorders>
              <w:bottom w:val="single" w:sz="8" w:color="auto"/>
            </w:tcBorders>
          </w:tcPr>
          <w:p>
            <w:pPr>
              <w:jc w:val="right"/>
              <w:spacing w:after="0" w:line="210" w:lineRule="exact"/>
              <w:rPr>
                <w:sz w:val="20"/>
                <w:szCs w:val="20"/>
                <w:color w:val="auto"/>
              </w:rPr>
            </w:pPr>
            <w:r>
              <w:rPr>
                <w:rFonts w:ascii="Times New Roman" w:cs="Times New Roman" w:eastAsia="Times New Roman" w:hAnsi="Times New Roman"/>
                <w:sz w:val="20"/>
                <w:szCs w:val="20"/>
                <w:color w:val="auto"/>
              </w:rPr>
              <w:t>0.43</w:t>
            </w:r>
          </w:p>
        </w:tc>
        <w:tc>
          <w:tcPr>
            <w:tcW w:w="60" w:type="dxa"/>
            <w:vAlign w:val="bottom"/>
            <w:tcBorders>
              <w:bottom w:val="single" w:sz="8" w:color="CCEEFF"/>
            </w:tcBorders>
            <w:vMerge w:val="continue"/>
          </w:tcPr>
          <w:p>
            <w:pPr>
              <w:spacing w:after="0"/>
              <w:rPr>
                <w:sz w:val="21"/>
                <w:szCs w:val="21"/>
                <w:color w:val="auto"/>
              </w:rPr>
            </w:pPr>
          </w:p>
        </w:tc>
        <w:tc>
          <w:tcPr>
            <w:tcW w:w="60" w:type="dxa"/>
            <w:vAlign w:val="bottom"/>
            <w:tcBorders>
              <w:bottom w:val="single" w:sz="8" w:color="CCEEFF"/>
            </w:tcBorders>
            <w:vMerge w:val="continue"/>
          </w:tcPr>
          <w:p>
            <w:pPr>
              <w:spacing w:after="0"/>
              <w:rPr>
                <w:sz w:val="21"/>
                <w:szCs w:val="21"/>
                <w:color w:val="auto"/>
              </w:rPr>
            </w:pPr>
          </w:p>
        </w:tc>
        <w:tc>
          <w:tcPr>
            <w:tcW w:w="140" w:type="dxa"/>
            <w:vAlign w:val="bottom"/>
            <w:tcBorders>
              <w:bottom w:val="single" w:sz="8" w:color="auto"/>
            </w:tcBorders>
          </w:tcPr>
          <w:p>
            <w:pPr>
              <w:jc w:val="right"/>
              <w:spacing w:after="0" w:line="210" w:lineRule="exact"/>
              <w:rPr>
                <w:sz w:val="20"/>
                <w:szCs w:val="20"/>
                <w:color w:val="auto"/>
              </w:rPr>
            </w:pPr>
            <w:r>
              <w:rPr>
                <w:rFonts w:ascii="Times New Roman" w:cs="Times New Roman" w:eastAsia="Times New Roman" w:hAnsi="Times New Roman"/>
                <w:sz w:val="20"/>
                <w:szCs w:val="20"/>
                <w:color w:val="auto"/>
                <w:w w:val="79"/>
              </w:rPr>
              <w:t>$</w:t>
            </w:r>
          </w:p>
        </w:tc>
        <w:tc>
          <w:tcPr>
            <w:tcW w:w="620" w:type="dxa"/>
            <w:vAlign w:val="bottom"/>
            <w:tcBorders>
              <w:bottom w:val="single" w:sz="8" w:color="auto"/>
            </w:tcBorders>
          </w:tcPr>
          <w:p>
            <w:pPr>
              <w:jc w:val="right"/>
              <w:spacing w:after="0" w:line="210" w:lineRule="exact"/>
              <w:rPr>
                <w:sz w:val="20"/>
                <w:szCs w:val="20"/>
                <w:color w:val="auto"/>
              </w:rPr>
            </w:pPr>
            <w:r>
              <w:rPr>
                <w:rFonts w:ascii="Times New Roman" w:cs="Times New Roman" w:eastAsia="Times New Roman" w:hAnsi="Times New Roman"/>
                <w:sz w:val="20"/>
                <w:szCs w:val="20"/>
                <w:color w:val="auto"/>
              </w:rPr>
              <w:t>0.</w:t>
            </w:r>
            <w:r>
              <w:rPr>
                <w:rFonts w:ascii="Times New Roman" w:cs="Times New Roman" w:eastAsia="Times New Roman" w:hAnsi="Times New Roman"/>
                <w:sz w:val="20"/>
                <w:szCs w:val="20"/>
                <w:u w:val="single" w:color="auto"/>
                <w:color w:val="auto"/>
              </w:rPr>
              <w:t>31</w:t>
            </w:r>
          </w:p>
        </w:tc>
        <w:tc>
          <w:tcPr>
            <w:tcW w:w="200" w:type="dxa"/>
            <w:vAlign w:val="bottom"/>
            <w:tcBorders>
              <w:bottom w:val="single" w:sz="8" w:color="CCEEFF"/>
            </w:tcBorders>
            <w:vMerge w:val="continue"/>
          </w:tcPr>
          <w:p>
            <w:pPr>
              <w:spacing w:after="0"/>
              <w:rPr>
                <w:sz w:val="21"/>
                <w:szCs w:val="21"/>
                <w:color w:val="auto"/>
              </w:rPr>
            </w:pPr>
          </w:p>
        </w:tc>
        <w:tc>
          <w:tcPr>
            <w:tcW w:w="180" w:type="dxa"/>
            <w:vAlign w:val="bottom"/>
            <w:tcBorders>
              <w:bottom w:val="single" w:sz="8" w:color="auto"/>
            </w:tcBorders>
          </w:tcPr>
          <w:p>
            <w:pPr>
              <w:jc w:val="right"/>
              <w:spacing w:after="0" w:line="210" w:lineRule="exact"/>
              <w:rPr>
                <w:sz w:val="20"/>
                <w:szCs w:val="20"/>
                <w:color w:val="auto"/>
              </w:rPr>
            </w:pPr>
            <w:r>
              <w:rPr>
                <w:rFonts w:ascii="Times New Roman" w:cs="Times New Roman" w:eastAsia="Times New Roman" w:hAnsi="Times New Roman"/>
                <w:sz w:val="20"/>
                <w:szCs w:val="20"/>
                <w:color w:val="auto"/>
                <w:w w:val="79"/>
              </w:rPr>
              <w:t>$</w:t>
            </w:r>
          </w:p>
        </w:tc>
        <w:tc>
          <w:tcPr>
            <w:tcW w:w="600" w:type="dxa"/>
            <w:vAlign w:val="bottom"/>
            <w:tcBorders>
              <w:bottom w:val="single" w:sz="8" w:color="auto"/>
            </w:tcBorders>
          </w:tcPr>
          <w:p>
            <w:pPr>
              <w:jc w:val="right"/>
              <w:spacing w:after="0" w:line="210" w:lineRule="exact"/>
              <w:rPr>
                <w:sz w:val="20"/>
                <w:szCs w:val="20"/>
                <w:color w:val="auto"/>
              </w:rPr>
            </w:pPr>
            <w:r>
              <w:rPr>
                <w:rFonts w:ascii="Times New Roman" w:cs="Times New Roman" w:eastAsia="Times New Roman" w:hAnsi="Times New Roman"/>
                <w:sz w:val="20"/>
                <w:szCs w:val="20"/>
                <w:color w:val="auto"/>
              </w:rPr>
              <w:t>0.</w:t>
            </w:r>
            <w:r>
              <w:rPr>
                <w:rFonts w:ascii="Times New Roman" w:cs="Times New Roman" w:eastAsia="Times New Roman" w:hAnsi="Times New Roman"/>
                <w:sz w:val="20"/>
                <w:szCs w:val="20"/>
                <w:u w:val="single" w:color="auto"/>
                <w:color w:val="auto"/>
              </w:rPr>
              <w:t>60</w:t>
            </w:r>
          </w:p>
        </w:tc>
        <w:tc>
          <w:tcPr>
            <w:tcW w:w="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4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60" w:type="dxa"/>
            <w:vAlign w:val="bottom"/>
          </w:tcPr>
          <w:p>
            <w:pPr>
              <w:spacing w:after="0"/>
              <w:rPr>
                <w:sz w:val="20"/>
                <w:szCs w:val="20"/>
                <w:color w:val="auto"/>
              </w:rPr>
            </w:pPr>
            <w:r>
              <w:rPr>
                <w:rFonts w:ascii="Times New Roman" w:cs="Times New Roman" w:eastAsia="Times New Roman" w:hAnsi="Times New Roman"/>
                <w:sz w:val="20"/>
                <w:szCs w:val="20"/>
                <w:color w:val="auto"/>
              </w:rPr>
              <w:t>Number of shares used in per share computation:</w:t>
            </w: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20"/>
                <w:szCs w:val="20"/>
                <w:color w:val="auto"/>
              </w:rPr>
              <w:t>Diluted</w:t>
            </w:r>
          </w:p>
        </w:tc>
        <w:tc>
          <w:tcPr>
            <w:tcW w:w="1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20"/>
                <w:szCs w:val="20"/>
                <w:color w:val="auto"/>
              </w:rPr>
              <w:t>17,756</w:t>
            </w:r>
          </w:p>
        </w:tc>
        <w:tc>
          <w:tcPr>
            <w:tcW w:w="3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20"/>
                <w:szCs w:val="20"/>
                <w:color w:val="auto"/>
              </w:rPr>
              <w:t>17,679</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20"/>
                <w:szCs w:val="20"/>
                <w:color w:val="auto"/>
              </w:rPr>
              <w:t>17,718</w:t>
            </w:r>
          </w:p>
        </w:tc>
        <w:tc>
          <w:tcPr>
            <w:tcW w:w="1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17,668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454025</wp:posOffset>
            </wp:positionV>
            <wp:extent cx="194564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9456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700" w:right="399" w:hanging="329"/>
        <w:spacing w:after="0" w:line="246" w:lineRule="auto"/>
        <w:tabs>
          <w:tab w:leader="none" w:pos="70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16"/>
          <w:szCs w:val="16"/>
          <w:color w:val="auto"/>
        </w:rPr>
        <w:t>For the three months ended April 30, 2022 and 2021, we realized losses from Agricola Don Memo totaling less than $0.1 million and $1.1 million. For the six months ended April 30, 2022 and 2021, we realized losses from Agricola Don Memo totaling less than $0.5 million and $1.3 million.</w:t>
      </w:r>
    </w:p>
    <w:p>
      <w:pPr>
        <w:spacing w:after="0" w:line="2" w:lineRule="exact"/>
        <w:rPr>
          <w:rFonts w:ascii="Times New Roman" w:cs="Times New Roman" w:eastAsia="Times New Roman" w:hAnsi="Times New Roman"/>
          <w:sz w:val="20"/>
          <w:szCs w:val="20"/>
          <w:color w:val="auto"/>
        </w:rPr>
      </w:pPr>
    </w:p>
    <w:p>
      <w:pPr>
        <w:ind w:left="700" w:right="599" w:hanging="329"/>
        <w:spacing w:after="0" w:line="264" w:lineRule="auto"/>
        <w:tabs>
          <w:tab w:leader="none" w:pos="70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had professional fees related to the FreshRealm Separation Agreement for the three and six months ended April 30, 2021. Partially offsetting this expense, as part of the FreshRealm Separation Agreement, we received $0.1 million of previously reserved receivables for the six months ended April 30, 2021.</w:t>
      </w:r>
    </w:p>
    <w:p>
      <w:pPr>
        <w:ind w:left="700" w:right="1059" w:hanging="329"/>
        <w:spacing w:after="0" w:line="264" w:lineRule="auto"/>
        <w:tabs>
          <w:tab w:leader="none" w:pos="70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the six months ended April 30, 2021, we incurred professional service costs related to a considered but non-consummated acquisition.</w:t>
      </w:r>
    </w:p>
    <w:p>
      <w:pPr>
        <w:ind w:left="700" w:right="539" w:hanging="329"/>
        <w:spacing w:after="0" w:line="272" w:lineRule="auto"/>
        <w:tabs>
          <w:tab w:leader="none" w:pos="70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the three months ended April 30, 2022 and 2021, we recorded $4.9 million in unrealized losses and $3.5 million in unrealized gains related to these mark-to-market adjustments, respectively. For the six months ended April 30, 2022 and 2021, we recorded $7.0 million in unrealized losses and $7.1 million in unrealized gains related to these mark-to-market adjustments,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459740</wp:posOffset>
            </wp:positionV>
            <wp:extent cx="545211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659" w:right="1440" w:bottom="1440" w:gutter="0" w:footer="0" w:header="0"/>
        </w:sectPr>
      </w:pPr>
    </w:p>
    <w:bookmarkStart w:id="14" w:name="page15"/>
    <w:bookmarkEnd w:id="14"/>
    <w:p>
      <w:pPr>
        <w:ind w:left="200"/>
        <w:spacing w:after="0"/>
        <w:rPr>
          <w:sz w:val="20"/>
          <w:szCs w:val="20"/>
          <w:color w:val="auto"/>
        </w:rPr>
      </w:pPr>
      <w:r>
        <w:rPr>
          <w:rFonts w:ascii="Times New Roman" w:cs="Times New Roman" w:eastAsia="Times New Roman" w:hAnsi="Times New Roman"/>
          <w:sz w:val="18"/>
          <w:szCs w:val="18"/>
          <w:i w:val="1"/>
          <w:iCs w:val="1"/>
          <w:color w:val="auto"/>
        </w:rPr>
        <w:t>Calavo Growers, Inc.</w:t>
      </w:r>
    </w:p>
    <w:p>
      <w:pPr>
        <w:spacing w:after="0" w:line="2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 xml:space="preserve">Page </w:t>
      </w:r>
      <w:r>
        <w:rPr>
          <w:rFonts w:ascii="Times New Roman" w:cs="Times New Roman" w:eastAsia="Times New Roman" w:hAnsi="Times New Roman"/>
          <w:sz w:val="18"/>
          <w:szCs w:val="18"/>
          <w:b w:val="1"/>
          <w:bCs w:val="1"/>
          <w:i w:val="1"/>
          <w:iCs w:val="1"/>
          <w:color w:val="auto"/>
        </w:rPr>
        <w:t>12</w:t>
      </w:r>
      <w:r>
        <w:rPr>
          <w:rFonts w:ascii="Times New Roman" w:cs="Times New Roman" w:eastAsia="Times New Roman" w:hAnsi="Times New Roman"/>
          <w:sz w:val="18"/>
          <w:szCs w:val="18"/>
          <w:i w:val="1"/>
          <w:iCs w:val="1"/>
          <w:color w:val="auto"/>
        </w:rPr>
        <w:t xml:space="preserve"> of </w:t>
      </w:r>
      <w:r>
        <w:rPr>
          <w:rFonts w:ascii="Times New Roman" w:cs="Times New Roman" w:eastAsia="Times New Roman" w:hAnsi="Times New Roman"/>
          <w:sz w:val="18"/>
          <w:szCs w:val="18"/>
          <w:b w:val="1"/>
          <w:bCs w:val="1"/>
          <w:i w:val="1"/>
          <w:iCs w:val="1"/>
          <w:color w:val="auto"/>
        </w:rPr>
        <w:t>14</w:t>
      </w:r>
    </w:p>
    <w:p>
      <w:pPr>
        <w:spacing w:after="0" w:line="200" w:lineRule="exact"/>
        <w:rPr>
          <w:sz w:val="20"/>
          <w:szCs w:val="20"/>
          <w:color w:val="auto"/>
        </w:rPr>
      </w:pPr>
    </w:p>
    <w:p>
      <w:pPr>
        <w:spacing w:after="0" w:line="214" w:lineRule="exact"/>
        <w:rPr>
          <w:sz w:val="20"/>
          <w:szCs w:val="20"/>
          <w:color w:val="auto"/>
        </w:rPr>
      </w:pPr>
    </w:p>
    <w:p>
      <w:pPr>
        <w:ind w:left="700" w:right="319" w:hanging="329"/>
        <w:spacing w:after="0" w:line="267" w:lineRule="auto"/>
        <w:tabs>
          <w:tab w:leader="none" w:pos="70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the three months ended April 30, 2022 and 2021, we incurred $0.1 million related to rent paid for RFG corporate office space that we have vacated and plan to sublease. For the six months ended April 30, 2022 and 2021, we incurred $0.2 million related to rent paid for RFG corporate office space that we have vacated and plan to sublease.</w:t>
      </w:r>
    </w:p>
    <w:p>
      <w:pPr>
        <w:spacing w:after="0" w:line="1" w:lineRule="exact"/>
        <w:rPr>
          <w:rFonts w:ascii="Times New Roman" w:cs="Times New Roman" w:eastAsia="Times New Roman" w:hAnsi="Times New Roman"/>
          <w:sz w:val="16"/>
          <w:szCs w:val="16"/>
          <w:color w:val="auto"/>
        </w:rPr>
      </w:pPr>
    </w:p>
    <w:p>
      <w:pPr>
        <w:ind w:left="700" w:right="239" w:hanging="329"/>
        <w:spacing w:after="0" w:line="264" w:lineRule="auto"/>
        <w:tabs>
          <w:tab w:leader="none" w:pos="70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the three and six months ended April 30, 2022, we recorded $0.7 million and $1.8 million of consulting expenses related to an enterprise-wide strategic business operations study conducted by a third-party management consulting organization for the purpose of restructuring to improve the profitability of the organization and efficiency of our operations. In addition, for the three and six months ended April 30, 2022, we recorded $1.3 million of severance accrual related to the Project Uno restructuring. For the three months and six months ended April 30, 2021, we recorded higher stock-based compensation for the early vesting of restricted stock for the retirement of our former Chief Executive Officer and Board member.</w:t>
      </w:r>
    </w:p>
    <w:p>
      <w:pPr>
        <w:ind w:left="700" w:right="379" w:hanging="329"/>
        <w:spacing w:after="0" w:line="264" w:lineRule="auto"/>
        <w:tabs>
          <w:tab w:leader="none" w:pos="70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the three and six months ended April 30, 2022, we incurred $0.5 million and $0.8 million of related professional fees related to the Mexican tax matters. For further information see Note 7 to the consolidated condensed financial statements included in our Quarterly Report filed with the Securities and Exchange Commission for the period ending April 30, 2022.</w:t>
      </w:r>
    </w:p>
    <w:p>
      <w:pPr>
        <w:ind w:left="700" w:right="319" w:hanging="329"/>
        <w:spacing w:after="0" w:line="264" w:lineRule="auto"/>
        <w:tabs>
          <w:tab w:leader="none" w:pos="70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October 18, 2021, we announced the closure of RFG’s food processing operations at our Green Cove Springs (near Jacksonville), Florida facility, as part of our Project Uno profit improvement program. As of November 15, the Green Cove facility of RFG has ceased operations. We incurred $0.3 million and $1.0 million of expenses for the three and six months ended April 30, 2022, related to the closure of this facility.</w:t>
      </w:r>
    </w:p>
    <w:p>
      <w:pPr>
        <w:ind w:left="700" w:hanging="329"/>
        <w:spacing w:after="0"/>
        <w:tabs>
          <w:tab w:leader="none" w:pos="70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Tax impact of non-GAAP adjustments are based on effective year-to-date tax 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633095</wp:posOffset>
            </wp:positionV>
            <wp:extent cx="545211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659" w:right="1440" w:bottom="1440" w:gutter="0" w:footer="0" w:header="0"/>
        </w:sectPr>
      </w:pPr>
    </w:p>
    <w:bookmarkStart w:id="15" w:name="page16"/>
    <w:bookmarkEnd w:id="15"/>
    <w:p>
      <w:pPr>
        <w:ind w:left="200"/>
        <w:spacing w:after="0"/>
        <w:rPr>
          <w:sz w:val="20"/>
          <w:szCs w:val="20"/>
          <w:color w:val="auto"/>
        </w:rPr>
      </w:pPr>
      <w:r>
        <w:rPr>
          <w:rFonts w:ascii="Times New Roman" w:cs="Times New Roman" w:eastAsia="Times New Roman" w:hAnsi="Times New Roman"/>
          <w:sz w:val="18"/>
          <w:szCs w:val="18"/>
          <w:i w:val="1"/>
          <w:iCs w:val="1"/>
          <w:color w:val="auto"/>
        </w:rPr>
        <w:t>Calavo Growers, Inc.</w:t>
      </w:r>
    </w:p>
    <w:p>
      <w:pPr>
        <w:spacing w:after="0" w:line="2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 xml:space="preserve">Page </w:t>
      </w:r>
      <w:r>
        <w:rPr>
          <w:rFonts w:ascii="Times New Roman" w:cs="Times New Roman" w:eastAsia="Times New Roman" w:hAnsi="Times New Roman"/>
          <w:sz w:val="18"/>
          <w:szCs w:val="18"/>
          <w:b w:val="1"/>
          <w:bCs w:val="1"/>
          <w:i w:val="1"/>
          <w:iCs w:val="1"/>
          <w:color w:val="auto"/>
        </w:rPr>
        <w:t>13</w:t>
      </w:r>
      <w:r>
        <w:rPr>
          <w:rFonts w:ascii="Times New Roman" w:cs="Times New Roman" w:eastAsia="Times New Roman" w:hAnsi="Times New Roman"/>
          <w:sz w:val="18"/>
          <w:szCs w:val="18"/>
          <w:i w:val="1"/>
          <w:iCs w:val="1"/>
          <w:color w:val="auto"/>
        </w:rPr>
        <w:t xml:space="preserve"> of </w:t>
      </w:r>
      <w:r>
        <w:rPr>
          <w:rFonts w:ascii="Times New Roman" w:cs="Times New Roman" w:eastAsia="Times New Roman" w:hAnsi="Times New Roman"/>
          <w:sz w:val="18"/>
          <w:szCs w:val="18"/>
          <w:b w:val="1"/>
          <w:bCs w:val="1"/>
          <w:i w:val="1"/>
          <w:iCs w:val="1"/>
          <w:color w:val="auto"/>
        </w:rPr>
        <w:t>14</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CALAVO GROWERS, INC.</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RECONCILIATION OF EBITDA AND ADJUSTED EBITDA (UNAUDITED)</w:t>
      </w: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(in thousands, except per share amounts)</w:t>
      </w:r>
    </w:p>
    <w:p>
      <w:pPr>
        <w:spacing w:after="0" w:line="216" w:lineRule="exact"/>
        <w:rPr>
          <w:sz w:val="20"/>
          <w:szCs w:val="20"/>
          <w:color w:val="auto"/>
        </w:rPr>
      </w:pPr>
    </w:p>
    <w:p>
      <w:pPr>
        <w:jc w:val="both"/>
        <w:ind w:left="200" w:right="279"/>
        <w:spacing w:after="0" w:line="281" w:lineRule="auto"/>
        <w:rPr>
          <w:sz w:val="20"/>
          <w:szCs w:val="20"/>
          <w:color w:val="auto"/>
        </w:rPr>
      </w:pPr>
      <w:r>
        <w:rPr>
          <w:rFonts w:ascii="Times New Roman" w:cs="Times New Roman" w:eastAsia="Times New Roman" w:hAnsi="Times New Roman"/>
          <w:sz w:val="16"/>
          <w:szCs w:val="16"/>
          <w:color w:val="auto"/>
        </w:rPr>
        <w:t>The following table presents EBITDA and adjusted EBITDA, each a non-GAAP measure, and reconciles them to net income (loss) attributable to Calavo Growers, Inc., which is the most directly comparable GAAP measure. See “Non-GAAP Financial Measures” earlier in this release.</w:t>
      </w:r>
    </w:p>
    <w:p>
      <w:pPr>
        <w:spacing w:after="0" w:line="200" w:lineRule="exact"/>
        <w:rPr>
          <w:sz w:val="20"/>
          <w:szCs w:val="20"/>
          <w:color w:val="auto"/>
        </w:rPr>
      </w:pPr>
    </w:p>
    <w:p>
      <w:pPr>
        <w:spacing w:after="0" w:line="332"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5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20" w:type="dxa"/>
            <w:vAlign w:val="bottom"/>
            <w:gridSpan w:val="5"/>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3"/>
                <w:szCs w:val="13"/>
                <w:color w:val="auto"/>
              </w:rPr>
            </w:pPr>
          </w:p>
        </w:tc>
        <w:tc>
          <w:tcPr>
            <w:tcW w:w="1500" w:type="dxa"/>
            <w:vAlign w:val="bottom"/>
            <w:gridSpan w:val="4"/>
          </w:tcPr>
          <w:p>
            <w:pPr>
              <w:jc w:val="right"/>
              <w:ind w:right="183"/>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73"/>
        </w:trPr>
        <w:tc>
          <w:tcPr>
            <w:tcW w:w="5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gridSpan w:val="5"/>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April 30,</w:t>
            </w:r>
          </w:p>
        </w:tc>
        <w:tc>
          <w:tcPr>
            <w:tcW w:w="140" w:type="dxa"/>
            <w:vAlign w:val="bottom"/>
          </w:tcPr>
          <w:p>
            <w:pPr>
              <w:spacing w:after="0"/>
              <w:rPr>
                <w:sz w:val="15"/>
                <w:szCs w:val="15"/>
                <w:color w:val="auto"/>
              </w:rPr>
            </w:pPr>
          </w:p>
        </w:tc>
        <w:tc>
          <w:tcPr>
            <w:tcW w:w="1500" w:type="dxa"/>
            <w:vAlign w:val="bottom"/>
            <w:gridSpan w:val="4"/>
          </w:tcPr>
          <w:p>
            <w:pPr>
              <w:jc w:val="right"/>
              <w:ind w:right="443"/>
              <w:spacing w:after="0"/>
              <w:rPr>
                <w:sz w:val="20"/>
                <w:szCs w:val="20"/>
                <w:color w:val="auto"/>
              </w:rPr>
            </w:pPr>
            <w:r>
              <w:rPr>
                <w:rFonts w:ascii="Times New Roman" w:cs="Times New Roman" w:eastAsia="Times New Roman" w:hAnsi="Times New Roman"/>
                <w:sz w:val="14"/>
                <w:szCs w:val="14"/>
                <w:b w:val="1"/>
                <w:bCs w:val="1"/>
                <w:color w:val="auto"/>
              </w:rPr>
              <w:t>April 30,</w:t>
            </w:r>
          </w:p>
        </w:tc>
      </w:tr>
      <w:tr>
        <w:trPr>
          <w:trHeight w:val="142"/>
        </w:trPr>
        <w:tc>
          <w:tcPr>
            <w:tcW w:w="530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05"/>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23"/>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6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25"/>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43"/>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r>
      <w:tr>
        <w:trPr>
          <w:trHeight w:val="223"/>
        </w:trPr>
        <w:tc>
          <w:tcPr>
            <w:tcW w:w="5300" w:type="dxa"/>
            <w:vAlign w:val="bottom"/>
            <w:shd w:val="clear" w:color="auto" w:fill="CCEEFF"/>
          </w:tcPr>
          <w:p>
            <w:pPr>
              <w:spacing w:after="0" w:line="223" w:lineRule="exact"/>
              <w:rPr>
                <w:sz w:val="20"/>
                <w:szCs w:val="20"/>
                <w:color w:val="auto"/>
              </w:rPr>
            </w:pPr>
            <w:r>
              <w:rPr>
                <w:rFonts w:ascii="Times New Roman" w:cs="Times New Roman" w:eastAsia="Times New Roman" w:hAnsi="Times New Roman"/>
                <w:sz w:val="20"/>
                <w:szCs w:val="20"/>
                <w:color w:val="auto"/>
              </w:rPr>
              <w:t>Net income (loss) attributable to Calavo Growers, Inc.</w:t>
            </w:r>
          </w:p>
        </w:tc>
        <w:tc>
          <w:tcPr>
            <w:tcW w:w="120" w:type="dxa"/>
            <w:vAlign w:val="bottom"/>
            <w:shd w:val="clear" w:color="auto" w:fill="CCEEFF"/>
          </w:tcPr>
          <w:p>
            <w:pPr>
              <w:jc w:val="right"/>
              <w:spacing w:after="0" w:line="223" w:lineRule="exact"/>
              <w:rPr>
                <w:sz w:val="20"/>
                <w:szCs w:val="20"/>
                <w:color w:val="auto"/>
              </w:rPr>
            </w:pPr>
            <w:r>
              <w:rPr>
                <w:rFonts w:ascii="Times New Roman" w:cs="Times New Roman" w:eastAsia="Times New Roman" w:hAnsi="Times New Roman"/>
                <w:sz w:val="20"/>
                <w:szCs w:val="20"/>
                <w:color w:val="auto"/>
                <w:w w:val="79"/>
              </w:rPr>
              <w:t>$</w:t>
            </w:r>
          </w:p>
        </w:tc>
        <w:tc>
          <w:tcPr>
            <w:tcW w:w="580" w:type="dxa"/>
            <w:vAlign w:val="bottom"/>
            <w:shd w:val="clear" w:color="auto" w:fill="CCEEFF"/>
          </w:tcPr>
          <w:p>
            <w:pPr>
              <w:jc w:val="right"/>
              <w:spacing w:after="0" w:line="223" w:lineRule="exact"/>
              <w:rPr>
                <w:sz w:val="20"/>
                <w:szCs w:val="20"/>
                <w:color w:val="auto"/>
              </w:rPr>
            </w:pPr>
            <w:r>
              <w:rPr>
                <w:rFonts w:ascii="Times New Roman" w:cs="Times New Roman" w:eastAsia="Times New Roman" w:hAnsi="Times New Roman"/>
                <w:sz w:val="20"/>
                <w:szCs w:val="20"/>
                <w:color w:val="auto"/>
              </w:rPr>
              <w:t>(191)</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line="223" w:lineRule="exact"/>
              <w:rPr>
                <w:sz w:val="20"/>
                <w:szCs w:val="20"/>
                <w:color w:val="auto"/>
              </w:rPr>
            </w:pPr>
            <w:r>
              <w:rPr>
                <w:rFonts w:ascii="Times New Roman" w:cs="Times New Roman" w:eastAsia="Times New Roman" w:hAnsi="Times New Roman"/>
                <w:sz w:val="20"/>
                <w:szCs w:val="20"/>
                <w:color w:val="auto"/>
                <w:w w:val="79"/>
              </w:rPr>
              <w:t>$</w:t>
            </w:r>
          </w:p>
        </w:tc>
        <w:tc>
          <w:tcPr>
            <w:tcW w:w="600" w:type="dxa"/>
            <w:vAlign w:val="bottom"/>
            <w:shd w:val="clear" w:color="auto" w:fill="CCEEFF"/>
          </w:tcPr>
          <w:p>
            <w:pPr>
              <w:jc w:val="right"/>
              <w:spacing w:after="0" w:line="223" w:lineRule="exact"/>
              <w:rPr>
                <w:sz w:val="20"/>
                <w:szCs w:val="20"/>
                <w:color w:val="auto"/>
              </w:rPr>
            </w:pPr>
            <w:r>
              <w:rPr>
                <w:rFonts w:ascii="Times New Roman" w:cs="Times New Roman" w:eastAsia="Times New Roman" w:hAnsi="Times New Roman"/>
                <w:sz w:val="20"/>
                <w:szCs w:val="20"/>
                <w:color w:val="auto"/>
              </w:rPr>
              <w:t>8,841</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line="223" w:lineRule="exact"/>
              <w:rPr>
                <w:sz w:val="20"/>
                <w:szCs w:val="20"/>
                <w:color w:val="auto"/>
              </w:rPr>
            </w:pPr>
            <w:r>
              <w:rPr>
                <w:rFonts w:ascii="Times New Roman" w:cs="Times New Roman" w:eastAsia="Times New Roman" w:hAnsi="Times New Roman"/>
                <w:sz w:val="20"/>
                <w:szCs w:val="20"/>
                <w:color w:val="auto"/>
                <w:w w:val="79"/>
              </w:rPr>
              <w:t>$</w:t>
            </w:r>
          </w:p>
        </w:tc>
        <w:tc>
          <w:tcPr>
            <w:tcW w:w="600" w:type="dxa"/>
            <w:vAlign w:val="bottom"/>
            <w:shd w:val="clear" w:color="auto" w:fill="CCEEFF"/>
          </w:tcPr>
          <w:p>
            <w:pPr>
              <w:jc w:val="right"/>
              <w:spacing w:after="0" w:line="223" w:lineRule="exact"/>
              <w:rPr>
                <w:sz w:val="20"/>
                <w:szCs w:val="20"/>
                <w:color w:val="auto"/>
              </w:rPr>
            </w:pPr>
            <w:r>
              <w:rPr>
                <w:rFonts w:ascii="Times New Roman" w:cs="Times New Roman" w:eastAsia="Times New Roman" w:hAnsi="Times New Roman"/>
                <w:sz w:val="20"/>
                <w:szCs w:val="20"/>
                <w:color w:val="auto"/>
                <w:w w:val="99"/>
              </w:rPr>
              <w:t>(4,234)</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line="223" w:lineRule="exact"/>
              <w:rPr>
                <w:sz w:val="20"/>
                <w:szCs w:val="20"/>
                <w:color w:val="auto"/>
              </w:rPr>
            </w:pPr>
            <w:r>
              <w:rPr>
                <w:rFonts w:ascii="Times New Roman" w:cs="Times New Roman" w:eastAsia="Times New Roman" w:hAnsi="Times New Roman"/>
                <w:sz w:val="20"/>
                <w:szCs w:val="20"/>
                <w:color w:val="auto"/>
                <w:w w:val="79"/>
              </w:rPr>
              <w:t>$</w:t>
            </w:r>
          </w:p>
        </w:tc>
        <w:tc>
          <w:tcPr>
            <w:tcW w:w="620" w:type="dxa"/>
            <w:vAlign w:val="bottom"/>
            <w:shd w:val="clear" w:color="auto" w:fill="CCEEFF"/>
          </w:tcPr>
          <w:p>
            <w:pPr>
              <w:jc w:val="right"/>
              <w:spacing w:after="0" w:line="223" w:lineRule="exact"/>
              <w:rPr>
                <w:sz w:val="20"/>
                <w:szCs w:val="20"/>
                <w:color w:val="auto"/>
              </w:rPr>
            </w:pPr>
            <w:r>
              <w:rPr>
                <w:rFonts w:ascii="Times New Roman" w:cs="Times New Roman" w:eastAsia="Times New Roman" w:hAnsi="Times New Roman"/>
                <w:sz w:val="20"/>
                <w:szCs w:val="20"/>
                <w:color w:val="auto"/>
              </w:rPr>
              <w:t>14,118</w:t>
            </w:r>
          </w:p>
        </w:tc>
      </w:tr>
      <w:tr>
        <w:trPr>
          <w:trHeight w:val="229"/>
        </w:trPr>
        <w:tc>
          <w:tcPr>
            <w:tcW w:w="5300" w:type="dxa"/>
            <w:vAlign w:val="bottom"/>
          </w:tcPr>
          <w:p>
            <w:pPr>
              <w:spacing w:after="0"/>
              <w:rPr>
                <w:sz w:val="20"/>
                <w:szCs w:val="20"/>
                <w:color w:val="auto"/>
              </w:rPr>
            </w:pPr>
            <w:r>
              <w:rPr>
                <w:rFonts w:ascii="Times New Roman" w:cs="Times New Roman" w:eastAsia="Times New Roman" w:hAnsi="Times New Roman"/>
                <w:sz w:val="20"/>
                <w:szCs w:val="20"/>
                <w:color w:val="auto"/>
              </w:rPr>
              <w:t>Interest Income</w:t>
            </w:r>
          </w:p>
        </w:tc>
        <w:tc>
          <w:tcPr>
            <w:tcW w:w="120" w:type="dxa"/>
            <w:vAlign w:val="bottom"/>
          </w:tcPr>
          <w:p>
            <w:pPr>
              <w:spacing w:after="0"/>
              <w:rPr>
                <w:sz w:val="19"/>
                <w:szCs w:val="19"/>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(133)</w:t>
            </w:r>
          </w:p>
        </w:tc>
        <w:tc>
          <w:tcPr>
            <w:tcW w:w="140" w:type="dxa"/>
            <w:vAlign w:val="bottom"/>
          </w:tcPr>
          <w:p>
            <w:pPr>
              <w:spacing w:after="0"/>
              <w:rPr>
                <w:sz w:val="19"/>
                <w:szCs w:val="19"/>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(17)</w:t>
            </w:r>
          </w:p>
        </w:tc>
        <w:tc>
          <w:tcPr>
            <w:tcW w:w="14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(266)</w:t>
            </w: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(89)</w:t>
            </w:r>
          </w:p>
        </w:tc>
      </w:tr>
      <w:tr>
        <w:trPr>
          <w:trHeight w:val="230"/>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Interest Expense</w:t>
            </w:r>
          </w:p>
        </w:tc>
        <w:tc>
          <w:tcPr>
            <w:tcW w:w="12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20"/>
                <w:szCs w:val="20"/>
                <w:color w:val="auto"/>
              </w:rPr>
              <w:t>460</w:t>
            </w:r>
          </w:p>
        </w:tc>
        <w:tc>
          <w:tcPr>
            <w:tcW w:w="14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20"/>
                <w:szCs w:val="20"/>
                <w:color w:val="auto"/>
              </w:rPr>
              <w:t>191</w:t>
            </w:r>
          </w:p>
        </w:tc>
        <w:tc>
          <w:tcPr>
            <w:tcW w:w="14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20"/>
                <w:szCs w:val="20"/>
                <w:color w:val="auto"/>
              </w:rPr>
              <w:t>787</w:t>
            </w: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365</w:t>
            </w:r>
          </w:p>
        </w:tc>
      </w:tr>
      <w:tr>
        <w:trPr>
          <w:trHeight w:val="229"/>
        </w:trPr>
        <w:tc>
          <w:tcPr>
            <w:tcW w:w="5300" w:type="dxa"/>
            <w:vAlign w:val="bottom"/>
          </w:tcPr>
          <w:p>
            <w:pPr>
              <w:spacing w:after="0"/>
              <w:rPr>
                <w:sz w:val="20"/>
                <w:szCs w:val="20"/>
                <w:color w:val="auto"/>
              </w:rPr>
            </w:pPr>
            <w:r>
              <w:rPr>
                <w:rFonts w:ascii="Times New Roman" w:cs="Times New Roman" w:eastAsia="Times New Roman" w:hAnsi="Times New Roman"/>
                <w:sz w:val="20"/>
                <w:szCs w:val="20"/>
                <w:color w:val="auto"/>
              </w:rPr>
              <w:t>Provision (Benefit) for Income Taxes</w:t>
            </w:r>
          </w:p>
        </w:tc>
        <w:tc>
          <w:tcPr>
            <w:tcW w:w="120" w:type="dxa"/>
            <w:vAlign w:val="bottom"/>
          </w:tcPr>
          <w:p>
            <w:pPr>
              <w:spacing w:after="0"/>
              <w:rPr>
                <w:sz w:val="19"/>
                <w:szCs w:val="19"/>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(187)</w:t>
            </w:r>
          </w:p>
        </w:tc>
        <w:tc>
          <w:tcPr>
            <w:tcW w:w="140" w:type="dxa"/>
            <w:vAlign w:val="bottom"/>
          </w:tcPr>
          <w:p>
            <w:pPr>
              <w:spacing w:after="0"/>
              <w:rPr>
                <w:sz w:val="19"/>
                <w:szCs w:val="19"/>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2,772</w:t>
            </w:r>
          </w:p>
        </w:tc>
        <w:tc>
          <w:tcPr>
            <w:tcW w:w="14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w w:val="99"/>
              </w:rPr>
              <w:t>(1,347)</w:t>
            </w: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4,715</w:t>
            </w:r>
          </w:p>
        </w:tc>
      </w:tr>
      <w:tr>
        <w:trPr>
          <w:trHeight w:val="229"/>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Depreciation &amp; Amortization</w:t>
            </w:r>
          </w:p>
        </w:tc>
        <w:tc>
          <w:tcPr>
            <w:tcW w:w="12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20"/>
                <w:szCs w:val="20"/>
                <w:color w:val="auto"/>
              </w:rPr>
              <w:t>4,093</w:t>
            </w:r>
          </w:p>
        </w:tc>
        <w:tc>
          <w:tcPr>
            <w:tcW w:w="14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20"/>
                <w:szCs w:val="20"/>
                <w:color w:val="auto"/>
              </w:rPr>
              <w:t>4,077</w:t>
            </w:r>
          </w:p>
        </w:tc>
        <w:tc>
          <w:tcPr>
            <w:tcW w:w="14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20"/>
                <w:szCs w:val="20"/>
                <w:color w:val="auto"/>
              </w:rPr>
              <w:t>8,405</w:t>
            </w: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8,371</w:t>
            </w:r>
          </w:p>
        </w:tc>
      </w:tr>
      <w:tr>
        <w:trPr>
          <w:trHeight w:val="230"/>
        </w:trPr>
        <w:tc>
          <w:tcPr>
            <w:tcW w:w="5300" w:type="dxa"/>
            <w:vAlign w:val="bottom"/>
          </w:tcPr>
          <w:p>
            <w:pPr>
              <w:spacing w:after="0"/>
              <w:rPr>
                <w:sz w:val="20"/>
                <w:szCs w:val="20"/>
                <w:color w:val="auto"/>
              </w:rPr>
            </w:pPr>
            <w:r>
              <w:rPr>
                <w:rFonts w:ascii="Times New Roman" w:cs="Times New Roman" w:eastAsia="Times New Roman" w:hAnsi="Times New Roman"/>
                <w:sz w:val="20"/>
                <w:szCs w:val="20"/>
                <w:color w:val="auto"/>
              </w:rPr>
              <w:t>Stock-Based Compensation (d)</w:t>
            </w:r>
          </w:p>
        </w:tc>
        <w:tc>
          <w:tcPr>
            <w:tcW w:w="120" w:type="dxa"/>
            <w:vAlign w:val="bottom"/>
          </w:tcPr>
          <w:p>
            <w:pPr>
              <w:spacing w:after="0"/>
              <w:rPr>
                <w:sz w:val="19"/>
                <w:szCs w:val="19"/>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812</w:t>
            </w:r>
          </w:p>
        </w:tc>
        <w:tc>
          <w:tcPr>
            <w:tcW w:w="140" w:type="dxa"/>
            <w:vAlign w:val="bottom"/>
          </w:tcPr>
          <w:p>
            <w:pPr>
              <w:spacing w:after="0"/>
              <w:rPr>
                <w:sz w:val="19"/>
                <w:szCs w:val="19"/>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1,357</w:t>
            </w:r>
          </w:p>
        </w:tc>
        <w:tc>
          <w:tcPr>
            <w:tcW w:w="14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1,368</w:t>
            </w: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2,264</w:t>
            </w:r>
          </w:p>
        </w:tc>
      </w:tr>
      <w:tr>
        <w:trPr>
          <w:trHeight w:val="223"/>
        </w:trPr>
        <w:tc>
          <w:tcPr>
            <w:tcW w:w="5300" w:type="dxa"/>
            <w:vAlign w:val="bottom"/>
            <w:tcBorders>
              <w:top w:val="single" w:sz="8" w:color="CCEEFF"/>
            </w:tcBorders>
            <w:shd w:val="clear" w:color="auto" w:fill="CCEEFF"/>
          </w:tcPr>
          <w:p>
            <w:pPr>
              <w:spacing w:after="0" w:line="223" w:lineRule="exact"/>
              <w:rPr>
                <w:sz w:val="20"/>
                <w:szCs w:val="20"/>
                <w:color w:val="auto"/>
              </w:rPr>
            </w:pPr>
            <w:r>
              <w:rPr>
                <w:rFonts w:ascii="Times New Roman" w:cs="Times New Roman" w:eastAsia="Times New Roman" w:hAnsi="Times New Roman"/>
                <w:sz w:val="20"/>
                <w:szCs w:val="20"/>
                <w:color w:val="auto"/>
              </w:rPr>
              <w:t>EBITDA</w:t>
            </w:r>
          </w:p>
        </w:tc>
        <w:tc>
          <w:tcPr>
            <w:tcW w:w="120" w:type="dxa"/>
            <w:vAlign w:val="bottom"/>
            <w:tcBorders>
              <w:top w:val="single" w:sz="8" w:color="auto"/>
              <w:bottom w:val="single" w:sz="8" w:color="auto"/>
            </w:tcBorders>
            <w:shd w:val="clear" w:color="auto" w:fill="CCEEFF"/>
          </w:tcPr>
          <w:p>
            <w:pPr>
              <w:jc w:val="right"/>
              <w:spacing w:after="0" w:line="223" w:lineRule="exact"/>
              <w:rPr>
                <w:sz w:val="20"/>
                <w:szCs w:val="20"/>
                <w:color w:val="auto"/>
              </w:rPr>
            </w:pPr>
            <w:r>
              <w:rPr>
                <w:rFonts w:ascii="Times New Roman" w:cs="Times New Roman" w:eastAsia="Times New Roman" w:hAnsi="Times New Roman"/>
                <w:sz w:val="20"/>
                <w:szCs w:val="20"/>
                <w:color w:val="auto"/>
                <w:w w:val="79"/>
              </w:rPr>
              <w:t>$</w:t>
            </w:r>
          </w:p>
        </w:tc>
        <w:tc>
          <w:tcPr>
            <w:tcW w:w="580" w:type="dxa"/>
            <w:vAlign w:val="bottom"/>
            <w:tcBorders>
              <w:top w:val="single" w:sz="8" w:color="auto"/>
              <w:bottom w:val="single" w:sz="8" w:color="auto"/>
            </w:tcBorders>
            <w:shd w:val="clear" w:color="auto" w:fill="CCEEFF"/>
          </w:tcPr>
          <w:p>
            <w:pPr>
              <w:jc w:val="right"/>
              <w:spacing w:after="0" w:line="223" w:lineRule="exact"/>
              <w:rPr>
                <w:sz w:val="20"/>
                <w:szCs w:val="20"/>
                <w:color w:val="auto"/>
              </w:rPr>
            </w:pPr>
            <w:r>
              <w:rPr>
                <w:rFonts w:ascii="Times New Roman" w:cs="Times New Roman" w:eastAsia="Times New Roman" w:hAnsi="Times New Roman"/>
                <w:sz w:val="20"/>
                <w:szCs w:val="20"/>
                <w:color w:val="auto"/>
              </w:rPr>
              <w:t>4,854</w:t>
            </w:r>
          </w:p>
        </w:tc>
        <w:tc>
          <w:tcPr>
            <w:tcW w:w="1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line="223" w:lineRule="exact"/>
              <w:rPr>
                <w:sz w:val="20"/>
                <w:szCs w:val="20"/>
                <w:color w:val="auto"/>
              </w:rPr>
            </w:pPr>
            <w:r>
              <w:rPr>
                <w:rFonts w:ascii="Times New Roman" w:cs="Times New Roman" w:eastAsia="Times New Roman" w:hAnsi="Times New Roman"/>
                <w:sz w:val="20"/>
                <w:szCs w:val="20"/>
                <w:color w:val="auto"/>
                <w:w w:val="79"/>
              </w:rPr>
              <w:t>$</w:t>
            </w:r>
          </w:p>
        </w:tc>
        <w:tc>
          <w:tcPr>
            <w:tcW w:w="600" w:type="dxa"/>
            <w:vAlign w:val="bottom"/>
            <w:tcBorders>
              <w:top w:val="single" w:sz="8" w:color="auto"/>
              <w:bottom w:val="single" w:sz="8" w:color="auto"/>
            </w:tcBorders>
            <w:shd w:val="clear" w:color="auto" w:fill="CCEEFF"/>
          </w:tcPr>
          <w:p>
            <w:pPr>
              <w:jc w:val="right"/>
              <w:spacing w:after="0" w:line="223" w:lineRule="exact"/>
              <w:rPr>
                <w:sz w:val="20"/>
                <w:szCs w:val="20"/>
                <w:color w:val="auto"/>
              </w:rPr>
            </w:pPr>
            <w:r>
              <w:rPr>
                <w:rFonts w:ascii="Times New Roman" w:cs="Times New Roman" w:eastAsia="Times New Roman" w:hAnsi="Times New Roman"/>
                <w:sz w:val="20"/>
                <w:szCs w:val="20"/>
                <w:color w:val="auto"/>
              </w:rPr>
              <w:t>17,221</w:t>
            </w:r>
          </w:p>
        </w:tc>
        <w:tc>
          <w:tcPr>
            <w:tcW w:w="6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line="223" w:lineRule="exact"/>
              <w:rPr>
                <w:sz w:val="20"/>
                <w:szCs w:val="20"/>
                <w:color w:val="auto"/>
              </w:rPr>
            </w:pPr>
            <w:r>
              <w:rPr>
                <w:rFonts w:ascii="Times New Roman" w:cs="Times New Roman" w:eastAsia="Times New Roman" w:hAnsi="Times New Roman"/>
                <w:sz w:val="20"/>
                <w:szCs w:val="20"/>
                <w:color w:val="auto"/>
                <w:w w:val="79"/>
              </w:rPr>
              <w:t>$</w:t>
            </w:r>
          </w:p>
        </w:tc>
        <w:tc>
          <w:tcPr>
            <w:tcW w:w="600" w:type="dxa"/>
            <w:vAlign w:val="bottom"/>
            <w:tcBorders>
              <w:top w:val="single" w:sz="8" w:color="auto"/>
              <w:bottom w:val="single" w:sz="8" w:color="auto"/>
            </w:tcBorders>
            <w:shd w:val="clear" w:color="auto" w:fill="CCEEFF"/>
          </w:tcPr>
          <w:p>
            <w:pPr>
              <w:jc w:val="right"/>
              <w:spacing w:after="0" w:line="223" w:lineRule="exact"/>
              <w:rPr>
                <w:sz w:val="20"/>
                <w:szCs w:val="20"/>
                <w:color w:val="auto"/>
              </w:rPr>
            </w:pPr>
            <w:r>
              <w:rPr>
                <w:rFonts w:ascii="Times New Roman" w:cs="Times New Roman" w:eastAsia="Times New Roman" w:hAnsi="Times New Roman"/>
                <w:sz w:val="20"/>
                <w:szCs w:val="20"/>
                <w:color w:val="auto"/>
              </w:rPr>
              <w:t>4,713</w:t>
            </w:r>
          </w:p>
        </w:tc>
        <w:tc>
          <w:tcPr>
            <w:tcW w:w="16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line="223" w:lineRule="exact"/>
              <w:rPr>
                <w:sz w:val="20"/>
                <w:szCs w:val="20"/>
                <w:color w:val="auto"/>
              </w:rPr>
            </w:pPr>
            <w:r>
              <w:rPr>
                <w:rFonts w:ascii="Times New Roman" w:cs="Times New Roman" w:eastAsia="Times New Roman" w:hAnsi="Times New Roman"/>
                <w:sz w:val="20"/>
                <w:szCs w:val="20"/>
                <w:color w:val="auto"/>
                <w:w w:val="79"/>
              </w:rPr>
              <w:t>$</w:t>
            </w:r>
          </w:p>
        </w:tc>
        <w:tc>
          <w:tcPr>
            <w:tcW w:w="620" w:type="dxa"/>
            <w:vAlign w:val="bottom"/>
            <w:tcBorders>
              <w:top w:val="single" w:sz="8" w:color="auto"/>
              <w:bottom w:val="single" w:sz="8" w:color="auto"/>
            </w:tcBorders>
            <w:shd w:val="clear" w:color="auto" w:fill="CCEEFF"/>
          </w:tcPr>
          <w:p>
            <w:pPr>
              <w:jc w:val="right"/>
              <w:spacing w:after="0" w:line="223" w:lineRule="exact"/>
              <w:rPr>
                <w:sz w:val="20"/>
                <w:szCs w:val="20"/>
                <w:color w:val="auto"/>
              </w:rPr>
            </w:pPr>
            <w:r>
              <w:rPr>
                <w:rFonts w:ascii="Times New Roman" w:cs="Times New Roman" w:eastAsia="Times New Roman" w:hAnsi="Times New Roman"/>
                <w:sz w:val="20"/>
                <w:szCs w:val="20"/>
                <w:color w:val="auto"/>
              </w:rPr>
              <w:t>29,744</w:t>
            </w:r>
          </w:p>
        </w:tc>
      </w:tr>
      <w:tr>
        <w:trPr>
          <w:trHeight w:val="223"/>
        </w:trPr>
        <w:tc>
          <w:tcPr>
            <w:tcW w:w="5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r>
      <w:tr>
        <w:trPr>
          <w:trHeight w:val="229"/>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Adjustments:</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r>
      <w:tr>
        <w:trPr>
          <w:trHeight w:val="230"/>
        </w:trPr>
        <w:tc>
          <w:tcPr>
            <w:tcW w:w="5300" w:type="dxa"/>
            <w:vAlign w:val="bottom"/>
          </w:tcPr>
          <w:p>
            <w:pPr>
              <w:spacing w:after="0"/>
              <w:rPr>
                <w:sz w:val="20"/>
                <w:szCs w:val="20"/>
                <w:color w:val="auto"/>
              </w:rPr>
            </w:pPr>
            <w:r>
              <w:rPr>
                <w:rFonts w:ascii="Times New Roman" w:cs="Times New Roman" w:eastAsia="Times New Roman" w:hAnsi="Times New Roman"/>
                <w:sz w:val="20"/>
                <w:szCs w:val="20"/>
                <w:color w:val="auto"/>
              </w:rPr>
              <w:t>Non-cash losses recognized from unconsolidated entities (a)</w:t>
            </w:r>
          </w:p>
        </w:tc>
        <w:tc>
          <w:tcPr>
            <w:tcW w:w="120" w:type="dxa"/>
            <w:vAlign w:val="bottom"/>
          </w:tcPr>
          <w:p>
            <w:pPr>
              <w:spacing w:after="0"/>
              <w:rPr>
                <w:sz w:val="19"/>
                <w:szCs w:val="19"/>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8</w:t>
            </w:r>
          </w:p>
        </w:tc>
        <w:tc>
          <w:tcPr>
            <w:tcW w:w="140" w:type="dxa"/>
            <w:vAlign w:val="bottom"/>
          </w:tcPr>
          <w:p>
            <w:pPr>
              <w:spacing w:after="0"/>
              <w:rPr>
                <w:sz w:val="19"/>
                <w:szCs w:val="19"/>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1,131</w:t>
            </w:r>
          </w:p>
        </w:tc>
        <w:tc>
          <w:tcPr>
            <w:tcW w:w="14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543</w:t>
            </w: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1,286</w:t>
            </w:r>
          </w:p>
        </w:tc>
      </w:tr>
      <w:tr>
        <w:trPr>
          <w:trHeight w:val="229"/>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Net (gain) loss on Limoneira shares (d)</w:t>
            </w:r>
          </w:p>
        </w:tc>
        <w:tc>
          <w:tcPr>
            <w:tcW w:w="12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20"/>
                <w:szCs w:val="20"/>
                <w:color w:val="auto"/>
              </w:rPr>
              <w:t>4,898</w:t>
            </w:r>
          </w:p>
        </w:tc>
        <w:tc>
          <w:tcPr>
            <w:tcW w:w="14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20"/>
                <w:szCs w:val="20"/>
                <w:color w:val="auto"/>
                <w:w w:val="99"/>
              </w:rPr>
              <w:t>(3,506)</w:t>
            </w:r>
          </w:p>
        </w:tc>
        <w:tc>
          <w:tcPr>
            <w:tcW w:w="14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20"/>
                <w:szCs w:val="20"/>
                <w:color w:val="auto"/>
              </w:rPr>
              <w:t>7,028</w:t>
            </w: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(7,095)</w:t>
            </w:r>
          </w:p>
        </w:tc>
      </w:tr>
      <w:tr>
        <w:trPr>
          <w:trHeight w:val="207"/>
        </w:trPr>
        <w:tc>
          <w:tcPr>
            <w:tcW w:w="5300" w:type="dxa"/>
            <w:vAlign w:val="bottom"/>
          </w:tcPr>
          <w:p>
            <w:pPr>
              <w:spacing w:after="0" w:line="207" w:lineRule="exact"/>
              <w:rPr>
                <w:sz w:val="20"/>
                <w:szCs w:val="20"/>
                <w:color w:val="auto"/>
              </w:rPr>
            </w:pPr>
            <w:r>
              <w:rPr>
                <w:rFonts w:ascii="Times New Roman" w:cs="Times New Roman" w:eastAsia="Times New Roman" w:hAnsi="Times New Roman"/>
                <w:sz w:val="20"/>
                <w:szCs w:val="20"/>
                <w:color w:val="auto"/>
              </w:rPr>
              <w:t>Loss (Recovery) from FreshRealm and other related expenses</w:t>
            </w: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52"/>
        </w:trPr>
        <w:tc>
          <w:tcPr>
            <w:tcW w:w="5300" w:type="dxa"/>
            <w:vAlign w:val="bottom"/>
          </w:tcPr>
          <w:p>
            <w:pPr>
              <w:spacing w:after="0"/>
              <w:rPr>
                <w:sz w:val="20"/>
                <w:szCs w:val="20"/>
                <w:color w:val="auto"/>
              </w:rPr>
            </w:pPr>
            <w:r>
              <w:rPr>
                <w:rFonts w:ascii="Times New Roman" w:cs="Times New Roman" w:eastAsia="Times New Roman" w:hAnsi="Times New Roman"/>
                <w:sz w:val="20"/>
                <w:szCs w:val="20"/>
                <w:color w:val="auto"/>
              </w:rPr>
              <w:t>(b)</w:t>
            </w:r>
          </w:p>
        </w:tc>
        <w:tc>
          <w:tcPr>
            <w:tcW w:w="120" w:type="dxa"/>
            <w:vAlign w:val="bottom"/>
          </w:tcPr>
          <w:p>
            <w:pPr>
              <w:spacing w:after="0"/>
              <w:rPr>
                <w:sz w:val="21"/>
                <w:szCs w:val="21"/>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tcPr>
          <w:p>
            <w:pPr>
              <w:spacing w:after="0"/>
              <w:rPr>
                <w:sz w:val="21"/>
                <w:szCs w:val="21"/>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50</w:t>
            </w:r>
          </w:p>
        </w:tc>
        <w:tc>
          <w:tcPr>
            <w:tcW w:w="140" w:type="dxa"/>
            <w:vAlign w:val="bottom"/>
          </w:tcPr>
          <w:p>
            <w:pPr>
              <w:spacing w:after="0"/>
              <w:rPr>
                <w:sz w:val="21"/>
                <w:szCs w:val="21"/>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w:t>
            </w:r>
          </w:p>
        </w:tc>
      </w:tr>
      <w:tr>
        <w:trPr>
          <w:trHeight w:val="230"/>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RFG rent expense add back (e)</w:t>
            </w:r>
          </w:p>
        </w:tc>
        <w:tc>
          <w:tcPr>
            <w:tcW w:w="12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20"/>
                <w:szCs w:val="20"/>
                <w:color w:val="auto"/>
              </w:rPr>
              <w:t>108</w:t>
            </w:r>
          </w:p>
        </w:tc>
        <w:tc>
          <w:tcPr>
            <w:tcW w:w="14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20"/>
                <w:szCs w:val="20"/>
                <w:color w:val="auto"/>
              </w:rPr>
              <w:t>108</w:t>
            </w:r>
          </w:p>
        </w:tc>
        <w:tc>
          <w:tcPr>
            <w:tcW w:w="14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20"/>
                <w:szCs w:val="20"/>
                <w:color w:val="auto"/>
              </w:rPr>
              <w:t>216</w:t>
            </w: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216</w:t>
            </w:r>
          </w:p>
        </w:tc>
      </w:tr>
      <w:tr>
        <w:trPr>
          <w:trHeight w:val="229"/>
        </w:trPr>
        <w:tc>
          <w:tcPr>
            <w:tcW w:w="5300" w:type="dxa"/>
            <w:vAlign w:val="bottom"/>
          </w:tcPr>
          <w:p>
            <w:pPr>
              <w:spacing w:after="0"/>
              <w:rPr>
                <w:sz w:val="20"/>
                <w:szCs w:val="20"/>
                <w:color w:val="auto"/>
              </w:rPr>
            </w:pPr>
            <w:r>
              <w:rPr>
                <w:rFonts w:ascii="Times New Roman" w:cs="Times New Roman" w:eastAsia="Times New Roman" w:hAnsi="Times New Roman"/>
                <w:sz w:val="20"/>
                <w:szCs w:val="20"/>
                <w:color w:val="auto"/>
              </w:rPr>
              <w:t>Acquisition costs (c)</w:t>
            </w:r>
          </w:p>
        </w:tc>
        <w:tc>
          <w:tcPr>
            <w:tcW w:w="120" w:type="dxa"/>
            <w:vAlign w:val="bottom"/>
          </w:tcPr>
          <w:p>
            <w:pPr>
              <w:spacing w:after="0"/>
              <w:rPr>
                <w:sz w:val="19"/>
                <w:szCs w:val="19"/>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tcPr>
          <w:p>
            <w:pPr>
              <w:spacing w:after="0"/>
              <w:rPr>
                <w:sz w:val="19"/>
                <w:szCs w:val="19"/>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262</w:t>
            </w:r>
          </w:p>
        </w:tc>
      </w:tr>
      <w:tr>
        <w:trPr>
          <w:trHeight w:val="207"/>
        </w:trPr>
        <w:tc>
          <w:tcPr>
            <w:tcW w:w="5300" w:type="dxa"/>
            <w:vAlign w:val="bottom"/>
            <w:shd w:val="clear" w:color="auto" w:fill="CCEEFF"/>
          </w:tcPr>
          <w:p>
            <w:pPr>
              <w:spacing w:after="0" w:line="207" w:lineRule="exact"/>
              <w:rPr>
                <w:sz w:val="20"/>
                <w:szCs w:val="20"/>
                <w:color w:val="auto"/>
              </w:rPr>
            </w:pPr>
            <w:r>
              <w:rPr>
                <w:rFonts w:ascii="Times New Roman" w:cs="Times New Roman" w:eastAsia="Times New Roman" w:hAnsi="Times New Roman"/>
                <w:sz w:val="20"/>
                <w:szCs w:val="20"/>
                <w:color w:val="auto"/>
              </w:rPr>
              <w:t>Restructure costs - consulting and management recruiting and</w:t>
            </w: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r>
      <w:tr>
        <w:trPr>
          <w:trHeight w:val="252"/>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severance (f)</w:t>
            </w:r>
          </w:p>
        </w:tc>
        <w:tc>
          <w:tcPr>
            <w:tcW w:w="12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20"/>
                <w:szCs w:val="20"/>
                <w:color w:val="auto"/>
              </w:rPr>
              <w:t>2,019</w:t>
            </w:r>
          </w:p>
        </w:tc>
        <w:tc>
          <w:tcPr>
            <w:tcW w:w="140" w:type="dxa"/>
            <w:vAlign w:val="bottom"/>
            <w:shd w:val="clear" w:color="auto" w:fill="CCEEFF"/>
          </w:tcPr>
          <w:p>
            <w:pPr>
              <w:spacing w:after="0"/>
              <w:rPr>
                <w:sz w:val="21"/>
                <w:szCs w:val="21"/>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20"/>
                <w:szCs w:val="20"/>
                <w:color w:val="auto"/>
              </w:rPr>
              <w:t>3,137</w:t>
            </w:r>
          </w:p>
        </w:tc>
        <w:tc>
          <w:tcPr>
            <w:tcW w:w="12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30"/>
        </w:trPr>
        <w:tc>
          <w:tcPr>
            <w:tcW w:w="5300" w:type="dxa"/>
            <w:vAlign w:val="bottom"/>
          </w:tcPr>
          <w:p>
            <w:pPr>
              <w:spacing w:after="0"/>
              <w:rPr>
                <w:sz w:val="20"/>
                <w:szCs w:val="20"/>
                <w:color w:val="auto"/>
              </w:rPr>
            </w:pPr>
            <w:r>
              <w:rPr>
                <w:rFonts w:ascii="Times New Roman" w:cs="Times New Roman" w:eastAsia="Times New Roman" w:hAnsi="Times New Roman"/>
                <w:sz w:val="20"/>
                <w:szCs w:val="20"/>
                <w:color w:val="auto"/>
              </w:rPr>
              <w:t>Expenses related to Mexican tax matters (g)</w:t>
            </w:r>
          </w:p>
        </w:tc>
        <w:tc>
          <w:tcPr>
            <w:tcW w:w="120" w:type="dxa"/>
            <w:vAlign w:val="bottom"/>
          </w:tcPr>
          <w:p>
            <w:pPr>
              <w:spacing w:after="0"/>
              <w:rPr>
                <w:sz w:val="19"/>
                <w:szCs w:val="19"/>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478</w:t>
            </w:r>
          </w:p>
        </w:tc>
        <w:tc>
          <w:tcPr>
            <w:tcW w:w="140" w:type="dxa"/>
            <w:vAlign w:val="bottom"/>
          </w:tcPr>
          <w:p>
            <w:pPr>
              <w:spacing w:after="0"/>
              <w:rPr>
                <w:sz w:val="19"/>
                <w:szCs w:val="19"/>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845</w:t>
            </w: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07"/>
        </w:trPr>
        <w:tc>
          <w:tcPr>
            <w:tcW w:w="5300" w:type="dxa"/>
            <w:vAlign w:val="bottom"/>
            <w:shd w:val="clear" w:color="auto" w:fill="CCEEFF"/>
          </w:tcPr>
          <w:p>
            <w:pPr>
              <w:spacing w:after="0" w:line="207" w:lineRule="exact"/>
              <w:rPr>
                <w:sz w:val="20"/>
                <w:szCs w:val="20"/>
                <w:color w:val="auto"/>
              </w:rPr>
            </w:pPr>
            <w:r>
              <w:rPr>
                <w:rFonts w:ascii="Times New Roman" w:cs="Times New Roman" w:eastAsia="Times New Roman" w:hAnsi="Times New Roman"/>
                <w:sz w:val="20"/>
                <w:szCs w:val="20"/>
                <w:color w:val="auto"/>
              </w:rPr>
              <w:t>Impairment and charges related to closure of RFG Florida</w:t>
            </w: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r>
      <w:tr>
        <w:trPr>
          <w:trHeight w:val="252"/>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facility (h)</w:t>
            </w:r>
          </w:p>
        </w:tc>
        <w:tc>
          <w:tcPr>
            <w:tcW w:w="12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20"/>
                <w:szCs w:val="20"/>
                <w:color w:val="auto"/>
              </w:rPr>
              <w:t>311</w:t>
            </w:r>
          </w:p>
        </w:tc>
        <w:tc>
          <w:tcPr>
            <w:tcW w:w="140" w:type="dxa"/>
            <w:vAlign w:val="bottom"/>
            <w:shd w:val="clear" w:color="auto" w:fill="CCEEFF"/>
          </w:tcPr>
          <w:p>
            <w:pPr>
              <w:spacing w:after="0"/>
              <w:rPr>
                <w:sz w:val="21"/>
                <w:szCs w:val="21"/>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20"/>
                <w:szCs w:val="20"/>
                <w:color w:val="auto"/>
              </w:rPr>
              <w:t>929</w:t>
            </w:r>
          </w:p>
        </w:tc>
        <w:tc>
          <w:tcPr>
            <w:tcW w:w="12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63"/>
        </w:trPr>
        <w:tc>
          <w:tcPr>
            <w:tcW w:w="5300" w:type="dxa"/>
            <w:vAlign w:val="bottom"/>
            <w:tcBorders>
              <w:bottom w:val="single" w:sz="8" w:color="CCEEFF"/>
            </w:tcBorders>
          </w:tcPr>
          <w:p>
            <w:pPr>
              <w:spacing w:after="0" w:line="223" w:lineRule="exact"/>
              <w:rPr>
                <w:sz w:val="20"/>
                <w:szCs w:val="20"/>
                <w:color w:val="auto"/>
              </w:rPr>
            </w:pPr>
            <w:r>
              <w:rPr>
                <w:rFonts w:ascii="Times New Roman" w:cs="Times New Roman" w:eastAsia="Times New Roman" w:hAnsi="Times New Roman"/>
                <w:sz w:val="20"/>
                <w:szCs w:val="20"/>
                <w:color w:val="auto"/>
              </w:rPr>
              <w:t>Adjusted EBITDA</w:t>
            </w:r>
          </w:p>
        </w:tc>
        <w:tc>
          <w:tcPr>
            <w:tcW w:w="120" w:type="dxa"/>
            <w:vAlign w:val="bottom"/>
            <w:tcBorders>
              <w:top w:val="single" w:sz="8" w:color="auto"/>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w w:val="79"/>
              </w:rPr>
              <w:t>$</w:t>
            </w:r>
          </w:p>
        </w:tc>
        <w:tc>
          <w:tcPr>
            <w:tcW w:w="580" w:type="dxa"/>
            <w:vAlign w:val="bottom"/>
            <w:tcBorders>
              <w:top w:val="single" w:sz="8" w:color="auto"/>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12,676</w:t>
            </w:r>
          </w:p>
        </w:tc>
        <w:tc>
          <w:tcPr>
            <w:tcW w:w="14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w w:val="79"/>
              </w:rPr>
              <w:t>$</w:t>
            </w:r>
          </w:p>
        </w:tc>
        <w:tc>
          <w:tcPr>
            <w:tcW w:w="600" w:type="dxa"/>
            <w:vAlign w:val="bottom"/>
            <w:tcBorders>
              <w:top w:val="single" w:sz="8" w:color="auto"/>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15,004</w:t>
            </w:r>
          </w:p>
        </w:tc>
        <w:tc>
          <w:tcPr>
            <w:tcW w:w="6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w w:val="79"/>
              </w:rPr>
              <w:t>$</w:t>
            </w:r>
          </w:p>
        </w:tc>
        <w:tc>
          <w:tcPr>
            <w:tcW w:w="600" w:type="dxa"/>
            <w:vAlign w:val="bottom"/>
            <w:tcBorders>
              <w:top w:val="single" w:sz="8" w:color="auto"/>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17,411</w:t>
            </w:r>
          </w:p>
        </w:tc>
        <w:tc>
          <w:tcPr>
            <w:tcW w:w="160" w:type="dxa"/>
            <w:vAlign w:val="bottom"/>
            <w:tcBorders>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w w:val="79"/>
              </w:rPr>
              <w:t>$</w:t>
            </w:r>
          </w:p>
        </w:tc>
        <w:tc>
          <w:tcPr>
            <w:tcW w:w="620" w:type="dxa"/>
            <w:vAlign w:val="bottom"/>
            <w:tcBorders>
              <w:top w:val="single" w:sz="8" w:color="auto"/>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24,424</w:t>
            </w:r>
          </w:p>
        </w:tc>
      </w:tr>
      <w:tr>
        <w:trPr>
          <w:trHeight w:val="210"/>
        </w:trPr>
        <w:tc>
          <w:tcPr>
            <w:tcW w:w="5300" w:type="dxa"/>
            <w:vAlign w:val="bottom"/>
            <w:tcBorders>
              <w:bottom w:val="single" w:sz="8" w:color="CCEEFF"/>
            </w:tcBorders>
            <w:shd w:val="clear" w:color="auto" w:fill="CCEEFF"/>
          </w:tcPr>
          <w:p>
            <w:pPr>
              <w:spacing w:after="0" w:line="210" w:lineRule="exact"/>
              <w:rPr>
                <w:sz w:val="20"/>
                <w:szCs w:val="20"/>
                <w:color w:val="auto"/>
              </w:rPr>
            </w:pPr>
            <w:r>
              <w:rPr>
                <w:rFonts w:ascii="Times New Roman" w:cs="Times New Roman" w:eastAsia="Times New Roman" w:hAnsi="Times New Roman"/>
                <w:sz w:val="20"/>
                <w:szCs w:val="20"/>
                <w:color w:val="auto"/>
              </w:rPr>
              <w:t>Adjusted EBITDA per dilutive share</w:t>
            </w:r>
          </w:p>
        </w:tc>
        <w:tc>
          <w:tcPr>
            <w:tcW w:w="120" w:type="dxa"/>
            <w:vAlign w:val="bottom"/>
            <w:tcBorders>
              <w:bottom w:val="single" w:sz="8" w:color="auto"/>
            </w:tcBorders>
            <w:shd w:val="clear" w:color="auto" w:fill="CCEEFF"/>
          </w:tcPr>
          <w:p>
            <w:pPr>
              <w:jc w:val="right"/>
              <w:spacing w:after="0" w:line="210" w:lineRule="exact"/>
              <w:rPr>
                <w:sz w:val="20"/>
                <w:szCs w:val="20"/>
                <w:color w:val="auto"/>
              </w:rPr>
            </w:pPr>
            <w:r>
              <w:rPr>
                <w:rFonts w:ascii="Times New Roman" w:cs="Times New Roman" w:eastAsia="Times New Roman" w:hAnsi="Times New Roman"/>
                <w:sz w:val="20"/>
                <w:szCs w:val="20"/>
                <w:color w:val="auto"/>
                <w:w w:val="79"/>
              </w:rPr>
              <w:t>$</w:t>
            </w:r>
          </w:p>
        </w:tc>
        <w:tc>
          <w:tcPr>
            <w:tcW w:w="580" w:type="dxa"/>
            <w:vAlign w:val="bottom"/>
            <w:tcBorders>
              <w:bottom w:val="single" w:sz="8" w:color="auto"/>
            </w:tcBorders>
            <w:shd w:val="clear" w:color="auto" w:fill="CCEEFF"/>
          </w:tcPr>
          <w:p>
            <w:pPr>
              <w:jc w:val="right"/>
              <w:spacing w:after="0" w:line="210" w:lineRule="exact"/>
              <w:rPr>
                <w:sz w:val="20"/>
                <w:szCs w:val="20"/>
                <w:color w:val="auto"/>
              </w:rPr>
            </w:pPr>
            <w:r>
              <w:rPr>
                <w:rFonts w:ascii="Times New Roman" w:cs="Times New Roman" w:eastAsia="Times New Roman" w:hAnsi="Times New Roman"/>
                <w:sz w:val="20"/>
                <w:szCs w:val="20"/>
                <w:color w:val="auto"/>
              </w:rPr>
              <w:t>0.71</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line="210" w:lineRule="exact"/>
              <w:rPr>
                <w:sz w:val="20"/>
                <w:szCs w:val="20"/>
                <w:color w:val="auto"/>
              </w:rPr>
            </w:pPr>
            <w:r>
              <w:rPr>
                <w:rFonts w:ascii="Times New Roman" w:cs="Times New Roman" w:eastAsia="Times New Roman" w:hAnsi="Times New Roman"/>
                <w:sz w:val="20"/>
                <w:szCs w:val="20"/>
                <w:color w:val="auto"/>
                <w:w w:val="79"/>
              </w:rPr>
              <w:t>$</w:t>
            </w:r>
          </w:p>
        </w:tc>
        <w:tc>
          <w:tcPr>
            <w:tcW w:w="600" w:type="dxa"/>
            <w:vAlign w:val="bottom"/>
            <w:tcBorders>
              <w:bottom w:val="single" w:sz="8" w:color="auto"/>
            </w:tcBorders>
            <w:shd w:val="clear" w:color="auto" w:fill="CCEEFF"/>
          </w:tcPr>
          <w:p>
            <w:pPr>
              <w:jc w:val="right"/>
              <w:spacing w:after="0" w:line="210" w:lineRule="exact"/>
              <w:rPr>
                <w:sz w:val="20"/>
                <w:szCs w:val="20"/>
                <w:color w:val="auto"/>
              </w:rPr>
            </w:pPr>
            <w:r>
              <w:rPr>
                <w:rFonts w:ascii="Times New Roman" w:cs="Times New Roman" w:eastAsia="Times New Roman" w:hAnsi="Times New Roman"/>
                <w:sz w:val="20"/>
                <w:szCs w:val="20"/>
                <w:color w:val="auto"/>
              </w:rPr>
              <w:t>0.85</w:t>
            </w:r>
          </w:p>
        </w:tc>
        <w:tc>
          <w:tcPr>
            <w:tcW w:w="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line="210" w:lineRule="exact"/>
              <w:rPr>
                <w:sz w:val="20"/>
                <w:szCs w:val="20"/>
                <w:color w:val="auto"/>
              </w:rPr>
            </w:pPr>
            <w:r>
              <w:rPr>
                <w:rFonts w:ascii="Times New Roman" w:cs="Times New Roman" w:eastAsia="Times New Roman" w:hAnsi="Times New Roman"/>
                <w:sz w:val="20"/>
                <w:szCs w:val="20"/>
                <w:color w:val="auto"/>
                <w:w w:val="79"/>
              </w:rPr>
              <w:t>$</w:t>
            </w:r>
          </w:p>
        </w:tc>
        <w:tc>
          <w:tcPr>
            <w:tcW w:w="600" w:type="dxa"/>
            <w:vAlign w:val="bottom"/>
            <w:tcBorders>
              <w:bottom w:val="single" w:sz="8" w:color="auto"/>
            </w:tcBorders>
            <w:shd w:val="clear" w:color="auto" w:fill="CCEEFF"/>
          </w:tcPr>
          <w:p>
            <w:pPr>
              <w:jc w:val="right"/>
              <w:spacing w:after="0" w:line="210" w:lineRule="exact"/>
              <w:rPr>
                <w:sz w:val="20"/>
                <w:szCs w:val="20"/>
                <w:color w:val="auto"/>
              </w:rPr>
            </w:pPr>
            <w:r>
              <w:rPr>
                <w:rFonts w:ascii="Times New Roman" w:cs="Times New Roman" w:eastAsia="Times New Roman" w:hAnsi="Times New Roman"/>
                <w:sz w:val="20"/>
                <w:szCs w:val="20"/>
                <w:color w:val="auto"/>
              </w:rPr>
              <w:t>0.98</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line="210" w:lineRule="exact"/>
              <w:rPr>
                <w:sz w:val="20"/>
                <w:szCs w:val="20"/>
                <w:color w:val="auto"/>
              </w:rPr>
            </w:pPr>
            <w:r>
              <w:rPr>
                <w:rFonts w:ascii="Times New Roman" w:cs="Times New Roman" w:eastAsia="Times New Roman" w:hAnsi="Times New Roman"/>
                <w:sz w:val="20"/>
                <w:szCs w:val="20"/>
                <w:color w:val="auto"/>
                <w:w w:val="79"/>
              </w:rPr>
              <w:t>$</w:t>
            </w:r>
          </w:p>
        </w:tc>
        <w:tc>
          <w:tcPr>
            <w:tcW w:w="620" w:type="dxa"/>
            <w:vAlign w:val="bottom"/>
            <w:tcBorders>
              <w:bottom w:val="single" w:sz="8" w:color="auto"/>
            </w:tcBorders>
            <w:shd w:val="clear" w:color="auto" w:fill="CCEEFF"/>
          </w:tcPr>
          <w:p>
            <w:pPr>
              <w:jc w:val="right"/>
              <w:spacing w:after="0" w:line="210" w:lineRule="exact"/>
              <w:rPr>
                <w:sz w:val="20"/>
                <w:szCs w:val="20"/>
                <w:color w:val="auto"/>
              </w:rPr>
            </w:pPr>
            <w:r>
              <w:rPr>
                <w:rFonts w:ascii="Times New Roman" w:cs="Times New Roman" w:eastAsia="Times New Roman" w:hAnsi="Times New Roman"/>
                <w:sz w:val="20"/>
                <w:szCs w:val="20"/>
                <w:color w:val="auto"/>
              </w:rPr>
              <w:t>1.38</w:t>
            </w:r>
          </w:p>
        </w:tc>
      </w:tr>
      <w:tr>
        <w:trPr>
          <w:trHeight w:val="20"/>
        </w:trPr>
        <w:tc>
          <w:tcPr>
            <w:tcW w:w="5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437515</wp:posOffset>
            </wp:positionV>
            <wp:extent cx="187706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8770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See prior page for footnote references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637540</wp:posOffset>
            </wp:positionV>
            <wp:extent cx="545211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659" w:right="1440" w:bottom="1440" w:gutter="0" w:footer="0" w:header="0"/>
        </w:sectPr>
      </w:pPr>
    </w:p>
    <w:bookmarkStart w:id="16" w:name="page17"/>
    <w:bookmarkEnd w:id="16"/>
    <w:p>
      <w:pPr>
        <w:ind w:left="200"/>
        <w:spacing w:after="0"/>
        <w:rPr>
          <w:sz w:val="20"/>
          <w:szCs w:val="20"/>
          <w:color w:val="auto"/>
        </w:rPr>
      </w:pPr>
      <w:r>
        <w:rPr>
          <w:rFonts w:ascii="Times New Roman" w:cs="Times New Roman" w:eastAsia="Times New Roman" w:hAnsi="Times New Roman"/>
          <w:sz w:val="18"/>
          <w:szCs w:val="18"/>
          <w:i w:val="1"/>
          <w:iCs w:val="1"/>
          <w:color w:val="auto"/>
        </w:rPr>
        <w:t>Calavo Growers, Inc.</w:t>
      </w:r>
    </w:p>
    <w:p>
      <w:pPr>
        <w:spacing w:after="0" w:line="2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 xml:space="preserve">Page </w:t>
      </w:r>
      <w:r>
        <w:rPr>
          <w:rFonts w:ascii="Times New Roman" w:cs="Times New Roman" w:eastAsia="Times New Roman" w:hAnsi="Times New Roman"/>
          <w:sz w:val="18"/>
          <w:szCs w:val="18"/>
          <w:b w:val="1"/>
          <w:bCs w:val="1"/>
          <w:i w:val="1"/>
          <w:iCs w:val="1"/>
          <w:color w:val="auto"/>
        </w:rPr>
        <w:t>14</w:t>
      </w:r>
      <w:r>
        <w:rPr>
          <w:rFonts w:ascii="Times New Roman" w:cs="Times New Roman" w:eastAsia="Times New Roman" w:hAnsi="Times New Roman"/>
          <w:sz w:val="18"/>
          <w:szCs w:val="18"/>
          <w:i w:val="1"/>
          <w:iCs w:val="1"/>
          <w:color w:val="auto"/>
        </w:rPr>
        <w:t xml:space="preserve"> of </w:t>
      </w:r>
      <w:r>
        <w:rPr>
          <w:rFonts w:ascii="Times New Roman" w:cs="Times New Roman" w:eastAsia="Times New Roman" w:hAnsi="Times New Roman"/>
          <w:sz w:val="18"/>
          <w:szCs w:val="18"/>
          <w:b w:val="1"/>
          <w:bCs w:val="1"/>
          <w:i w:val="1"/>
          <w:iCs w:val="1"/>
          <w:color w:val="auto"/>
        </w:rPr>
        <w:t>14</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CALAVO GROWERS, INC.</w:t>
      </w:r>
    </w:p>
    <w:p>
      <w:pPr>
        <w:spacing w:after="0" w:line="25"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0"/>
          <w:szCs w:val="20"/>
          <w:b w:val="1"/>
          <w:bCs w:val="1"/>
          <w:color w:val="auto"/>
        </w:rPr>
        <w:t>OTHER INFORMATION (UNAUDITED)</w:t>
      </w:r>
    </w:p>
    <w:p>
      <w:pPr>
        <w:ind w:left="2740"/>
        <w:spacing w:after="0"/>
        <w:rPr>
          <w:sz w:val="20"/>
          <w:szCs w:val="20"/>
          <w:color w:val="auto"/>
        </w:rPr>
      </w:pPr>
      <w:r>
        <w:rPr>
          <w:rFonts w:ascii="Times New Roman" w:cs="Times New Roman" w:eastAsia="Times New Roman" w:hAnsi="Times New Roman"/>
          <w:sz w:val="20"/>
          <w:szCs w:val="20"/>
          <w:b w:val="1"/>
          <w:bCs w:val="1"/>
          <w:color w:val="auto"/>
        </w:rPr>
        <w:t>(in thousands, except per pound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4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6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0" w:type="dxa"/>
            <w:vAlign w:val="bottom"/>
          </w:tcPr>
          <w:p>
            <w:pPr>
              <w:spacing w:after="0"/>
              <w:rPr>
                <w:sz w:val="13"/>
                <w:szCs w:val="13"/>
                <w:color w:val="auto"/>
              </w:rPr>
            </w:pPr>
          </w:p>
        </w:tc>
        <w:tc>
          <w:tcPr>
            <w:tcW w:w="1680" w:type="dxa"/>
            <w:vAlign w:val="bottom"/>
            <w:gridSpan w:val="4"/>
          </w:tcPr>
          <w:p>
            <w:pPr>
              <w:jc w:val="right"/>
              <w:ind w:right="305"/>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73"/>
        </w:trPr>
        <w:tc>
          <w:tcPr>
            <w:tcW w:w="4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April 30,</w:t>
            </w:r>
          </w:p>
        </w:tc>
        <w:tc>
          <w:tcPr>
            <w:tcW w:w="6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April 30,</w:t>
            </w:r>
          </w:p>
        </w:tc>
        <w:tc>
          <w:tcPr>
            <w:tcW w:w="660" w:type="dxa"/>
            <w:vAlign w:val="bottom"/>
            <w:tcBorders>
              <w:bottom w:val="single" w:sz="8" w:color="auto"/>
            </w:tcBorders>
          </w:tcPr>
          <w:p>
            <w:pPr>
              <w:spacing w:after="0"/>
              <w:rPr>
                <w:sz w:val="15"/>
                <w:szCs w:val="15"/>
                <w:color w:val="auto"/>
              </w:rPr>
            </w:pPr>
          </w:p>
        </w:tc>
      </w:tr>
      <w:tr>
        <w:trPr>
          <w:trHeight w:val="142"/>
        </w:trPr>
        <w:tc>
          <w:tcPr>
            <w:tcW w:w="442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30"/>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85"/>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10"/>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65"/>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r>
      <w:tr>
        <w:trPr>
          <w:trHeight w:val="223"/>
        </w:trPr>
        <w:tc>
          <w:tcPr>
            <w:tcW w:w="4420" w:type="dxa"/>
            <w:vAlign w:val="bottom"/>
            <w:shd w:val="clear" w:color="auto" w:fill="CCEEFF"/>
          </w:tcPr>
          <w:p>
            <w:pPr>
              <w:spacing w:after="0" w:line="223" w:lineRule="exact"/>
              <w:rPr>
                <w:sz w:val="20"/>
                <w:szCs w:val="20"/>
                <w:color w:val="auto"/>
              </w:rPr>
            </w:pPr>
            <w:r>
              <w:rPr>
                <w:rFonts w:ascii="Times New Roman" w:cs="Times New Roman" w:eastAsia="Times New Roman" w:hAnsi="Times New Roman"/>
                <w:sz w:val="20"/>
                <w:szCs w:val="20"/>
                <w:color w:val="auto"/>
              </w:rPr>
              <w:t>Pounds of avocados sold</w:t>
            </w: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line="223" w:lineRule="exact"/>
              <w:rPr>
                <w:sz w:val="20"/>
                <w:szCs w:val="20"/>
                <w:color w:val="auto"/>
              </w:rPr>
            </w:pPr>
            <w:r>
              <w:rPr>
                <w:rFonts w:ascii="Times New Roman" w:cs="Times New Roman" w:eastAsia="Times New Roman" w:hAnsi="Times New Roman"/>
                <w:sz w:val="20"/>
                <w:szCs w:val="20"/>
                <w:color w:val="auto"/>
              </w:rPr>
              <w:t>88,223</w:t>
            </w: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line="223" w:lineRule="exact"/>
              <w:rPr>
                <w:sz w:val="20"/>
                <w:szCs w:val="20"/>
                <w:color w:val="auto"/>
              </w:rPr>
            </w:pPr>
            <w:r>
              <w:rPr>
                <w:rFonts w:ascii="Times New Roman" w:cs="Times New Roman" w:eastAsia="Times New Roman" w:hAnsi="Times New Roman"/>
                <w:sz w:val="20"/>
                <w:szCs w:val="20"/>
                <w:color w:val="auto"/>
              </w:rPr>
              <w:t>101,274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line="223" w:lineRule="exact"/>
              <w:rPr>
                <w:sz w:val="20"/>
                <w:szCs w:val="20"/>
                <w:color w:val="auto"/>
              </w:rPr>
            </w:pPr>
            <w:r>
              <w:rPr>
                <w:rFonts w:ascii="Times New Roman" w:cs="Times New Roman" w:eastAsia="Times New Roman" w:hAnsi="Times New Roman"/>
                <w:sz w:val="20"/>
                <w:szCs w:val="20"/>
                <w:color w:val="auto"/>
              </w:rPr>
              <w:t>174,351</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line="223" w:lineRule="exact"/>
              <w:rPr>
                <w:sz w:val="20"/>
                <w:szCs w:val="20"/>
                <w:color w:val="auto"/>
              </w:rPr>
            </w:pPr>
            <w:r>
              <w:rPr>
                <w:rFonts w:ascii="Times New Roman" w:cs="Times New Roman" w:eastAsia="Times New Roman" w:hAnsi="Times New Roman"/>
                <w:sz w:val="20"/>
                <w:szCs w:val="20"/>
                <w:color w:val="auto"/>
                <w:w w:val="98"/>
              </w:rPr>
              <w:t>198,661</w:t>
            </w:r>
          </w:p>
        </w:tc>
      </w:tr>
      <w:tr>
        <w:trPr>
          <w:trHeight w:val="229"/>
        </w:trPr>
        <w:tc>
          <w:tcPr>
            <w:tcW w:w="4420" w:type="dxa"/>
            <w:vAlign w:val="bottom"/>
          </w:tcPr>
          <w:p>
            <w:pPr>
              <w:spacing w:after="0"/>
              <w:rPr>
                <w:sz w:val="20"/>
                <w:szCs w:val="20"/>
                <w:color w:val="auto"/>
              </w:rPr>
            </w:pPr>
            <w:r>
              <w:rPr>
                <w:rFonts w:ascii="Times New Roman" w:cs="Times New Roman" w:eastAsia="Times New Roman" w:hAnsi="Times New Roman"/>
                <w:sz w:val="20"/>
                <w:szCs w:val="20"/>
                <w:color w:val="auto"/>
              </w:rPr>
              <w:t>Pounds of processed avocado products sold</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6,147</w:t>
            </w:r>
          </w:p>
        </w:tc>
        <w:tc>
          <w:tcPr>
            <w:tcW w:w="160" w:type="dxa"/>
            <w:vAlign w:val="bottom"/>
          </w:tcPr>
          <w:p>
            <w:pPr>
              <w:spacing w:after="0"/>
              <w:rPr>
                <w:sz w:val="19"/>
                <w:szCs w:val="19"/>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6,742</w:t>
            </w:r>
          </w:p>
        </w:tc>
        <w:tc>
          <w:tcPr>
            <w:tcW w:w="18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11,973</w:t>
            </w: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12,190</w:t>
            </w:r>
          </w:p>
        </w:tc>
      </w:tr>
      <w:tr>
        <w:trPr>
          <w:trHeight w:val="230"/>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Average sales price per pound - avocados</w:t>
            </w:r>
          </w:p>
        </w:tc>
        <w:tc>
          <w:tcPr>
            <w:tcW w:w="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20"/>
                <w:szCs w:val="20"/>
                <w:color w:val="auto"/>
              </w:rPr>
              <w:t>2.16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20"/>
                <w:szCs w:val="20"/>
                <w:color w:val="auto"/>
              </w:rPr>
              <w:t>1.44</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20"/>
                <w:szCs w:val="20"/>
                <w:color w:val="auto"/>
              </w:rPr>
              <w:t>1.95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1.25</w:t>
            </w:r>
          </w:p>
        </w:tc>
      </w:tr>
      <w:tr>
        <w:trPr>
          <w:trHeight w:val="229"/>
        </w:trPr>
        <w:tc>
          <w:tcPr>
            <w:tcW w:w="4420" w:type="dxa"/>
            <w:vAlign w:val="bottom"/>
          </w:tcPr>
          <w:p>
            <w:pPr>
              <w:spacing w:after="0"/>
              <w:rPr>
                <w:sz w:val="20"/>
                <w:szCs w:val="20"/>
                <w:color w:val="auto"/>
              </w:rPr>
            </w:pPr>
            <w:r>
              <w:rPr>
                <w:rFonts w:ascii="Times New Roman" w:cs="Times New Roman" w:eastAsia="Times New Roman" w:hAnsi="Times New Roman"/>
                <w:sz w:val="20"/>
                <w:szCs w:val="20"/>
                <w:color w:val="auto"/>
              </w:rPr>
              <w:t>Gross profit per pound - avocados</w:t>
            </w: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0.18</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0.13</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0.15</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0.13</w:t>
            </w:r>
          </w:p>
        </w:tc>
      </w:tr>
      <w:tr>
        <w:trPr>
          <w:trHeight w:val="207"/>
        </w:trPr>
        <w:tc>
          <w:tcPr>
            <w:tcW w:w="4420" w:type="dxa"/>
            <w:vAlign w:val="bottom"/>
            <w:shd w:val="clear" w:color="auto" w:fill="CCEEFF"/>
          </w:tcPr>
          <w:p>
            <w:pPr>
              <w:spacing w:after="0" w:line="207" w:lineRule="exact"/>
              <w:rPr>
                <w:sz w:val="20"/>
                <w:szCs w:val="20"/>
                <w:color w:val="auto"/>
              </w:rPr>
            </w:pPr>
            <w:r>
              <w:rPr>
                <w:rFonts w:ascii="Times New Roman" w:cs="Times New Roman" w:eastAsia="Times New Roman" w:hAnsi="Times New Roman"/>
                <w:sz w:val="20"/>
                <w:szCs w:val="20"/>
                <w:color w:val="auto"/>
              </w:rPr>
              <w:t>Average sales price per pound – processed avocado</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r>
      <w:tr>
        <w:trPr>
          <w:trHeight w:val="252"/>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products</w:t>
            </w:r>
          </w:p>
        </w:tc>
        <w:tc>
          <w:tcPr>
            <w:tcW w:w="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20"/>
                <w:szCs w:val="20"/>
                <w:color w:val="auto"/>
              </w:rPr>
              <w:t>3.16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20"/>
                <w:szCs w:val="20"/>
                <w:color w:val="auto"/>
              </w:rPr>
              <w:t>2.95</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20"/>
                <w:szCs w:val="20"/>
                <w:color w:val="auto"/>
              </w:rPr>
              <w:t>3.02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2.92</w:t>
            </w:r>
          </w:p>
        </w:tc>
      </w:tr>
      <w:tr>
        <w:trPr>
          <w:trHeight w:val="258"/>
        </w:trPr>
        <w:tc>
          <w:tcPr>
            <w:tcW w:w="4420" w:type="dxa"/>
            <w:vAlign w:val="bottom"/>
          </w:tcPr>
          <w:p>
            <w:pPr>
              <w:spacing w:after="0"/>
              <w:rPr>
                <w:sz w:val="20"/>
                <w:szCs w:val="20"/>
                <w:color w:val="auto"/>
              </w:rPr>
            </w:pPr>
            <w:r>
              <w:rPr>
                <w:rFonts w:ascii="Times New Roman" w:cs="Times New Roman" w:eastAsia="Times New Roman" w:hAnsi="Times New Roman"/>
                <w:sz w:val="20"/>
                <w:szCs w:val="20"/>
                <w:color w:val="auto"/>
              </w:rPr>
              <w:t>Gross profit per pound – processed avocado products</w:t>
            </w: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0.25</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0.79</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0.33</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0.82</w:t>
            </w:r>
          </w:p>
        </w:tc>
      </w:tr>
      <w:tr>
        <w:trPr>
          <w:trHeight w:val="734"/>
        </w:trPr>
        <w:tc>
          <w:tcPr>
            <w:tcW w:w="44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9019"/>
      </w:cols>
      <w:pgMar w:left="1440" w:top="65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1)"/>
      <w:numFmt w:val="lowerLetter"/>
      <w:start w:val="4"/>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o"/>
      <w:numFmt w:val="bullet"/>
      <w:start w:val="1"/>
    </w:lvl>
  </w:abstractNum>
  <w:abstractNum w:abstractNumId="5">
    <w:nsid w:val="41B71EFB"/>
    <w:multiLevelType w:val="hybridMultilevel"/>
    <w:lvl w:ilvl="0">
      <w:lvlJc w:val="left"/>
      <w:lvlText w:val="(%1)"/>
      <w:numFmt w:val="decimal"/>
      <w:start w:val="1"/>
    </w:lvl>
  </w:abstractNum>
  <w:abstractNum w:abstractNumId="6">
    <w:nsid w:val="79E2A9E3"/>
    <w:multiLevelType w:val="hybridMultilevel"/>
    <w:lvl w:ilvl="0">
      <w:lvlJc w:val="left"/>
      <w:lvlText w:val="(%1)"/>
      <w:numFmt w:val="lowerLetter"/>
      <w:start w:val="1"/>
    </w:lvl>
  </w:abstractNum>
  <w:abstractNum w:abstractNumId="7">
    <w:nsid w:val="7545E146"/>
    <w:multiLevelType w:val="hybridMultilevel"/>
    <w:lvl w:ilvl="0">
      <w:lvlJc w:val="left"/>
      <w:lvlText w:val="(%1)"/>
      <w:numFmt w:val="lowerLetter"/>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2022-06-02T15:31:44Z</dcterms:created>
  <dcterms:modified xsi:type="dcterms:W3CDTF">2022-06-02T15:31:44Z</dcterms:modified>
</cp:coreProperties>
</file>