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v28161e8vk.htm"/>
      <w:bookmarkStart w:id="1" w:name="ksv28161e8vk"/>
      <w:bookmarkEnd w:id="0"/>
      <w:bookmarkEnd w:id="1"/>
      <w:r>
        <w:rPr/>
        <w:t>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 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 PURSUANT</w:t>
        <w:br/>
        <w:t>TO SECTION 13 OR 15(d) OF THE</w:t>
        <w:br/>
        <w:t>SECURITIES EXCHANGE ACT OF 1934</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Date of report (Date of earliest event reported): March 6, 2007</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CALAVO GROWERS,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Charter)</w:t>
      </w:r>
    </w:p>
    <w:tbl>
      <w:tblPr>
        <w:tblW w:w="5000" w:type="pct"/>
        <w:jc w:val="center"/>
        <w:tblInd w:w="0" w:type="dxa"/>
        <w:tblCellMar>
          <w:top w:w="0" w:type="dxa"/>
          <w:left w:w="0" w:type="dxa"/>
          <w:bottom w:w="0" w:type="dxa"/>
          <w:right w:w="0" w:type="dxa"/>
        </w:tblCellMar>
      </w:tblPr>
      <w:tblGrid>
        <w:gridCol w:w="3062"/>
        <w:gridCol w:w="509"/>
        <w:gridCol w:w="3062"/>
        <w:gridCol w:w="509"/>
        <w:gridCol w:w="3063"/>
      </w:tblGrid>
      <w:tr>
        <w:trPr/>
        <w:tc>
          <w:tcPr>
            <w:tcW w:w="30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vAlign w:val="bottom"/>
          </w:tcPr>
          <w:p>
            <w:pPr>
              <w:pStyle w:val="TableContents"/>
              <w:spacing w:before="0" w:after="283"/>
              <w:rPr/>
            </w:pPr>
            <w:r>
              <w:rPr/>
              <w:t> </w:t>
            </w:r>
          </w:p>
        </w:tc>
      </w:tr>
      <w:tr>
        <w:trPr/>
        <w:tc>
          <w:tcPr>
            <w:tcW w:w="3062" w:type="dxa"/>
            <w:tcBorders/>
            <w:shd w:fill="auto" w:val="clear"/>
          </w:tcPr>
          <w:p>
            <w:pPr>
              <w:pStyle w:val="TableContents"/>
              <w:spacing w:before="0" w:after="283"/>
              <w:jc w:val="center"/>
              <w:rPr/>
            </w:pPr>
            <w:r>
              <w:rPr>
                <w:b/>
              </w:rPr>
              <w:t>California</w:t>
            </w:r>
            <w:r>
              <w:rPr/>
              <w:t xml:space="preserve">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000-33385</w:t>
            </w:r>
            <w:r>
              <w:rPr/>
              <w:t xml:space="preserve">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b/>
              </w:rPr>
            </w:pPr>
            <w:r>
              <w:rPr>
                <w:b/>
              </w:rPr>
              <w:t>33-0945304</w:t>
            </w:r>
          </w:p>
        </w:tc>
      </w:tr>
      <w:tr>
        <w:trPr/>
        <w:tc>
          <w:tcPr>
            <w:tcW w:w="3062"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 </w:t>
            </w:r>
          </w:p>
        </w:tc>
      </w:tr>
      <w:tr>
        <w:trPr/>
        <w:tc>
          <w:tcPr>
            <w:tcW w:w="3062"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509" w:type="dxa"/>
            <w:tcBorders/>
            <w:shd w:fill="auto" w:val="clear"/>
            <w:vAlign w:val="center"/>
          </w:tcPr>
          <w:p>
            <w:pPr>
              <w:pStyle w:val="TableContents"/>
              <w:spacing w:before="0" w:after="283"/>
              <w:rPr/>
            </w:pPr>
            <w:r>
              <w:rPr/>
              <w:t> </w:t>
            </w:r>
          </w:p>
        </w:tc>
        <w:tc>
          <w:tcPr>
            <w:tcW w:w="3062"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509" w:type="dxa"/>
            <w:tcBorders/>
            <w:shd w:fill="auto" w:val="clear"/>
            <w:vAlign w:val="center"/>
          </w:tcPr>
          <w:p>
            <w:pPr>
              <w:pStyle w:val="TableContents"/>
              <w:spacing w:before="0" w:after="283"/>
              <w:rPr/>
            </w:pPr>
            <w:r>
              <w:rPr/>
              <w:t> </w:t>
            </w:r>
          </w:p>
        </w:tc>
        <w:tc>
          <w:tcPr>
            <w:tcW w:w="3063" w:type="dxa"/>
            <w:tcBorders>
              <w:top w:val="single" w:sz="2" w:space="0" w:color="000000"/>
            </w:tcBorders>
            <w:shd w:fill="auto" w:val="clear"/>
            <w:tcMar>
              <w:top w:w="28" w:type="dxa"/>
            </w:tcMar>
          </w:tcPr>
          <w:p>
            <w:pPr>
              <w:pStyle w:val="TableContents"/>
              <w:spacing w:before="0" w:after="283"/>
              <w:jc w:val="center"/>
              <w:rPr/>
            </w:pPr>
            <w:r>
              <w:rPr/>
              <w:t> </w:t>
            </w:r>
          </w:p>
        </w:tc>
      </w:tr>
      <w:tr>
        <w:trPr/>
        <w:tc>
          <w:tcPr>
            <w:tcW w:w="3062" w:type="dxa"/>
            <w:tcBorders/>
            <w:shd w:fill="auto" w:val="clear"/>
          </w:tcPr>
          <w:p>
            <w:pPr>
              <w:pStyle w:val="TableContents"/>
              <w:spacing w:before="0" w:after="283"/>
              <w:jc w:val="center"/>
              <w:rPr/>
            </w:pPr>
            <w:r>
              <w:rPr/>
              <w:t xml:space="preserve">(State or Other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xml:space="preserve">(Commission File Number)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(IRS Employer</w:t>
            </w:r>
          </w:p>
        </w:tc>
      </w:tr>
      <w:tr>
        <w:trPr/>
        <w:tc>
          <w:tcPr>
            <w:tcW w:w="3062" w:type="dxa"/>
            <w:tcBorders/>
            <w:shd w:fill="auto" w:val="clear"/>
          </w:tcPr>
          <w:p>
            <w:pPr>
              <w:pStyle w:val="TableContents"/>
              <w:spacing w:before="0" w:after="283"/>
              <w:jc w:val="center"/>
              <w:rPr/>
            </w:pPr>
            <w:r>
              <w:rPr/>
              <w:t xml:space="preserve">Jurisdiction of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Identification No.)</w:t>
            </w:r>
          </w:p>
        </w:tc>
      </w:tr>
      <w:tr>
        <w:trPr/>
        <w:tc>
          <w:tcPr>
            <w:tcW w:w="3062" w:type="dxa"/>
            <w:tcBorders/>
            <w:shd w:fill="auto" w:val="clear"/>
          </w:tcPr>
          <w:p>
            <w:pPr>
              <w:pStyle w:val="TableContents"/>
              <w:spacing w:before="0" w:after="283"/>
              <w:jc w:val="center"/>
              <w:rPr/>
            </w:pPr>
            <w:r>
              <w:rPr/>
              <w:t>Incorporation)</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 </w:t>
            </w:r>
          </w:p>
        </w:tc>
      </w:tr>
    </w:tbl>
    <w:p>
      <w:pPr>
        <w:pStyle w:val="TextBody"/>
        <w:spacing w:before="240" w:after="283"/>
        <w:jc w:val="center"/>
        <w:rPr>
          <w:rFonts w:ascii="Times New Roman;Times;serif" w:hAnsi="Times New Roman;Times;serif"/>
          <w:b/>
          <w:sz w:val="17"/>
        </w:rPr>
      </w:pPr>
      <w:r>
        <w:rPr>
          <w:rFonts w:ascii="Times New Roman;Times;serif" w:hAnsi="Times New Roman;Times;serif"/>
          <w:b/>
          <w:sz w:val="17"/>
        </w:rPr>
        <w:t>1141-A Cummings Road, Santa Paula, California 93060</w:t>
      </w:r>
    </w:p>
    <w:p>
      <w:pPr>
        <w:pStyle w:val="TextBody"/>
        <w:spacing w:before="15" w:after="283"/>
        <w:jc w:val="center"/>
        <w:rPr>
          <w:rFonts w:ascii="Times New Roman;Times;serif" w:hAnsi="Times New Roman;Times;serif"/>
          <w:sz w:val="17"/>
          <w:bdr w:val="single" w:sz="2" w:space="1" w:color="000000"/>
        </w:rPr>
      </w:pPr>
      <w:r>
        <w:rPr>
          <w:rFonts w:ascii="Times New Roman;Times;serif" w:hAnsi="Times New Roman;Times;serif"/>
          <w:sz w:val="17"/>
          <w:bdr w:val="single" w:sz="2" w:space="1" w:color="000000"/>
        </w:rPr>
        <w:t>(Address of Principal Executive Offices) (Zip Code)</w:t>
      </w:r>
    </w:p>
    <w:p>
      <w:pPr>
        <w:pStyle w:val="TextBody"/>
        <w:spacing w:before="15" w:after="283"/>
        <w:jc w:val="center"/>
        <w:rPr>
          <w:rFonts w:ascii="Times New Roman;Times;serif" w:hAnsi="Times New Roman;Times;serif"/>
          <w:sz w:val="17"/>
          <w:bdr w:val="single" w:sz="2" w:space="1" w:color="000000"/>
        </w:rPr>
      </w:pPr>
      <w:r>
        <w:rPr>
          <w:rFonts w:ascii="Times New Roman;Times;serif" w:hAnsi="Times New Roman;Times;serif"/>
          <w:sz w:val="17"/>
          <w:bdr w:val="single" w:sz="2" w:space="1" w:color="000000"/>
        </w:rPr>
        <w:t>(Former Name or Former Address, if Changed Since Last Report)</w:t>
      </w:r>
    </w:p>
    <w:p>
      <w:pPr>
        <w:pStyle w:val="TextBody"/>
        <w:spacing w:before="240" w:after="283"/>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r>
        <w:rPr>
          <w:rFonts w:ascii="Times New Roman;Times;serif" w:hAnsi="Times New Roman;Times;serif"/>
          <w:b/>
          <w:sz w:val="17"/>
        </w:rPr>
        <w:t>(805) 525-1245</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tbl>
      <w:tblPr>
        <w:tblW w:w="5000" w:type="pct"/>
        <w:jc w:val="left"/>
        <w:tblInd w:w="0" w:type="dxa"/>
        <w:tblCellMar>
          <w:top w:w="0" w:type="dxa"/>
          <w:left w:w="0" w:type="dxa"/>
          <w:bottom w:w="0" w:type="dxa"/>
          <w:right w:w="0" w:type="dxa"/>
        </w:tblCellMar>
      </w:tblPr>
      <w:tblGrid>
        <w:gridCol w:w="172"/>
        <w:gridCol w:w="120"/>
        <w:gridCol w:w="9913"/>
      </w:tblGrid>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Written communications pursuant to Rule 425 under the Securities Act (17 CFR 230.425)</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Soliciting material pursuant to Rule 14a-12 under the Exchange Act (17 CFR 240.14a-12)</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Pre-commencement communications pursuant to Rule 14d-2(b) under the Exchange Act (17 CFR 240.14d-2(b))</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Pre-commencement communications pursuant to Rule 13e-4(c) under the Exchange Act (17 CFR 240.13e-4(c))</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2.02 Results of Operations and Financial Condition.</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509"/>
        <w:gridCol w:w="203"/>
        <w:gridCol w:w="9493"/>
      </w:tblGrid>
      <w:tr>
        <w:trPr/>
        <w:tc>
          <w:tcPr>
            <w:tcW w:w="50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9493" w:type="dxa"/>
            <w:tcBorders/>
            <w:shd w:fill="auto" w:val="clear"/>
            <w:vAlign w:val="bottom"/>
          </w:tcPr>
          <w:p>
            <w:pPr>
              <w:pStyle w:val="TableContents"/>
              <w:spacing w:before="0" w:after="283"/>
              <w:rPr/>
            </w:pPr>
            <w:r>
              <w:rPr/>
              <w:t> </w:t>
            </w:r>
          </w:p>
        </w:tc>
      </w:tr>
      <w:tr>
        <w:trPr/>
        <w:tc>
          <w:tcPr>
            <w:tcW w:w="509" w:type="dxa"/>
            <w:tcBorders/>
            <w:shd w:fill="auto" w:val="clear"/>
          </w:tcPr>
          <w:p>
            <w:pPr>
              <w:pStyle w:val="TableContents"/>
              <w:spacing w:before="0" w:after="0"/>
              <w:ind w:left="0" w:right="0" w:hanging="0"/>
              <w:rPr/>
            </w:pPr>
            <w:r>
              <w:rPr/>
              <w:t xml:space="preserve">(a) </w:t>
            </w:r>
          </w:p>
        </w:tc>
        <w:tc>
          <w:tcPr>
            <w:tcW w:w="203" w:type="dxa"/>
            <w:tcBorders/>
            <w:shd w:fill="auto" w:val="clear"/>
            <w:vAlign w:val="bottom"/>
          </w:tcPr>
          <w:p>
            <w:pPr>
              <w:pStyle w:val="TableContents"/>
              <w:spacing w:before="0" w:after="283"/>
              <w:rPr/>
            </w:pPr>
            <w:r>
              <w:rPr/>
              <w:t> </w:t>
            </w:r>
          </w:p>
        </w:tc>
        <w:tc>
          <w:tcPr>
            <w:tcW w:w="9493" w:type="dxa"/>
            <w:tcBorders/>
            <w:shd w:fill="auto" w:val="clear"/>
          </w:tcPr>
          <w:p>
            <w:pPr>
              <w:pStyle w:val="TableContents"/>
              <w:spacing w:before="0" w:after="283"/>
              <w:jc w:val="left"/>
              <w:rPr/>
            </w:pPr>
            <w:r>
              <w:rPr/>
              <w:t>On March 6, 2007, we issued a press release containing our financial results for the quarter ended January 31, 2007. A copy of our press release is attached hereto as Exhibit 99.1 and is incorporated by reference.</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Item 9.01. Financial Statements and Exhibits.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509"/>
        <w:gridCol w:w="203"/>
        <w:gridCol w:w="9493"/>
      </w:tblGrid>
      <w:tr>
        <w:trPr/>
        <w:tc>
          <w:tcPr>
            <w:tcW w:w="50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9493" w:type="dxa"/>
            <w:tcBorders/>
            <w:shd w:fill="auto" w:val="clear"/>
            <w:vAlign w:val="bottom"/>
          </w:tcPr>
          <w:p>
            <w:pPr>
              <w:pStyle w:val="TableContents"/>
              <w:spacing w:before="0" w:after="283"/>
              <w:rPr/>
            </w:pPr>
            <w:r>
              <w:rPr/>
              <w:t> </w:t>
            </w:r>
          </w:p>
        </w:tc>
      </w:tr>
      <w:tr>
        <w:trPr/>
        <w:tc>
          <w:tcPr>
            <w:tcW w:w="509" w:type="dxa"/>
            <w:tcBorders/>
            <w:shd w:fill="auto" w:val="clear"/>
          </w:tcPr>
          <w:p>
            <w:pPr>
              <w:pStyle w:val="TableContents"/>
              <w:spacing w:before="0" w:after="0"/>
              <w:ind w:left="0" w:right="0" w:hanging="0"/>
              <w:rPr/>
            </w:pPr>
            <w:r>
              <w:rPr/>
              <w:t xml:space="preserve">(b) </w:t>
            </w:r>
          </w:p>
        </w:tc>
        <w:tc>
          <w:tcPr>
            <w:tcW w:w="203" w:type="dxa"/>
            <w:tcBorders/>
            <w:shd w:fill="auto" w:val="clear"/>
            <w:vAlign w:val="bottom"/>
          </w:tcPr>
          <w:p>
            <w:pPr>
              <w:pStyle w:val="TableContents"/>
              <w:spacing w:before="0" w:after="283"/>
              <w:rPr/>
            </w:pPr>
            <w:r>
              <w:rPr/>
              <w:t> </w:t>
            </w:r>
          </w:p>
        </w:tc>
        <w:tc>
          <w:tcPr>
            <w:tcW w:w="9493" w:type="dxa"/>
            <w:tcBorders/>
            <w:shd w:fill="auto" w:val="clear"/>
          </w:tcPr>
          <w:p>
            <w:pPr>
              <w:pStyle w:val="TableContents"/>
              <w:spacing w:before="0" w:after="283"/>
              <w:jc w:val="left"/>
              <w:rPr/>
            </w:pPr>
            <w:r>
              <w:rPr/>
              <w:t>Exhibits</w:t>
            </w:r>
          </w:p>
        </w:tc>
      </w:tr>
      <w:tr>
        <w:trPr/>
        <w:tc>
          <w:tcPr>
            <w:tcW w:w="509" w:type="dxa"/>
            <w:tcBorders/>
            <w:shd w:fill="auto" w:val="clear"/>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283"/>
              <w:rPr/>
            </w:pPr>
            <w:r>
              <w:rPr/>
              <w:t> </w:t>
            </w:r>
          </w:p>
        </w:tc>
        <w:tc>
          <w:tcPr>
            <w:tcW w:w="9493" w:type="dxa"/>
            <w:tcBorders/>
            <w:shd w:fill="auto" w:val="clear"/>
          </w:tcPr>
          <w:p>
            <w:pPr>
              <w:pStyle w:val="TableContents"/>
              <w:spacing w:before="0" w:after="283"/>
              <w:jc w:val="left"/>
              <w:rPr/>
            </w:pPr>
            <w:r>
              <w:rPr/>
              <w:t> </w:t>
            </w:r>
          </w:p>
        </w:tc>
      </w:tr>
      <w:tr>
        <w:trPr/>
        <w:tc>
          <w:tcPr>
            <w:tcW w:w="509" w:type="dxa"/>
            <w:tcBorders/>
            <w:shd w:fill="auto" w:val="clear"/>
          </w:tcPr>
          <w:p>
            <w:pPr>
              <w:pStyle w:val="TableContents"/>
              <w:spacing w:before="0" w:after="0"/>
              <w:ind w:left="0" w:right="0" w:hanging="0"/>
              <w:rPr/>
            </w:pPr>
            <w:r>
              <w:rPr/>
              <w:t xml:space="preserve">  </w:t>
            </w:r>
          </w:p>
        </w:tc>
        <w:tc>
          <w:tcPr>
            <w:tcW w:w="203" w:type="dxa"/>
            <w:tcBorders/>
            <w:shd w:fill="auto" w:val="clear"/>
            <w:vAlign w:val="bottom"/>
          </w:tcPr>
          <w:p>
            <w:pPr>
              <w:pStyle w:val="TableContents"/>
              <w:spacing w:before="0" w:after="283"/>
              <w:rPr/>
            </w:pPr>
            <w:r>
              <w:rPr/>
              <w:t> </w:t>
            </w:r>
          </w:p>
        </w:tc>
        <w:tc>
          <w:tcPr>
            <w:tcW w:w="9493" w:type="dxa"/>
            <w:tcBorders/>
            <w:shd w:fill="auto" w:val="clear"/>
          </w:tcPr>
          <w:p>
            <w:pPr>
              <w:pStyle w:val="TableContents"/>
              <w:spacing w:before="0" w:after="283"/>
              <w:jc w:val="left"/>
              <w:rPr/>
            </w:pPr>
            <w:r>
              <w:rPr/>
              <w:t>99.1 Press release dated March 6, 2007 of the Registrant.</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center"/>
        <w:tblInd w:w="0" w:type="dxa"/>
        <w:tblCellMar>
          <w:top w:w="0" w:type="dxa"/>
          <w:left w:w="0" w:type="dxa"/>
          <w:bottom w:w="0" w:type="dxa"/>
          <w:right w:w="0" w:type="dxa"/>
        </w:tblCellMar>
      </w:tblPr>
      <w:tblGrid>
        <w:gridCol w:w="4964"/>
        <w:gridCol w:w="578"/>
        <w:gridCol w:w="447"/>
        <w:gridCol w:w="127"/>
        <w:gridCol w:w="4089"/>
      </w:tblGrid>
      <w:tr>
        <w:trPr/>
        <w:tc>
          <w:tcPr>
            <w:tcW w:w="4964" w:type="dxa"/>
            <w:tcBorders/>
            <w:shd w:fill="auto" w:val="clear"/>
            <w:vAlign w:val="bottom"/>
          </w:tcPr>
          <w:p>
            <w:pPr>
              <w:pStyle w:val="TableContents"/>
              <w:spacing w:before="0" w:after="283"/>
              <w:rPr/>
            </w:pPr>
            <w:r>
              <w:rPr/>
              <w:t> </w:t>
            </w:r>
          </w:p>
        </w:tc>
        <w:tc>
          <w:tcPr>
            <w:tcW w:w="578"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089" w:type="dxa"/>
            <w:tcBorders/>
            <w:shd w:fill="auto" w:val="clear"/>
            <w:vAlign w:val="bottom"/>
          </w:tcPr>
          <w:p>
            <w:pPr>
              <w:pStyle w:val="TableContents"/>
              <w:spacing w:before="0" w:after="283"/>
              <w:rPr/>
            </w:pPr>
            <w:r>
              <w:rPr/>
              <w:t> </w:t>
            </w:r>
          </w:p>
        </w:tc>
      </w:tr>
      <w:tr>
        <w:trPr/>
        <w:tc>
          <w:tcPr>
            <w:tcW w:w="4964" w:type="dxa"/>
            <w:tcBorders/>
            <w:shd w:fill="auto" w:val="clear"/>
          </w:tcPr>
          <w:p>
            <w:pPr>
              <w:pStyle w:val="TableContents"/>
              <w:spacing w:before="0" w:after="283"/>
              <w:rPr/>
            </w:pPr>
            <w:r>
              <w:rPr/>
              <w:t> </w:t>
            </w:r>
          </w:p>
        </w:tc>
        <w:tc>
          <w:tcPr>
            <w:tcW w:w="578" w:type="dxa"/>
            <w:tcBorders/>
            <w:shd w:fill="auto" w:val="clear"/>
            <w:vAlign w:val="bottom"/>
          </w:tcPr>
          <w:p>
            <w:pPr>
              <w:pStyle w:val="TableContents"/>
              <w:spacing w:before="0" w:after="283"/>
              <w:rPr/>
            </w:pPr>
            <w:r>
              <w:rPr/>
              <w:t> </w:t>
            </w:r>
          </w:p>
        </w:tc>
        <w:tc>
          <w:tcPr>
            <w:tcW w:w="4663" w:type="dxa"/>
            <w:gridSpan w:val="3"/>
            <w:tcBorders/>
            <w:shd w:fill="auto" w:val="clear"/>
          </w:tcPr>
          <w:p>
            <w:pPr>
              <w:pStyle w:val="TableContents"/>
              <w:spacing w:before="0" w:after="283"/>
              <w:jc w:val="left"/>
              <w:rPr/>
            </w:pPr>
            <w:r>
              <w:rPr/>
              <w:t>Calavo Growers, Inc.</w:t>
            </w:r>
          </w:p>
        </w:tc>
      </w:tr>
      <w:tr>
        <w:trPr/>
        <w:tc>
          <w:tcPr>
            <w:tcW w:w="4964" w:type="dxa"/>
            <w:tcBorders/>
            <w:shd w:fill="auto" w:val="clear"/>
          </w:tcPr>
          <w:p>
            <w:pPr>
              <w:pStyle w:val="TableContents"/>
              <w:spacing w:before="0" w:after="0"/>
              <w:ind w:left="0" w:right="0" w:hanging="0"/>
              <w:rPr/>
            </w:pPr>
            <w:r>
              <w:rPr/>
              <w:t>March 6, 2007</w:t>
            </w:r>
          </w:p>
        </w:tc>
        <w:tc>
          <w:tcPr>
            <w:tcW w:w="578" w:type="dxa"/>
            <w:tcBorders/>
            <w:shd w:fill="auto" w:val="clear"/>
            <w:vAlign w:val="bottom"/>
          </w:tcPr>
          <w:p>
            <w:pPr>
              <w:pStyle w:val="TableContents"/>
              <w:spacing w:before="0" w:after="283"/>
              <w:rPr/>
            </w:pPr>
            <w:r>
              <w:rPr/>
              <w:t> </w:t>
            </w:r>
          </w:p>
        </w:tc>
        <w:tc>
          <w:tcPr>
            <w:tcW w:w="447"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089" w:type="dxa"/>
            <w:tcBorders/>
            <w:shd w:fill="auto" w:val="clear"/>
          </w:tcPr>
          <w:p>
            <w:pPr>
              <w:pStyle w:val="TableContents"/>
              <w:spacing w:before="0" w:after="283"/>
              <w:jc w:val="left"/>
              <w:rPr/>
            </w:pPr>
            <w:r>
              <w:rPr/>
              <w:t> </w:t>
            </w:r>
          </w:p>
        </w:tc>
      </w:tr>
      <w:tr>
        <w:trPr/>
        <w:tc>
          <w:tcPr>
            <w:tcW w:w="4964" w:type="dxa"/>
            <w:tcBorders/>
            <w:shd w:fill="auto" w:val="clear"/>
          </w:tcPr>
          <w:p>
            <w:pPr>
              <w:pStyle w:val="TableContents"/>
              <w:spacing w:before="0" w:after="0"/>
              <w:ind w:left="0" w:right="0" w:hanging="0"/>
              <w:rPr/>
            </w:pPr>
            <w:r>
              <w:rPr/>
              <w:t xml:space="preserve">  </w:t>
            </w:r>
          </w:p>
        </w:tc>
        <w:tc>
          <w:tcPr>
            <w:tcW w:w="578" w:type="dxa"/>
            <w:tcBorders/>
            <w:shd w:fill="auto" w:val="clear"/>
            <w:vAlign w:val="bottom"/>
          </w:tcPr>
          <w:p>
            <w:pPr>
              <w:pStyle w:val="TableContents"/>
              <w:spacing w:before="0" w:after="283"/>
              <w:rPr/>
            </w:pPr>
            <w:r>
              <w:rPr/>
              <w:t> </w:t>
            </w:r>
          </w:p>
        </w:tc>
        <w:tc>
          <w:tcPr>
            <w:tcW w:w="447" w:type="dxa"/>
            <w:tcBorders/>
            <w:shd w:fill="auto" w:val="clear"/>
          </w:tcPr>
          <w:p>
            <w:pPr>
              <w:pStyle w:val="TableContents"/>
              <w:spacing w:before="0" w:after="283"/>
              <w:jc w:val="left"/>
              <w:rPr/>
            </w:pPr>
            <w:r>
              <w:rPr/>
              <w:t xml:space="preserve">By: </w:t>
            </w:r>
          </w:p>
        </w:tc>
        <w:tc>
          <w:tcPr>
            <w:tcW w:w="127" w:type="dxa"/>
            <w:tcBorders/>
            <w:shd w:fill="auto" w:val="clear"/>
            <w:vAlign w:val="bottom"/>
          </w:tcPr>
          <w:p>
            <w:pPr>
              <w:pStyle w:val="TableContents"/>
              <w:spacing w:before="0" w:after="283"/>
              <w:rPr/>
            </w:pPr>
            <w:r>
              <w:rPr/>
              <w:t> </w:t>
            </w:r>
          </w:p>
        </w:tc>
        <w:tc>
          <w:tcPr>
            <w:tcW w:w="4089" w:type="dxa"/>
            <w:tcBorders/>
            <w:shd w:fill="auto" w:val="clear"/>
          </w:tcPr>
          <w:p>
            <w:pPr>
              <w:pStyle w:val="TableContents"/>
              <w:spacing w:before="0" w:after="283"/>
              <w:jc w:val="left"/>
              <w:rPr/>
            </w:pPr>
            <w:r>
              <w:rPr/>
              <w:t>/s/ Lecil E. Cole</w:t>
            </w:r>
          </w:p>
        </w:tc>
      </w:tr>
      <w:tr>
        <w:trPr/>
        <w:tc>
          <w:tcPr>
            <w:tcW w:w="4964" w:type="dxa"/>
            <w:tcBorders/>
            <w:shd w:fill="auto" w:val="clear"/>
          </w:tcPr>
          <w:p>
            <w:pPr>
              <w:pStyle w:val="TableContents"/>
              <w:spacing w:before="0" w:after="0"/>
              <w:ind w:left="0" w:right="0" w:hanging="0"/>
              <w:rPr/>
            </w:pPr>
            <w:r>
              <w:rPr/>
              <w:t xml:space="preserve">  </w:t>
            </w:r>
          </w:p>
        </w:tc>
        <w:tc>
          <w:tcPr>
            <w:tcW w:w="578" w:type="dxa"/>
            <w:tcBorders/>
            <w:shd w:fill="auto" w:val="clear"/>
            <w:vAlign w:val="center"/>
          </w:tcPr>
          <w:p>
            <w:pPr>
              <w:pStyle w:val="TableContents"/>
              <w:spacing w:before="0" w:after="283"/>
              <w:rPr/>
            </w:pPr>
            <w:r>
              <w:rPr/>
              <w:t> </w:t>
            </w:r>
          </w:p>
        </w:tc>
        <w:tc>
          <w:tcPr>
            <w:tcW w:w="447" w:type="dxa"/>
            <w:tcBorders/>
            <w:shd w:fill="auto" w:val="clear"/>
          </w:tcPr>
          <w:p>
            <w:pPr>
              <w:pStyle w:val="TableContents"/>
              <w:spacing w:before="0" w:after="283"/>
              <w:jc w:val="left"/>
              <w:rPr/>
            </w:pPr>
            <w:r>
              <w:rPr/>
              <w:t> </w:t>
            </w:r>
          </w:p>
        </w:tc>
        <w:tc>
          <w:tcPr>
            <w:tcW w:w="127" w:type="dxa"/>
            <w:tcBorders/>
            <w:shd w:fill="auto" w:val="clear"/>
            <w:vAlign w:val="center"/>
          </w:tcPr>
          <w:p>
            <w:pPr>
              <w:pStyle w:val="TableContents"/>
              <w:spacing w:before="0" w:after="283"/>
              <w:rPr/>
            </w:pPr>
            <w:r>
              <w:rPr/>
              <w:t> </w:t>
            </w:r>
          </w:p>
        </w:tc>
        <w:tc>
          <w:tcPr>
            <w:tcW w:w="4089" w:type="dxa"/>
            <w:tcBorders>
              <w:top w:val="single" w:sz="2" w:space="0" w:color="000000"/>
            </w:tcBorders>
            <w:shd w:fill="auto" w:val="clear"/>
            <w:tcMar>
              <w:top w:w="28" w:type="dxa"/>
            </w:tcMar>
          </w:tcPr>
          <w:p>
            <w:pPr>
              <w:pStyle w:val="TableContents"/>
              <w:spacing w:before="0" w:after="283"/>
              <w:jc w:val="left"/>
              <w:rPr/>
            </w:pPr>
            <w:r>
              <w:rPr/>
              <w:t> </w:t>
            </w:r>
          </w:p>
        </w:tc>
      </w:tr>
      <w:tr>
        <w:trPr/>
        <w:tc>
          <w:tcPr>
            <w:tcW w:w="4964" w:type="dxa"/>
            <w:tcBorders/>
            <w:shd w:fill="auto" w:val="clear"/>
          </w:tcPr>
          <w:p>
            <w:pPr>
              <w:pStyle w:val="TableContents"/>
              <w:spacing w:before="0" w:after="283"/>
              <w:rPr/>
            </w:pPr>
            <w:r>
              <w:rPr/>
              <w:t> </w:t>
            </w:r>
          </w:p>
        </w:tc>
        <w:tc>
          <w:tcPr>
            <w:tcW w:w="578" w:type="dxa"/>
            <w:tcBorders/>
            <w:shd w:fill="auto" w:val="clear"/>
            <w:vAlign w:val="bottom"/>
          </w:tcPr>
          <w:p>
            <w:pPr>
              <w:pStyle w:val="TableContents"/>
              <w:spacing w:before="0" w:after="283"/>
              <w:rPr/>
            </w:pPr>
            <w:r>
              <w:rPr/>
              <w:t> </w:t>
            </w:r>
          </w:p>
        </w:tc>
        <w:tc>
          <w:tcPr>
            <w:tcW w:w="4663" w:type="dxa"/>
            <w:gridSpan w:val="3"/>
            <w:tcBorders/>
            <w:shd w:fill="auto" w:val="clear"/>
          </w:tcPr>
          <w:p>
            <w:pPr>
              <w:pStyle w:val="TableContents"/>
              <w:spacing w:before="0" w:after="283"/>
              <w:jc w:val="left"/>
              <w:rPr/>
            </w:pPr>
            <w:r>
              <w:rPr/>
              <w:t>Lecil E. Cole</w:t>
            </w:r>
          </w:p>
        </w:tc>
      </w:tr>
      <w:tr>
        <w:trPr/>
        <w:tc>
          <w:tcPr>
            <w:tcW w:w="4964" w:type="dxa"/>
            <w:tcBorders/>
            <w:shd w:fill="auto" w:val="clear"/>
          </w:tcPr>
          <w:p>
            <w:pPr>
              <w:pStyle w:val="TableContents"/>
              <w:spacing w:before="0" w:after="283"/>
              <w:rPr/>
            </w:pPr>
            <w:r>
              <w:rPr/>
              <w:t> </w:t>
            </w:r>
          </w:p>
        </w:tc>
        <w:tc>
          <w:tcPr>
            <w:tcW w:w="578" w:type="dxa"/>
            <w:tcBorders/>
            <w:shd w:fill="auto" w:val="clear"/>
            <w:vAlign w:val="bottom"/>
          </w:tcPr>
          <w:p>
            <w:pPr>
              <w:pStyle w:val="TableContents"/>
              <w:spacing w:before="0" w:after="283"/>
              <w:rPr/>
            </w:pPr>
            <w:r>
              <w:rPr/>
              <w:t> </w:t>
            </w:r>
          </w:p>
        </w:tc>
        <w:tc>
          <w:tcPr>
            <w:tcW w:w="4663" w:type="dxa"/>
            <w:gridSpan w:val="3"/>
            <w:tcBorders/>
            <w:shd w:fill="auto" w:val="clear"/>
          </w:tcPr>
          <w:p>
            <w:pPr>
              <w:pStyle w:val="TableContents"/>
              <w:spacing w:before="0" w:after="283"/>
              <w:jc w:val="left"/>
              <w:rPr/>
            </w:pPr>
            <w:r>
              <w:rPr/>
              <w:t>Chairman of the Board of Directors, Chief Executive Officer and President</w:t>
            </w:r>
          </w:p>
        </w:tc>
      </w:tr>
      <w:tr>
        <w:trPr/>
        <w:tc>
          <w:tcPr>
            <w:tcW w:w="4964" w:type="dxa"/>
            <w:tcBorders/>
            <w:shd w:fill="auto" w:val="clear"/>
          </w:tcPr>
          <w:p>
            <w:pPr>
              <w:pStyle w:val="TableContents"/>
              <w:spacing w:before="0" w:after="283"/>
              <w:rPr/>
            </w:pPr>
            <w:r>
              <w:rPr/>
              <w:t> </w:t>
            </w:r>
          </w:p>
        </w:tc>
        <w:tc>
          <w:tcPr>
            <w:tcW w:w="578" w:type="dxa"/>
            <w:tcBorders/>
            <w:shd w:fill="auto" w:val="clear"/>
            <w:vAlign w:val="bottom"/>
          </w:tcPr>
          <w:p>
            <w:pPr>
              <w:pStyle w:val="TableContents"/>
              <w:spacing w:before="0" w:after="283"/>
              <w:rPr/>
            </w:pPr>
            <w:r>
              <w:rPr/>
              <w:t> </w:t>
            </w:r>
          </w:p>
        </w:tc>
        <w:tc>
          <w:tcPr>
            <w:tcW w:w="4663" w:type="dxa"/>
            <w:gridSpan w:val="3"/>
            <w:tcBorders/>
            <w:shd w:fill="auto" w:val="clear"/>
          </w:tcPr>
          <w:p>
            <w:pPr>
              <w:pStyle w:val="TableContents"/>
              <w:spacing w:before="0" w:after="283"/>
              <w:jc w:val="left"/>
              <w:rPr/>
            </w:pPr>
            <w:r>
              <w:rPr/>
              <w:t>(Principal Executive Officer)</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r>
        <w:br w:type="page"/>
      </w:r>
    </w:p>
    <w:p>
      <w:pPr>
        <w:pStyle w:val="Heading5"/>
        <w:jc w:val="left"/>
        <w:rPr/>
      </w:pPr>
      <w:bookmarkStart w:id="2" w:name="v28161exv99w1.htm"/>
      <w:bookmarkStart w:id="3" w:name="ksv28161exv99w1"/>
      <w:bookmarkEnd w:id="2"/>
      <w:bookmarkEnd w:id="3"/>
      <w:r>
        <w:rPr/>
        <w:t> </w:t>
      </w:r>
    </w:p>
    <w:tbl>
      <w:tblPr>
        <w:tblW w:w="5000" w:type="pct"/>
        <w:jc w:val="center"/>
        <w:tblInd w:w="0" w:type="dxa"/>
        <w:tblCellMar>
          <w:top w:w="0" w:type="dxa"/>
          <w:left w:w="0" w:type="dxa"/>
          <w:bottom w:w="0" w:type="dxa"/>
          <w:right w:w="0" w:type="dxa"/>
        </w:tblCellMar>
      </w:tblPr>
      <w:tblGrid>
        <w:gridCol w:w="1019"/>
        <w:gridCol w:w="204"/>
        <w:gridCol w:w="8982"/>
      </w:tblGrid>
      <w:tr>
        <w:trPr/>
        <w:tc>
          <w:tcPr>
            <w:tcW w:w="101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982"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0"/>
              <w:ind w:left="0" w:right="0" w:hanging="0"/>
              <w:rPr/>
            </w:pPr>
            <w:r>
              <w:rPr>
                <w:b/>
              </w:rPr>
              <w:t>For:</w:t>
            </w:r>
            <w:r>
              <w:rPr/>
              <w:t xml:space="preserve"> </w:t>
            </w:r>
          </w:p>
        </w:tc>
        <w:tc>
          <w:tcPr>
            <w:tcW w:w="204" w:type="dxa"/>
            <w:tcBorders/>
            <w:shd w:fill="auto" w:val="clear"/>
            <w:vAlign w:val="bottom"/>
          </w:tcPr>
          <w:p>
            <w:pPr>
              <w:pStyle w:val="TableContents"/>
              <w:spacing w:before="0" w:after="283"/>
              <w:rPr/>
            </w:pPr>
            <w:r>
              <w:rPr/>
              <w:t> </w:t>
            </w:r>
          </w:p>
        </w:tc>
        <w:tc>
          <w:tcPr>
            <w:tcW w:w="8982" w:type="dxa"/>
            <w:tcBorders/>
            <w:shd w:fill="auto" w:val="clear"/>
          </w:tcPr>
          <w:p>
            <w:pPr>
              <w:pStyle w:val="TableContents"/>
              <w:spacing w:before="0" w:after="283"/>
              <w:jc w:val="left"/>
              <w:rPr/>
            </w:pPr>
            <w:r>
              <w:rPr/>
              <w:t>Calavo Growers, Inc. (Nasdaq-GM: CVGW)</w:t>
            </w:r>
          </w:p>
        </w:tc>
      </w:tr>
      <w:tr>
        <w:trPr/>
        <w:tc>
          <w:tcPr>
            <w:tcW w:w="1019"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8982" w:type="dxa"/>
            <w:tcBorders/>
            <w:shd w:fill="auto" w:val="clear"/>
          </w:tcPr>
          <w:p>
            <w:pPr>
              <w:pStyle w:val="TableContents"/>
              <w:spacing w:before="0" w:after="283"/>
              <w:jc w:val="left"/>
              <w:rPr/>
            </w:pPr>
            <w:r>
              <w:rPr/>
              <w:t> </w:t>
            </w:r>
          </w:p>
        </w:tc>
      </w:tr>
      <w:tr>
        <w:trPr/>
        <w:tc>
          <w:tcPr>
            <w:tcW w:w="1019" w:type="dxa"/>
            <w:tcBorders/>
            <w:shd w:fill="auto" w:val="clear"/>
          </w:tcPr>
          <w:p>
            <w:pPr>
              <w:pStyle w:val="TableContents"/>
              <w:spacing w:before="0" w:after="0"/>
              <w:ind w:left="0" w:right="0" w:hanging="0"/>
              <w:rPr/>
            </w:pPr>
            <w:r>
              <w:rPr>
                <w:b/>
              </w:rPr>
              <w:t>Contact:</w:t>
            </w:r>
            <w:r>
              <w:rPr/>
              <w:t xml:space="preserve"> </w:t>
            </w:r>
          </w:p>
        </w:tc>
        <w:tc>
          <w:tcPr>
            <w:tcW w:w="204" w:type="dxa"/>
            <w:tcBorders/>
            <w:shd w:fill="auto" w:val="clear"/>
            <w:vAlign w:val="bottom"/>
          </w:tcPr>
          <w:p>
            <w:pPr>
              <w:pStyle w:val="TableContents"/>
              <w:spacing w:before="0" w:after="283"/>
              <w:rPr/>
            </w:pPr>
            <w:r>
              <w:rPr/>
              <w:t> </w:t>
            </w:r>
          </w:p>
        </w:tc>
        <w:tc>
          <w:tcPr>
            <w:tcW w:w="8982" w:type="dxa"/>
            <w:tcBorders/>
            <w:shd w:fill="auto" w:val="clear"/>
          </w:tcPr>
          <w:p>
            <w:pPr>
              <w:pStyle w:val="TableContents"/>
              <w:spacing w:before="0" w:after="283"/>
              <w:jc w:val="left"/>
              <w:rPr/>
            </w:pPr>
            <w:r>
              <w:rPr/>
              <w:t>Calavo Growers, Inc.</w:t>
            </w:r>
          </w:p>
        </w:tc>
      </w:tr>
      <w:tr>
        <w:trPr/>
        <w:tc>
          <w:tcPr>
            <w:tcW w:w="1019" w:type="dxa"/>
            <w:tcBorders/>
            <w:shd w:fill="auto" w:val="clear"/>
          </w:tcPr>
          <w:p>
            <w:pPr>
              <w:pStyle w:val="TableContents"/>
              <w:spacing w:before="0" w:after="0"/>
              <w:ind w:left="0" w:right="0" w:hanging="0"/>
              <w:rPr/>
            </w:pPr>
            <w:r>
              <w:rPr/>
              <w:t xml:space="preserve">  </w:t>
            </w:r>
          </w:p>
        </w:tc>
        <w:tc>
          <w:tcPr>
            <w:tcW w:w="204" w:type="dxa"/>
            <w:tcBorders/>
            <w:shd w:fill="auto" w:val="clear"/>
            <w:vAlign w:val="bottom"/>
          </w:tcPr>
          <w:p>
            <w:pPr>
              <w:pStyle w:val="TableContents"/>
              <w:spacing w:before="0" w:after="283"/>
              <w:rPr/>
            </w:pPr>
            <w:r>
              <w:rPr/>
              <w:t> </w:t>
            </w:r>
          </w:p>
        </w:tc>
        <w:tc>
          <w:tcPr>
            <w:tcW w:w="8982" w:type="dxa"/>
            <w:tcBorders/>
            <w:shd w:fill="auto" w:val="clear"/>
          </w:tcPr>
          <w:p>
            <w:pPr>
              <w:pStyle w:val="TableContents"/>
              <w:spacing w:before="0" w:after="283"/>
              <w:jc w:val="left"/>
              <w:rPr/>
            </w:pPr>
            <w:r>
              <w:rPr/>
              <w:t>Lee Cole (investors)</w:t>
            </w:r>
          </w:p>
        </w:tc>
      </w:tr>
      <w:tr>
        <w:trPr/>
        <w:tc>
          <w:tcPr>
            <w:tcW w:w="1019" w:type="dxa"/>
            <w:tcBorders/>
            <w:shd w:fill="auto" w:val="clear"/>
          </w:tcPr>
          <w:p>
            <w:pPr>
              <w:pStyle w:val="TableContents"/>
              <w:spacing w:before="0" w:after="0"/>
              <w:ind w:left="0" w:right="0" w:hanging="0"/>
              <w:rPr/>
            </w:pPr>
            <w:r>
              <w:rPr/>
              <w:t xml:space="preserve">  </w:t>
            </w:r>
          </w:p>
        </w:tc>
        <w:tc>
          <w:tcPr>
            <w:tcW w:w="204" w:type="dxa"/>
            <w:tcBorders/>
            <w:shd w:fill="auto" w:val="clear"/>
            <w:vAlign w:val="bottom"/>
          </w:tcPr>
          <w:p>
            <w:pPr>
              <w:pStyle w:val="TableContents"/>
              <w:spacing w:before="0" w:after="283"/>
              <w:rPr/>
            </w:pPr>
            <w:r>
              <w:rPr/>
              <w:t> </w:t>
            </w:r>
          </w:p>
        </w:tc>
        <w:tc>
          <w:tcPr>
            <w:tcW w:w="8982" w:type="dxa"/>
            <w:tcBorders/>
            <w:shd w:fill="auto" w:val="clear"/>
          </w:tcPr>
          <w:p>
            <w:pPr>
              <w:pStyle w:val="TableContents"/>
              <w:spacing w:before="0" w:after="283"/>
              <w:jc w:val="left"/>
              <w:rPr/>
            </w:pPr>
            <w:r>
              <w:rPr/>
              <w:t>805-525-1245</w:t>
            </w:r>
          </w:p>
        </w:tc>
      </w:tr>
      <w:tr>
        <w:trPr/>
        <w:tc>
          <w:tcPr>
            <w:tcW w:w="1019" w:type="dxa"/>
            <w:tcBorders/>
            <w:shd w:fill="auto" w:val="clear"/>
          </w:tcPr>
          <w:p>
            <w:pPr>
              <w:pStyle w:val="TableContents"/>
              <w:spacing w:before="0" w:after="0"/>
              <w:ind w:left="0" w:right="0" w:hanging="0"/>
              <w:rPr/>
            </w:pPr>
            <w:r>
              <w:rPr/>
              <w:t xml:space="preserve">  </w:t>
            </w:r>
          </w:p>
        </w:tc>
        <w:tc>
          <w:tcPr>
            <w:tcW w:w="204" w:type="dxa"/>
            <w:tcBorders/>
            <w:shd w:fill="auto" w:val="clear"/>
            <w:vAlign w:val="bottom"/>
          </w:tcPr>
          <w:p>
            <w:pPr>
              <w:pStyle w:val="TableContents"/>
              <w:spacing w:before="0" w:after="283"/>
              <w:rPr/>
            </w:pPr>
            <w:r>
              <w:rPr/>
              <w:t> </w:t>
            </w:r>
          </w:p>
        </w:tc>
        <w:tc>
          <w:tcPr>
            <w:tcW w:w="8982" w:type="dxa"/>
            <w:tcBorders/>
            <w:shd w:fill="auto" w:val="clear"/>
          </w:tcPr>
          <w:p>
            <w:pPr>
              <w:pStyle w:val="TableContents"/>
              <w:spacing w:before="0" w:after="283"/>
              <w:jc w:val="left"/>
              <w:rPr/>
            </w:pPr>
            <w:r>
              <w:rPr/>
              <w:t>or</w:t>
            </w:r>
          </w:p>
        </w:tc>
      </w:tr>
      <w:tr>
        <w:trPr/>
        <w:tc>
          <w:tcPr>
            <w:tcW w:w="1019" w:type="dxa"/>
            <w:tcBorders/>
            <w:shd w:fill="auto" w:val="clear"/>
          </w:tcPr>
          <w:p>
            <w:pPr>
              <w:pStyle w:val="TableContents"/>
              <w:spacing w:before="0" w:after="0"/>
              <w:ind w:left="0" w:right="0" w:hanging="0"/>
              <w:rPr/>
            </w:pPr>
            <w:r>
              <w:rPr/>
              <w:t xml:space="preserve">  </w:t>
            </w:r>
          </w:p>
        </w:tc>
        <w:tc>
          <w:tcPr>
            <w:tcW w:w="204" w:type="dxa"/>
            <w:tcBorders/>
            <w:shd w:fill="auto" w:val="clear"/>
            <w:vAlign w:val="bottom"/>
          </w:tcPr>
          <w:p>
            <w:pPr>
              <w:pStyle w:val="TableContents"/>
              <w:spacing w:before="0" w:after="283"/>
              <w:rPr/>
            </w:pPr>
            <w:r>
              <w:rPr/>
              <w:t> </w:t>
            </w:r>
          </w:p>
        </w:tc>
        <w:tc>
          <w:tcPr>
            <w:tcW w:w="8982" w:type="dxa"/>
            <w:tcBorders/>
            <w:shd w:fill="auto" w:val="clear"/>
          </w:tcPr>
          <w:p>
            <w:pPr>
              <w:pStyle w:val="TableContents"/>
              <w:spacing w:before="0" w:after="283"/>
              <w:jc w:val="left"/>
              <w:rPr/>
            </w:pPr>
            <w:r>
              <w:rPr/>
              <w:t>Foley/Freisleben LLC</w:t>
            </w:r>
          </w:p>
        </w:tc>
      </w:tr>
      <w:tr>
        <w:trPr/>
        <w:tc>
          <w:tcPr>
            <w:tcW w:w="1019" w:type="dxa"/>
            <w:tcBorders/>
            <w:shd w:fill="auto" w:val="clear"/>
          </w:tcPr>
          <w:p>
            <w:pPr>
              <w:pStyle w:val="TableContents"/>
              <w:spacing w:before="0" w:after="0"/>
              <w:ind w:left="0" w:right="0" w:hanging="0"/>
              <w:rPr/>
            </w:pPr>
            <w:r>
              <w:rPr/>
              <w:t xml:space="preserve">  </w:t>
            </w:r>
          </w:p>
        </w:tc>
        <w:tc>
          <w:tcPr>
            <w:tcW w:w="204" w:type="dxa"/>
            <w:tcBorders/>
            <w:shd w:fill="auto" w:val="clear"/>
            <w:vAlign w:val="bottom"/>
          </w:tcPr>
          <w:p>
            <w:pPr>
              <w:pStyle w:val="TableContents"/>
              <w:spacing w:before="0" w:after="283"/>
              <w:rPr/>
            </w:pPr>
            <w:r>
              <w:rPr/>
              <w:t> </w:t>
            </w:r>
          </w:p>
        </w:tc>
        <w:tc>
          <w:tcPr>
            <w:tcW w:w="8982" w:type="dxa"/>
            <w:tcBorders/>
            <w:shd w:fill="auto" w:val="clear"/>
          </w:tcPr>
          <w:p>
            <w:pPr>
              <w:pStyle w:val="TableContents"/>
              <w:spacing w:before="0" w:after="283"/>
              <w:jc w:val="left"/>
              <w:rPr/>
            </w:pPr>
            <w:r>
              <w:rPr/>
              <w:t>Jerry Freisleben (media, general information)</w:t>
            </w:r>
          </w:p>
        </w:tc>
      </w:tr>
      <w:tr>
        <w:trPr/>
        <w:tc>
          <w:tcPr>
            <w:tcW w:w="1019" w:type="dxa"/>
            <w:tcBorders/>
            <w:shd w:fill="auto" w:val="clear"/>
          </w:tcPr>
          <w:p>
            <w:pPr>
              <w:pStyle w:val="TableContents"/>
              <w:spacing w:before="0" w:after="0"/>
              <w:ind w:left="0" w:right="0" w:hanging="0"/>
              <w:rPr/>
            </w:pPr>
            <w:r>
              <w:rPr/>
              <w:t xml:space="preserve">  </w:t>
            </w:r>
          </w:p>
        </w:tc>
        <w:tc>
          <w:tcPr>
            <w:tcW w:w="204" w:type="dxa"/>
            <w:tcBorders/>
            <w:shd w:fill="auto" w:val="clear"/>
            <w:vAlign w:val="bottom"/>
          </w:tcPr>
          <w:p>
            <w:pPr>
              <w:pStyle w:val="TableContents"/>
              <w:spacing w:before="0" w:after="283"/>
              <w:rPr/>
            </w:pPr>
            <w:r>
              <w:rPr/>
              <w:t> </w:t>
            </w:r>
          </w:p>
        </w:tc>
        <w:tc>
          <w:tcPr>
            <w:tcW w:w="8982" w:type="dxa"/>
            <w:tcBorders/>
            <w:shd w:fill="auto" w:val="clear"/>
          </w:tcPr>
          <w:p>
            <w:pPr>
              <w:pStyle w:val="TableContents"/>
              <w:spacing w:before="0" w:after="283"/>
              <w:jc w:val="left"/>
              <w:rPr/>
            </w:pPr>
            <w:r>
              <w:rPr/>
              <w:t>213-955-0020</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 ANNOUNCES</w:t>
        <w:br/>
        <w:t>RECORD FISCAL 2007 FIRST QUARTER RESULTS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First Quarter Financial and Operating Highlights: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23"/>
        <w:gridCol w:w="128"/>
        <w:gridCol w:w="9854"/>
      </w:tblGrid>
      <w:tr>
        <w:trPr/>
        <w:tc>
          <w:tcPr>
            <w:tcW w:w="223" w:type="dxa"/>
            <w:tcBorders/>
            <w:shd w:fill="auto" w:val="clear"/>
          </w:tcPr>
          <w:p>
            <w:pPr>
              <w:pStyle w:val="TableContents"/>
              <w:spacing w:before="0" w:after="283"/>
              <w:jc w:val="left"/>
              <w:rPr>
                <w:rFonts w:ascii="Wingdings" w:hAnsi="Wingdings"/>
              </w:rPr>
            </w:pPr>
            <w:r>
              <w:rPr>
                <w:rFonts w:ascii="Wingdings" w:hAnsi="Wingdings"/>
              </w:rPr>
              <w:t>Ø</w:t>
            </w:r>
          </w:p>
        </w:tc>
        <w:tc>
          <w:tcPr>
            <w:tcW w:w="128" w:type="dxa"/>
            <w:tcBorders/>
            <w:shd w:fill="auto" w:val="clear"/>
          </w:tcPr>
          <w:p>
            <w:pPr>
              <w:pStyle w:val="TableContents"/>
              <w:spacing w:before="0" w:after="283"/>
              <w:rPr/>
            </w:pPr>
            <w:r>
              <w:rPr/>
              <w:t> </w:t>
            </w:r>
          </w:p>
        </w:tc>
        <w:tc>
          <w:tcPr>
            <w:tcW w:w="9854" w:type="dxa"/>
            <w:tcBorders/>
            <w:shd w:fill="auto" w:val="clear"/>
          </w:tcPr>
          <w:p>
            <w:pPr>
              <w:pStyle w:val="TableContents"/>
              <w:spacing w:before="0" w:after="283"/>
              <w:rPr>
                <w:b/>
              </w:rPr>
            </w:pPr>
            <w:r>
              <w:rPr>
                <w:b/>
              </w:rPr>
              <w:t>Net Income Vaults 300 Percent to $1.3 Million from Loss of $(665,000)</w:t>
            </w:r>
          </w:p>
        </w:tc>
      </w:tr>
      <w:tr>
        <w:trPr/>
        <w:tc>
          <w:tcPr>
            <w:tcW w:w="223" w:type="dxa"/>
            <w:tcBorders/>
            <w:shd w:fill="auto" w:val="clear"/>
            <w:vAlign w:val="center"/>
          </w:tcPr>
          <w:p>
            <w:pPr>
              <w:pStyle w:val="TableContents"/>
              <w:spacing w:before="0" w:after="283"/>
              <w:rPr/>
            </w:pPr>
            <w:r>
              <w:rPr/>
              <w:t> </w:t>
            </w:r>
          </w:p>
        </w:tc>
        <w:tc>
          <w:tcPr>
            <w:tcW w:w="9982" w:type="dxa"/>
            <w:gridSpan w:val="2"/>
            <w:tcBorders/>
            <w:shd w:fill="auto" w:val="clear"/>
          </w:tcPr>
          <w:p>
            <w:pPr>
              <w:pStyle w:val="TableContents"/>
              <w:spacing w:before="0" w:after="283"/>
              <w:rPr>
                <w:sz w:val="4"/>
                <w:szCs w:val="4"/>
              </w:rPr>
            </w:pPr>
            <w:r>
              <w:rPr>
                <w:sz w:val="4"/>
                <w:szCs w:val="4"/>
              </w:rPr>
            </w:r>
          </w:p>
        </w:tc>
      </w:tr>
      <w:tr>
        <w:trPr/>
        <w:tc>
          <w:tcPr>
            <w:tcW w:w="223" w:type="dxa"/>
            <w:tcBorders/>
            <w:shd w:fill="auto" w:val="clear"/>
          </w:tcPr>
          <w:p>
            <w:pPr>
              <w:pStyle w:val="TableContents"/>
              <w:spacing w:before="0" w:after="283"/>
              <w:jc w:val="left"/>
              <w:rPr>
                <w:rFonts w:ascii="Wingdings" w:hAnsi="Wingdings"/>
              </w:rPr>
            </w:pPr>
            <w:r>
              <w:rPr>
                <w:rFonts w:ascii="Wingdings" w:hAnsi="Wingdings"/>
              </w:rPr>
              <w:t>Ø</w:t>
            </w:r>
          </w:p>
        </w:tc>
        <w:tc>
          <w:tcPr>
            <w:tcW w:w="128" w:type="dxa"/>
            <w:tcBorders/>
            <w:shd w:fill="auto" w:val="clear"/>
          </w:tcPr>
          <w:p>
            <w:pPr>
              <w:pStyle w:val="TableContents"/>
              <w:spacing w:before="0" w:after="283"/>
              <w:rPr/>
            </w:pPr>
            <w:r>
              <w:rPr/>
              <w:t> </w:t>
            </w:r>
          </w:p>
        </w:tc>
        <w:tc>
          <w:tcPr>
            <w:tcW w:w="9854" w:type="dxa"/>
            <w:tcBorders/>
            <w:shd w:fill="auto" w:val="clear"/>
          </w:tcPr>
          <w:p>
            <w:pPr>
              <w:pStyle w:val="TableContents"/>
              <w:spacing w:before="0" w:after="283"/>
              <w:rPr>
                <w:b/>
              </w:rPr>
            </w:pPr>
            <w:r>
              <w:rPr>
                <w:b/>
              </w:rPr>
              <w:t>Diluted EPS Total Nine Cents Versus Loss of Five Cents, an Overall Improvement of 14 Cents</w:t>
            </w:r>
          </w:p>
        </w:tc>
      </w:tr>
      <w:tr>
        <w:trPr/>
        <w:tc>
          <w:tcPr>
            <w:tcW w:w="223" w:type="dxa"/>
            <w:tcBorders/>
            <w:shd w:fill="auto" w:val="clear"/>
            <w:vAlign w:val="center"/>
          </w:tcPr>
          <w:p>
            <w:pPr>
              <w:pStyle w:val="TableContents"/>
              <w:spacing w:before="0" w:after="283"/>
              <w:rPr/>
            </w:pPr>
            <w:r>
              <w:rPr/>
              <w:t> </w:t>
            </w:r>
          </w:p>
        </w:tc>
        <w:tc>
          <w:tcPr>
            <w:tcW w:w="9982" w:type="dxa"/>
            <w:gridSpan w:val="2"/>
            <w:tcBorders/>
            <w:shd w:fill="auto" w:val="clear"/>
          </w:tcPr>
          <w:p>
            <w:pPr>
              <w:pStyle w:val="TableContents"/>
              <w:spacing w:before="0" w:after="283"/>
              <w:rPr>
                <w:sz w:val="4"/>
                <w:szCs w:val="4"/>
              </w:rPr>
            </w:pPr>
            <w:r>
              <w:rPr>
                <w:sz w:val="4"/>
                <w:szCs w:val="4"/>
              </w:rPr>
            </w:r>
          </w:p>
        </w:tc>
      </w:tr>
      <w:tr>
        <w:trPr/>
        <w:tc>
          <w:tcPr>
            <w:tcW w:w="223" w:type="dxa"/>
            <w:tcBorders/>
            <w:shd w:fill="auto" w:val="clear"/>
          </w:tcPr>
          <w:p>
            <w:pPr>
              <w:pStyle w:val="TableContents"/>
              <w:spacing w:before="0" w:after="283"/>
              <w:jc w:val="left"/>
              <w:rPr>
                <w:rFonts w:ascii="Wingdings" w:hAnsi="Wingdings"/>
              </w:rPr>
            </w:pPr>
            <w:r>
              <w:rPr>
                <w:rFonts w:ascii="Wingdings" w:hAnsi="Wingdings"/>
              </w:rPr>
              <w:t>Ø</w:t>
            </w:r>
          </w:p>
        </w:tc>
        <w:tc>
          <w:tcPr>
            <w:tcW w:w="128" w:type="dxa"/>
            <w:tcBorders/>
            <w:shd w:fill="auto" w:val="clear"/>
          </w:tcPr>
          <w:p>
            <w:pPr>
              <w:pStyle w:val="TableContents"/>
              <w:spacing w:before="0" w:after="283"/>
              <w:rPr/>
            </w:pPr>
            <w:r>
              <w:rPr/>
              <w:t> </w:t>
            </w:r>
          </w:p>
        </w:tc>
        <w:tc>
          <w:tcPr>
            <w:tcW w:w="9854" w:type="dxa"/>
            <w:tcBorders/>
            <w:shd w:fill="auto" w:val="clear"/>
          </w:tcPr>
          <w:p>
            <w:pPr>
              <w:pStyle w:val="TableContents"/>
              <w:spacing w:before="0" w:after="283"/>
              <w:rPr>
                <w:b/>
              </w:rPr>
            </w:pPr>
            <w:r>
              <w:rPr>
                <w:b/>
              </w:rPr>
              <w:t>Revenues Advance from $50.6 Million to $57.3 Million, or 13 Percent</w:t>
            </w:r>
          </w:p>
        </w:tc>
      </w:tr>
      <w:tr>
        <w:trPr/>
        <w:tc>
          <w:tcPr>
            <w:tcW w:w="223" w:type="dxa"/>
            <w:tcBorders/>
            <w:shd w:fill="auto" w:val="clear"/>
            <w:vAlign w:val="center"/>
          </w:tcPr>
          <w:p>
            <w:pPr>
              <w:pStyle w:val="TableContents"/>
              <w:spacing w:before="0" w:after="283"/>
              <w:rPr/>
            </w:pPr>
            <w:r>
              <w:rPr/>
              <w:t> </w:t>
            </w:r>
          </w:p>
        </w:tc>
        <w:tc>
          <w:tcPr>
            <w:tcW w:w="9982" w:type="dxa"/>
            <w:gridSpan w:val="2"/>
            <w:tcBorders/>
            <w:shd w:fill="auto" w:val="clear"/>
          </w:tcPr>
          <w:p>
            <w:pPr>
              <w:pStyle w:val="TableContents"/>
              <w:spacing w:before="0" w:after="283"/>
              <w:rPr>
                <w:sz w:val="4"/>
                <w:szCs w:val="4"/>
              </w:rPr>
            </w:pPr>
            <w:r>
              <w:rPr>
                <w:sz w:val="4"/>
                <w:szCs w:val="4"/>
              </w:rPr>
            </w:r>
          </w:p>
        </w:tc>
      </w:tr>
      <w:tr>
        <w:trPr/>
        <w:tc>
          <w:tcPr>
            <w:tcW w:w="223" w:type="dxa"/>
            <w:tcBorders/>
            <w:shd w:fill="auto" w:val="clear"/>
          </w:tcPr>
          <w:p>
            <w:pPr>
              <w:pStyle w:val="TableContents"/>
              <w:spacing w:before="0" w:after="283"/>
              <w:jc w:val="left"/>
              <w:rPr>
                <w:rFonts w:ascii="Wingdings" w:hAnsi="Wingdings"/>
              </w:rPr>
            </w:pPr>
            <w:r>
              <w:rPr>
                <w:rFonts w:ascii="Wingdings" w:hAnsi="Wingdings"/>
              </w:rPr>
              <w:t>Ø</w:t>
            </w:r>
          </w:p>
        </w:tc>
        <w:tc>
          <w:tcPr>
            <w:tcW w:w="128" w:type="dxa"/>
            <w:tcBorders/>
            <w:shd w:fill="auto" w:val="clear"/>
          </w:tcPr>
          <w:p>
            <w:pPr>
              <w:pStyle w:val="TableContents"/>
              <w:spacing w:before="0" w:after="283"/>
              <w:rPr/>
            </w:pPr>
            <w:r>
              <w:rPr/>
              <w:t> </w:t>
            </w:r>
          </w:p>
        </w:tc>
        <w:tc>
          <w:tcPr>
            <w:tcW w:w="9854" w:type="dxa"/>
            <w:tcBorders/>
            <w:shd w:fill="auto" w:val="clear"/>
          </w:tcPr>
          <w:p>
            <w:pPr>
              <w:pStyle w:val="TableContents"/>
              <w:spacing w:before="0" w:after="283"/>
              <w:rPr>
                <w:b/>
              </w:rPr>
            </w:pPr>
            <w:r>
              <w:rPr>
                <w:b/>
              </w:rPr>
              <w:t>Gross Margin Rises More Than Twofold to $7 Million</w:t>
            </w:r>
          </w:p>
        </w:tc>
      </w:tr>
      <w:tr>
        <w:trPr/>
        <w:tc>
          <w:tcPr>
            <w:tcW w:w="223" w:type="dxa"/>
            <w:tcBorders/>
            <w:shd w:fill="auto" w:val="clear"/>
            <w:vAlign w:val="center"/>
          </w:tcPr>
          <w:p>
            <w:pPr>
              <w:pStyle w:val="TableContents"/>
              <w:spacing w:before="0" w:after="283"/>
              <w:rPr/>
            </w:pPr>
            <w:r>
              <w:rPr/>
              <w:t> </w:t>
            </w:r>
          </w:p>
        </w:tc>
        <w:tc>
          <w:tcPr>
            <w:tcW w:w="9982" w:type="dxa"/>
            <w:gridSpan w:val="2"/>
            <w:tcBorders/>
            <w:shd w:fill="auto" w:val="clear"/>
          </w:tcPr>
          <w:p>
            <w:pPr>
              <w:pStyle w:val="TableContents"/>
              <w:spacing w:before="0" w:after="283"/>
              <w:rPr>
                <w:sz w:val="4"/>
                <w:szCs w:val="4"/>
              </w:rPr>
            </w:pPr>
            <w:r>
              <w:rPr>
                <w:sz w:val="4"/>
                <w:szCs w:val="4"/>
              </w:rPr>
            </w:r>
          </w:p>
        </w:tc>
      </w:tr>
      <w:tr>
        <w:trPr/>
        <w:tc>
          <w:tcPr>
            <w:tcW w:w="223" w:type="dxa"/>
            <w:tcBorders/>
            <w:shd w:fill="auto" w:val="clear"/>
          </w:tcPr>
          <w:p>
            <w:pPr>
              <w:pStyle w:val="TableContents"/>
              <w:spacing w:before="0" w:after="283"/>
              <w:jc w:val="left"/>
              <w:rPr>
                <w:rFonts w:ascii="Wingdings" w:hAnsi="Wingdings"/>
              </w:rPr>
            </w:pPr>
            <w:r>
              <w:rPr>
                <w:rFonts w:ascii="Wingdings" w:hAnsi="Wingdings"/>
              </w:rPr>
              <w:t>Ø</w:t>
            </w:r>
          </w:p>
        </w:tc>
        <w:tc>
          <w:tcPr>
            <w:tcW w:w="128" w:type="dxa"/>
            <w:tcBorders/>
            <w:shd w:fill="auto" w:val="clear"/>
          </w:tcPr>
          <w:p>
            <w:pPr>
              <w:pStyle w:val="TableContents"/>
              <w:spacing w:before="0" w:after="283"/>
              <w:rPr/>
            </w:pPr>
            <w:r>
              <w:rPr/>
              <w:t> </w:t>
            </w:r>
          </w:p>
        </w:tc>
        <w:tc>
          <w:tcPr>
            <w:tcW w:w="9854" w:type="dxa"/>
            <w:tcBorders/>
            <w:shd w:fill="auto" w:val="clear"/>
          </w:tcPr>
          <w:p>
            <w:pPr>
              <w:pStyle w:val="TableContents"/>
              <w:spacing w:before="0" w:after="283"/>
              <w:rPr>
                <w:b/>
              </w:rPr>
            </w:pPr>
            <w:r>
              <w:rPr>
                <w:b/>
              </w:rPr>
              <w:t>Operating Income Swings from Loss of $(1.0 Million) to $2.3 million326 Percent Improvement</w:t>
            </w:r>
          </w:p>
        </w:tc>
      </w:tr>
      <w:tr>
        <w:trPr/>
        <w:tc>
          <w:tcPr>
            <w:tcW w:w="223" w:type="dxa"/>
            <w:tcBorders/>
            <w:shd w:fill="auto" w:val="clear"/>
            <w:vAlign w:val="center"/>
          </w:tcPr>
          <w:p>
            <w:pPr>
              <w:pStyle w:val="TableContents"/>
              <w:spacing w:before="0" w:after="283"/>
              <w:rPr/>
            </w:pPr>
            <w:r>
              <w:rPr/>
              <w:t> </w:t>
            </w:r>
          </w:p>
        </w:tc>
        <w:tc>
          <w:tcPr>
            <w:tcW w:w="9982" w:type="dxa"/>
            <w:gridSpan w:val="2"/>
            <w:tcBorders/>
            <w:shd w:fill="auto" w:val="clear"/>
          </w:tcPr>
          <w:p>
            <w:pPr>
              <w:pStyle w:val="TableContents"/>
              <w:spacing w:before="0" w:after="283"/>
              <w:rPr>
                <w:sz w:val="4"/>
                <w:szCs w:val="4"/>
              </w:rPr>
            </w:pPr>
            <w:r>
              <w:rPr>
                <w:sz w:val="4"/>
                <w:szCs w:val="4"/>
              </w:rPr>
            </w:r>
          </w:p>
        </w:tc>
      </w:tr>
      <w:tr>
        <w:trPr/>
        <w:tc>
          <w:tcPr>
            <w:tcW w:w="223" w:type="dxa"/>
            <w:tcBorders/>
            <w:shd w:fill="auto" w:val="clear"/>
          </w:tcPr>
          <w:p>
            <w:pPr>
              <w:pStyle w:val="TableContents"/>
              <w:spacing w:before="0" w:after="283"/>
              <w:jc w:val="left"/>
              <w:rPr>
                <w:rFonts w:ascii="Wingdings" w:hAnsi="Wingdings"/>
              </w:rPr>
            </w:pPr>
            <w:r>
              <w:rPr>
                <w:rFonts w:ascii="Wingdings" w:hAnsi="Wingdings"/>
              </w:rPr>
              <w:t>Ø</w:t>
            </w:r>
          </w:p>
        </w:tc>
        <w:tc>
          <w:tcPr>
            <w:tcW w:w="128" w:type="dxa"/>
            <w:tcBorders/>
            <w:shd w:fill="auto" w:val="clear"/>
          </w:tcPr>
          <w:p>
            <w:pPr>
              <w:pStyle w:val="TableContents"/>
              <w:spacing w:before="0" w:after="283"/>
              <w:rPr/>
            </w:pPr>
            <w:r>
              <w:rPr/>
              <w:t> </w:t>
            </w:r>
          </w:p>
        </w:tc>
        <w:tc>
          <w:tcPr>
            <w:tcW w:w="9854" w:type="dxa"/>
            <w:tcBorders/>
            <w:shd w:fill="auto" w:val="clear"/>
          </w:tcPr>
          <w:p>
            <w:pPr>
              <w:pStyle w:val="TableContents"/>
              <w:spacing w:before="0" w:after="283"/>
              <w:rPr>
                <w:b/>
              </w:rPr>
            </w:pPr>
            <w:r>
              <w:rPr>
                <w:b/>
              </w:rPr>
              <w:t>Brisk Demand for Fresh Avocados and Processed Products Paces Sales Growth</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SANTA PAULA, Calif. (March 6, 2007)Calavo Growers, Inc. (Nasdaq-GM: CVGW), the global leader in packing and marketing fresh and processed avocados and other perishable food products, today reported record fiscal 2007 first quarter operating results, with revenues, net income and earnings per share all reaching historic highs for the period. </w:t>
      </w:r>
    </w:p>
    <w:p>
      <w:pPr>
        <w:pStyle w:val="TextBody"/>
        <w:spacing w:before="120" w:after="283"/>
        <w:jc w:val="left"/>
        <w:rPr/>
      </w:pPr>
      <w:r>
        <w:rPr/>
        <w:t>     </w:t>
      </w:r>
      <w:r>
        <w:rPr>
          <w:rFonts w:ascii="Times New Roman;Times;serif" w:hAnsi="Times New Roman;Times;serif"/>
          <w:sz w:val="17"/>
        </w:rPr>
        <w:t xml:space="preserve">For the three months ended Jan. 31, 2007, net income soared 300 percent to $1.3 million, equal to $0.09 per diluted share, from a net loss of $(665,000), or $(0.05) per diluted share, in the corresponding period last year. Net income in the most recent quarter eclipsed by more than twofold the previous first-period record and all-time high as a public company of $500,000 set in fiscal 2003. </w:t>
      </w:r>
    </w:p>
    <w:p>
      <w:pPr>
        <w:pStyle w:val="TextBody"/>
        <w:spacing w:before="120" w:after="283"/>
        <w:jc w:val="left"/>
        <w:rPr/>
      </w:pPr>
      <w:r>
        <w:rPr/>
        <w:t>     </w:t>
      </w:r>
      <w:r>
        <w:rPr>
          <w:rFonts w:ascii="Times New Roman;Times;serif" w:hAnsi="Times New Roman;Times;serif"/>
          <w:sz w:val="17"/>
        </w:rPr>
        <w:t xml:space="preserve">Revenues advanced to a record $57.3 million, an increase of 13 percent from $50.6 million in the like quarter of fiscal 2006, on the strength of higher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 more -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Calavo Reports Record First Quarter Fiscal 2007 Results/2-2-2-2</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sales both in its fresh-avocado and processed-products business segments, as well as diversified commodities, including its Maui Fresh family of products. </w:t>
      </w:r>
    </w:p>
    <w:p>
      <w:pPr>
        <w:pStyle w:val="TextBody"/>
        <w:spacing w:before="120" w:after="283"/>
        <w:jc w:val="left"/>
        <w:rPr/>
      </w:pPr>
      <w:r>
        <w:rPr/>
        <w:t>     </w:t>
      </w:r>
      <w:r>
        <w:rPr>
          <w:rFonts w:ascii="Times New Roman;Times;serif" w:hAnsi="Times New Roman;Times;serif"/>
          <w:sz w:val="17"/>
        </w:rPr>
        <w:t xml:space="preserve">Chairman, President and CEO Lee E. Cole said, Calavo is off to a formidable start in fiscal 2007, anchored by the best first-quarter operating performance in our history. This highly gratifying performance was robust by virtually every measure. We were paced by sharply stronger sales of Mexican-grown avocados that more than offset the seasonal ebb of California fruit that characterizes our business during the first three months of our fiscal year. Coupled with continued growth in processed-product segment revenues, which increased $1.3 million or 16 percent year over year, the companys top line velocity was one key component driving the quarters results. The other factor of prime significance was our ongoing relentless effort to manage controllable costs. </w:t>
      </w:r>
    </w:p>
    <w:p>
      <w:pPr>
        <w:pStyle w:val="TextBody"/>
        <w:spacing w:before="120" w:after="283"/>
        <w:jc w:val="left"/>
        <w:rPr/>
      </w:pPr>
      <w:r>
        <w:rPr/>
        <w:t>     </w:t>
      </w:r>
      <w:r>
        <w:rPr>
          <w:rFonts w:ascii="Times New Roman;Times;serif" w:hAnsi="Times New Roman;Times;serif"/>
          <w:sz w:val="17"/>
        </w:rPr>
        <w:t xml:space="preserve">Cole noted that Calavos first-period gross margin leaped to $7.0 million, an increase of 107 percent from $3.4 million in the same quarter last year, reflecting both the aforementioned sales gains and rigorous cost discipline across the companys various businesses. Operating income surged to $2.3 million from a loss of $(1.0 million), a swing of $3.3 million or 326 percent. </w:t>
      </w:r>
    </w:p>
    <w:p>
      <w:pPr>
        <w:pStyle w:val="TextBody"/>
        <w:spacing w:before="120" w:after="283"/>
        <w:jc w:val="left"/>
        <w:rPr/>
      </w:pPr>
      <w:r>
        <w:rPr/>
        <w:t>     </w:t>
      </w:r>
      <w:r>
        <w:rPr>
          <w:rFonts w:ascii="Times New Roman;Times;serif" w:hAnsi="Times New Roman;Times;serif"/>
          <w:sz w:val="17"/>
        </w:rPr>
        <w:t xml:space="preserve">Indicative of this commitment to expense containment, gross margins benefited from a focused initiative to realign certain operations related to fresh avocado packing in Mexico, the CEO stated. Similarly, margins in the processed products business segment surpassed 35 percent for the quarteran impressive figure that has climbed steadily over the past eight sequential periods. Processed operations were favorably impacted by a nine percent increase in total quarterly pounds sold which contributed to further manufacturing and production efficiencies in this already-strong business segment. Simply put, the processed unit continues to be a stellar performer and an important growth driver for the future.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 more -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Calavo Reports Record First Quarter Fiscal 2007 Results/3-3-3-3</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With respect to sales, general and administrative (SG&amp;A) expense, Cole indicated that the corporate imperative placed on cost controls is translating itself to this line of the income statement, as well. Among strides forward in containing SG&amp;A, the Calavo CEO said that the tight reign in all areas of SG&amp;A expense is showing progress and costs overall are trending in the right direction. </w:t>
      </w:r>
    </w:p>
    <w:p>
      <w:pPr>
        <w:pStyle w:val="TextBody"/>
        <w:spacing w:before="120" w:after="283"/>
        <w:jc w:val="left"/>
        <w:rPr/>
      </w:pPr>
      <w:r>
        <w:rPr/>
        <w:t>     </w:t>
      </w:r>
      <w:r>
        <w:rPr>
          <w:rFonts w:ascii="Times New Roman;Times;serif" w:hAnsi="Times New Roman;Times;serif"/>
          <w:sz w:val="17"/>
        </w:rPr>
        <w:t xml:space="preserve">Among other significant first quarter accomplishments, Cole indicated that the companys two new Value Added Depots (VADs) in Texas and New Jersey became fully operational during the first period and join a successful initial location in California, which opened earlier. Equipped with Calavos proprietary ProRipeVIP technology used for avocado pre-conditioning, the VADs are a pivotal milestone in the strategy to drive consumption by making fruit ripened to customers specifications available nationwide, he said. </w:t>
      </w:r>
    </w:p>
    <w:p>
      <w:pPr>
        <w:pStyle w:val="TextBody"/>
        <w:spacing w:before="120" w:after="283"/>
        <w:jc w:val="left"/>
        <w:rPr/>
      </w:pPr>
      <w:r>
        <w:rPr/>
        <w:t>     </w:t>
      </w:r>
      <w:r>
        <w:rPr>
          <w:rFonts w:ascii="Times New Roman;Times;serif" w:hAnsi="Times New Roman;Times;serif"/>
          <w:sz w:val="17"/>
        </w:rPr>
        <w:t xml:space="preserve">Taking a broad perspective of the most recent period, Cole noted his particular satisfaction with the companys ability to create diversified revenue and profit engines for Calavo. Its clear validation of the overall business strategy, as well as the ceaseless efforts of our management team to set new standards. No better case-in-point than the companys success in achieving record results despite the usual seasonal cyclical slowdown in California avocado packing.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Outlook: The Picture Ahead</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Looking forward, the outlook is extremely encouraging, Cole said. We move ahead in the second quarter with a genuine sense of confidence and optimism about Calavos prospectsboth during the current period and for the year. The company anticipates continuing to realize strong sales contribution from Mexican-grown avocados and our world-class processed operations during the second quarter. These dual platforms we have created in Mexicoboth fresh and processed avocadosare not only significant profit generators for Calavo, but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 more -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Calavo Reports Record First Quarter Fiscal 2007 Results/4-4-4-4</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cover a substantial portion of corporate overhead and favorably benefit grower returns, as well. </w:t>
      </w:r>
    </w:p>
    <w:p>
      <w:pPr>
        <w:pStyle w:val="TextBody"/>
        <w:spacing w:before="120" w:after="283"/>
        <w:jc w:val="left"/>
        <w:rPr/>
      </w:pPr>
      <w:r>
        <w:rPr/>
        <w:t>     </w:t>
      </w:r>
      <w:r>
        <w:rPr>
          <w:rFonts w:ascii="Times New Roman;Times;serif" w:hAnsi="Times New Roman;Times;serif"/>
          <w:sz w:val="17"/>
        </w:rPr>
        <w:t xml:space="preserve">In addition, the second period also will bring California avocados and growing Maui Fresh tomato sales to further propel revenues. From our perspective, operations are shaping up quite positively and Calavo is in a very strong positionstrategically, operationally and financially, Cole stated. </w:t>
      </w:r>
    </w:p>
    <w:p>
      <w:pPr>
        <w:pStyle w:val="TextBody"/>
        <w:spacing w:before="120" w:after="283"/>
        <w:jc w:val="left"/>
        <w:rPr/>
      </w:pPr>
      <w:r>
        <w:rPr/>
        <w:t>     </w:t>
      </w:r>
      <w:r>
        <w:rPr>
          <w:rFonts w:ascii="Times New Roman;Times;serif" w:hAnsi="Times New Roman;Times;serif"/>
          <w:sz w:val="17"/>
        </w:rPr>
        <w:t xml:space="preserve">It is worthy of mention that even as our management focuses on internally generated growth, we keep an eye open for prospective acquisitions that meet our specific criteria, in particular being accretive to earnings, Cole said. While there can be no assurances that we will identify, let alone consummate, any deals, we keep our watch carefully trained for possible targets nonetheless. </w:t>
      </w:r>
    </w:p>
    <w:p>
      <w:pPr>
        <w:pStyle w:val="TextBody"/>
        <w:spacing w:before="120" w:after="283"/>
        <w:jc w:val="left"/>
        <w:rPr/>
      </w:pPr>
      <w:r>
        <w:rPr/>
        <w:t>     </w:t>
      </w:r>
      <w:r>
        <w:rPr>
          <w:rFonts w:ascii="Times New Roman;Times;serif" w:hAnsi="Times New Roman;Times;serif"/>
          <w:sz w:val="17"/>
        </w:rPr>
        <w:t xml:space="preserve">Fiscal 2007 is off to a fast start and I look forward to reporting on our continued progress implementing strategic initiatives that build an even stronger, more diversified company that creates further value for our shareholders, Cole concluded.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About Calavo</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Calavo Growers, Inc. is a worldwide leader in the procurement and marketing of fresh avocados and other perishable foods, as well as the manufacturing and distribution of processed avocado products. Founded in 1924, Calavos expertise in marketing and distributing avocados, processed avocados, and other perishable foods allows the company to deliver a wide array of fresh and processed food products to food distributors, produce wholesalers, supermarkets, and restaurants on a global basis.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Safe Harbor Statement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This news release contains statements relating to future events and results of Calavo (including certain projections and business trends) that are forward-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 more -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Calavo Reports Record First Quarter Fiscal 2007 Results/5-5-5-5</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looking statements as defined in the Private Securities Litigation Reform Act of 1995. Actual results and events may differ from those projected as a result of certain risks and uncertainties. These risks and uncertainties include but are not limited to: increased competition, conducting substantial amounts of business internationally, pricing pressures on agricultural products, adverse weather and growing conditions confronting avocado growers, new governmental regulations, as well as other risks and uncertainties detailed from time to time in the companys Securities and Exchange Commission filings, including, without limitation, the companys Report on Form 10-K for the year ended October 31, 2006. These forward-looking statements are made only as of the date hereof, and the company undertakes no obligation to update or revise the forward-looking statements, whether as a result of new information, future events or otherwise.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 # #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CONSOLIDATED CONDENSED BALANCE SHEETS (UNAUDITED)</w:t>
        <w:br/>
        <w:t>(All amounts in thousands, except per share amounts)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6623"/>
        <w:gridCol w:w="420"/>
        <w:gridCol w:w="195"/>
        <w:gridCol w:w="1068"/>
        <w:gridCol w:w="115"/>
        <w:gridCol w:w="420"/>
        <w:gridCol w:w="193"/>
        <w:gridCol w:w="1051"/>
        <w:gridCol w:w="120"/>
      </w:tblGrid>
      <w:tr>
        <w:trPr/>
        <w:tc>
          <w:tcPr>
            <w:tcW w:w="6623"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6623"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263" w:type="dxa"/>
            <w:gridSpan w:val="2"/>
            <w:tcBorders/>
            <w:shd w:fill="auto" w:val="clear"/>
            <w:vAlign w:val="bottom"/>
          </w:tcPr>
          <w:p>
            <w:pPr>
              <w:pStyle w:val="TableContents"/>
              <w:spacing w:before="0" w:after="283"/>
              <w:jc w:val="center"/>
              <w:rPr>
                <w:b/>
              </w:rPr>
            </w:pPr>
            <w:r>
              <w:rPr>
                <w:b/>
              </w:rPr>
              <w:t>January 31,</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244" w:type="dxa"/>
            <w:gridSpan w:val="2"/>
            <w:tcBorders/>
            <w:shd w:fill="auto" w:val="clear"/>
            <w:vAlign w:val="bottom"/>
          </w:tcPr>
          <w:p>
            <w:pPr>
              <w:pStyle w:val="TableContents"/>
              <w:spacing w:before="0" w:after="283"/>
              <w:jc w:val="center"/>
              <w:rPr>
                <w:b/>
              </w:rPr>
            </w:pPr>
            <w:r>
              <w:rPr>
                <w:b/>
              </w:rPr>
              <w:t>October 31,</w:t>
            </w:r>
          </w:p>
        </w:tc>
        <w:tc>
          <w:tcPr>
            <w:tcW w:w="120" w:type="dxa"/>
            <w:tcBorders/>
            <w:shd w:fill="auto" w:val="clear"/>
            <w:vAlign w:val="bottom"/>
          </w:tcPr>
          <w:p>
            <w:pPr>
              <w:pStyle w:val="TableContents"/>
              <w:spacing w:before="0" w:after="283"/>
              <w:rPr/>
            </w:pPr>
            <w:r>
              <w:rPr/>
              <w:t> </w:t>
            </w:r>
          </w:p>
        </w:tc>
      </w:tr>
      <w:tr>
        <w:trPr/>
        <w:tc>
          <w:tcPr>
            <w:tcW w:w="6623"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26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24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20" w:type="dxa"/>
            <w:tcBorders/>
            <w:shd w:fill="auto" w:val="clear"/>
            <w:vAlign w:val="bottom"/>
          </w:tcPr>
          <w:p>
            <w:pPr>
              <w:pStyle w:val="TableContents"/>
              <w:spacing w:before="0" w:after="283"/>
              <w:rPr/>
            </w:pPr>
            <w:r>
              <w:rPr/>
              <w:t> </w:t>
            </w:r>
          </w:p>
        </w:tc>
      </w:tr>
      <w:tr>
        <w:trPr/>
        <w:tc>
          <w:tcPr>
            <w:tcW w:w="6623" w:type="dxa"/>
            <w:tcBorders/>
            <w:shd w:fill="CCEEFF" w:val="clear"/>
            <w:vAlign w:val="bottom"/>
          </w:tcPr>
          <w:p>
            <w:pPr>
              <w:pStyle w:val="TableContents"/>
              <w:spacing w:before="0" w:after="0"/>
              <w:ind w:left="225" w:right="0" w:hanging="225"/>
              <w:rPr>
                <w:b/>
              </w:rPr>
            </w:pPr>
            <w:r>
              <w:rPr>
                <w:b/>
              </w:rPr>
              <w:t>Assets</w:t>
            </w:r>
          </w:p>
        </w:tc>
        <w:tc>
          <w:tcPr>
            <w:tcW w:w="42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r>
      <w:tr>
        <w:trPr/>
        <w:tc>
          <w:tcPr>
            <w:tcW w:w="6623" w:type="dxa"/>
            <w:tcBorders/>
            <w:shd w:fill="auto" w:val="clear"/>
            <w:vAlign w:val="bottom"/>
          </w:tcPr>
          <w:p>
            <w:pPr>
              <w:pStyle w:val="TableContents"/>
              <w:spacing w:before="0" w:after="0"/>
              <w:ind w:left="225" w:right="0" w:hanging="225"/>
              <w:rPr/>
            </w:pPr>
            <w:r>
              <w:rPr/>
              <w:t>Current assets:</w:t>
            </w:r>
          </w:p>
        </w:tc>
        <w:tc>
          <w:tcPr>
            <w:tcW w:w="42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6623" w:type="dxa"/>
            <w:tcBorders/>
            <w:shd w:fill="CCEEFF" w:val="clear"/>
            <w:vAlign w:val="bottom"/>
          </w:tcPr>
          <w:p>
            <w:pPr>
              <w:pStyle w:val="TableContents"/>
              <w:spacing w:before="0" w:after="0"/>
              <w:ind w:left="450" w:right="0" w:hanging="225"/>
              <w:rPr/>
            </w:pPr>
            <w:r>
              <w:rPr/>
              <w:t>Cash and cash equivalents</w:t>
            </w:r>
          </w:p>
        </w:tc>
        <w:tc>
          <w:tcPr>
            <w:tcW w:w="42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68" w:type="dxa"/>
            <w:tcBorders/>
            <w:shd w:fill="CCEEFF" w:val="clear"/>
            <w:vAlign w:val="bottom"/>
          </w:tcPr>
          <w:p>
            <w:pPr>
              <w:pStyle w:val="TableContents"/>
              <w:spacing w:before="0" w:after="283"/>
              <w:jc w:val="right"/>
              <w:rPr/>
            </w:pPr>
            <w:r>
              <w:rPr/>
              <w:t>191</w:t>
            </w:r>
          </w:p>
        </w:tc>
        <w:tc>
          <w:tcPr>
            <w:tcW w:w="11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51" w:type="dxa"/>
            <w:tcBorders/>
            <w:shd w:fill="CCEEFF" w:val="clear"/>
            <w:vAlign w:val="bottom"/>
          </w:tcPr>
          <w:p>
            <w:pPr>
              <w:pStyle w:val="TableContents"/>
              <w:spacing w:before="0" w:after="283"/>
              <w:jc w:val="right"/>
              <w:rPr/>
            </w:pPr>
            <w:r>
              <w:rPr/>
              <w:t>50</w:t>
            </w:r>
          </w:p>
        </w:tc>
        <w:tc>
          <w:tcPr>
            <w:tcW w:w="120" w:type="dxa"/>
            <w:tcBorders/>
            <w:shd w:fill="CCEEFF" w:val="clear"/>
            <w:vAlign w:val="bottom"/>
          </w:tcPr>
          <w:p>
            <w:pPr>
              <w:pStyle w:val="TableContents"/>
              <w:spacing w:before="0" w:after="283"/>
              <w:rPr/>
            </w:pPr>
            <w:r>
              <w:rPr/>
              <w:t> </w:t>
            </w:r>
          </w:p>
        </w:tc>
      </w:tr>
      <w:tr>
        <w:trPr/>
        <w:tc>
          <w:tcPr>
            <w:tcW w:w="6623" w:type="dxa"/>
            <w:tcBorders/>
            <w:shd w:fill="auto" w:val="clear"/>
            <w:vAlign w:val="bottom"/>
          </w:tcPr>
          <w:p>
            <w:pPr>
              <w:pStyle w:val="TableContents"/>
              <w:spacing w:before="0" w:after="0"/>
              <w:ind w:left="450" w:right="0" w:hanging="225"/>
              <w:rPr/>
            </w:pPr>
            <w:r>
              <w:rPr/>
              <w:t>Accounts receivable, net of allowances of $1,933 (2007) and $1,833 (2006)</w:t>
            </w:r>
          </w:p>
        </w:tc>
        <w:tc>
          <w:tcPr>
            <w:tcW w:w="42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26,472</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24,202</w:t>
            </w:r>
          </w:p>
        </w:tc>
        <w:tc>
          <w:tcPr>
            <w:tcW w:w="120" w:type="dxa"/>
            <w:tcBorders/>
            <w:shd w:fill="auto" w:val="clear"/>
            <w:vAlign w:val="bottom"/>
          </w:tcPr>
          <w:p>
            <w:pPr>
              <w:pStyle w:val="TableContents"/>
              <w:spacing w:before="0" w:after="283"/>
              <w:rPr/>
            </w:pPr>
            <w:r>
              <w:rPr/>
              <w:t> </w:t>
            </w:r>
          </w:p>
        </w:tc>
      </w:tr>
      <w:tr>
        <w:trPr/>
        <w:tc>
          <w:tcPr>
            <w:tcW w:w="6623" w:type="dxa"/>
            <w:tcBorders/>
            <w:shd w:fill="CCEEFF" w:val="clear"/>
            <w:vAlign w:val="bottom"/>
          </w:tcPr>
          <w:p>
            <w:pPr>
              <w:pStyle w:val="TableContents"/>
              <w:spacing w:before="0" w:after="0"/>
              <w:ind w:left="450" w:right="0" w:hanging="225"/>
              <w:rPr/>
            </w:pPr>
            <w:r>
              <w:rPr/>
              <w:t>Inventories, net</w:t>
            </w:r>
          </w:p>
        </w:tc>
        <w:tc>
          <w:tcPr>
            <w:tcW w:w="42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12,399</w:t>
            </w:r>
          </w:p>
        </w:tc>
        <w:tc>
          <w:tcPr>
            <w:tcW w:w="11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10,569</w:t>
            </w:r>
          </w:p>
        </w:tc>
        <w:tc>
          <w:tcPr>
            <w:tcW w:w="120" w:type="dxa"/>
            <w:tcBorders/>
            <w:shd w:fill="CCEEFF" w:val="clear"/>
            <w:vAlign w:val="bottom"/>
          </w:tcPr>
          <w:p>
            <w:pPr>
              <w:pStyle w:val="TableContents"/>
              <w:spacing w:before="0" w:after="283"/>
              <w:rPr/>
            </w:pPr>
            <w:r>
              <w:rPr/>
              <w:t> </w:t>
            </w:r>
          </w:p>
        </w:tc>
      </w:tr>
      <w:tr>
        <w:trPr/>
        <w:tc>
          <w:tcPr>
            <w:tcW w:w="6623" w:type="dxa"/>
            <w:tcBorders/>
            <w:shd w:fill="auto" w:val="clear"/>
            <w:vAlign w:val="bottom"/>
          </w:tcPr>
          <w:p>
            <w:pPr>
              <w:pStyle w:val="TableContents"/>
              <w:spacing w:before="0" w:after="0"/>
              <w:ind w:left="450" w:right="0" w:hanging="225"/>
              <w:rPr/>
            </w:pPr>
            <w:r>
              <w:rPr/>
              <w:t>Prepaid expenses and other current assets</w:t>
            </w:r>
          </w:p>
        </w:tc>
        <w:tc>
          <w:tcPr>
            <w:tcW w:w="42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4,865</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4,934</w:t>
            </w:r>
          </w:p>
        </w:tc>
        <w:tc>
          <w:tcPr>
            <w:tcW w:w="120" w:type="dxa"/>
            <w:tcBorders/>
            <w:shd w:fill="auto" w:val="clear"/>
            <w:vAlign w:val="bottom"/>
          </w:tcPr>
          <w:p>
            <w:pPr>
              <w:pStyle w:val="TableContents"/>
              <w:spacing w:before="0" w:after="283"/>
              <w:rPr/>
            </w:pPr>
            <w:r>
              <w:rPr/>
              <w:t> </w:t>
            </w:r>
          </w:p>
        </w:tc>
      </w:tr>
      <w:tr>
        <w:trPr/>
        <w:tc>
          <w:tcPr>
            <w:tcW w:w="6623" w:type="dxa"/>
            <w:tcBorders/>
            <w:shd w:fill="CCEEFF" w:val="clear"/>
            <w:vAlign w:val="bottom"/>
          </w:tcPr>
          <w:p>
            <w:pPr>
              <w:pStyle w:val="TableContents"/>
              <w:spacing w:before="0" w:after="0"/>
              <w:ind w:left="450" w:right="0" w:hanging="225"/>
              <w:rPr/>
            </w:pPr>
            <w:r>
              <w:rPr/>
              <w:t>Advances to suppliers</w:t>
            </w:r>
          </w:p>
        </w:tc>
        <w:tc>
          <w:tcPr>
            <w:tcW w:w="42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3,545</w:t>
            </w:r>
          </w:p>
        </w:tc>
        <w:tc>
          <w:tcPr>
            <w:tcW w:w="11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1,406</w:t>
            </w:r>
          </w:p>
        </w:tc>
        <w:tc>
          <w:tcPr>
            <w:tcW w:w="120" w:type="dxa"/>
            <w:tcBorders/>
            <w:shd w:fill="CCEEFF" w:val="clear"/>
            <w:vAlign w:val="bottom"/>
          </w:tcPr>
          <w:p>
            <w:pPr>
              <w:pStyle w:val="TableContents"/>
              <w:spacing w:before="0" w:after="283"/>
              <w:rPr/>
            </w:pPr>
            <w:r>
              <w:rPr/>
              <w:t> </w:t>
            </w:r>
          </w:p>
        </w:tc>
      </w:tr>
      <w:tr>
        <w:trPr/>
        <w:tc>
          <w:tcPr>
            <w:tcW w:w="6623" w:type="dxa"/>
            <w:tcBorders/>
            <w:shd w:fill="auto" w:val="clear"/>
            <w:vAlign w:val="bottom"/>
          </w:tcPr>
          <w:p>
            <w:pPr>
              <w:pStyle w:val="TableContents"/>
              <w:spacing w:before="0" w:after="0"/>
              <w:ind w:left="450" w:right="0" w:hanging="225"/>
              <w:rPr/>
            </w:pPr>
            <w:r>
              <w:rPr/>
              <w:t>Income tax receivable</w:t>
            </w:r>
          </w:p>
        </w:tc>
        <w:tc>
          <w:tcPr>
            <w:tcW w:w="42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1,524</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2,268</w:t>
            </w:r>
          </w:p>
        </w:tc>
        <w:tc>
          <w:tcPr>
            <w:tcW w:w="120" w:type="dxa"/>
            <w:tcBorders/>
            <w:shd w:fill="auto" w:val="clear"/>
            <w:vAlign w:val="bottom"/>
          </w:tcPr>
          <w:p>
            <w:pPr>
              <w:pStyle w:val="TableContents"/>
              <w:spacing w:before="0" w:after="283"/>
              <w:rPr/>
            </w:pPr>
            <w:r>
              <w:rPr/>
              <w:t> </w:t>
            </w:r>
          </w:p>
        </w:tc>
      </w:tr>
      <w:tr>
        <w:trPr/>
        <w:tc>
          <w:tcPr>
            <w:tcW w:w="6623" w:type="dxa"/>
            <w:tcBorders/>
            <w:shd w:fill="CCEEFF" w:val="clear"/>
            <w:vAlign w:val="bottom"/>
          </w:tcPr>
          <w:p>
            <w:pPr>
              <w:pStyle w:val="TableContents"/>
              <w:spacing w:before="0" w:after="0"/>
              <w:ind w:left="450" w:right="0" w:hanging="225"/>
              <w:rPr/>
            </w:pPr>
            <w:r>
              <w:rPr/>
              <w:t>Deferred income taxes</w:t>
            </w:r>
          </w:p>
        </w:tc>
        <w:tc>
          <w:tcPr>
            <w:tcW w:w="42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2,348</w:t>
            </w:r>
          </w:p>
        </w:tc>
        <w:tc>
          <w:tcPr>
            <w:tcW w:w="11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2,348</w:t>
            </w:r>
          </w:p>
        </w:tc>
        <w:tc>
          <w:tcPr>
            <w:tcW w:w="120" w:type="dxa"/>
            <w:tcBorders/>
            <w:shd w:fill="CCEEFF" w:val="clear"/>
            <w:vAlign w:val="bottom"/>
          </w:tcPr>
          <w:p>
            <w:pPr>
              <w:pStyle w:val="TableContents"/>
              <w:spacing w:before="0" w:after="283"/>
              <w:rPr/>
            </w:pPr>
            <w:r>
              <w:rPr/>
              <w:t> </w:t>
            </w:r>
          </w:p>
        </w:tc>
      </w:tr>
      <w:tr>
        <w:trPr/>
        <w:tc>
          <w:tcPr>
            <w:tcW w:w="662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12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12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6623" w:type="dxa"/>
            <w:tcBorders/>
            <w:shd w:fill="auto" w:val="clear"/>
            <w:vAlign w:val="bottom"/>
          </w:tcPr>
          <w:p>
            <w:pPr>
              <w:pStyle w:val="TableContents"/>
              <w:spacing w:before="0" w:after="0"/>
              <w:ind w:left="675" w:right="0" w:hanging="225"/>
              <w:rPr/>
            </w:pPr>
            <w:r>
              <w:rPr/>
              <w:t>Total current assets</w:t>
            </w:r>
          </w:p>
        </w:tc>
        <w:tc>
          <w:tcPr>
            <w:tcW w:w="42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51,344</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45,777</w:t>
            </w:r>
          </w:p>
        </w:tc>
        <w:tc>
          <w:tcPr>
            <w:tcW w:w="120" w:type="dxa"/>
            <w:tcBorders/>
            <w:shd w:fill="auto" w:val="clear"/>
            <w:vAlign w:val="bottom"/>
          </w:tcPr>
          <w:p>
            <w:pPr>
              <w:pStyle w:val="TableContents"/>
              <w:spacing w:before="0" w:after="283"/>
              <w:rPr/>
            </w:pPr>
            <w:r>
              <w:rPr/>
              <w:t> </w:t>
            </w:r>
          </w:p>
        </w:tc>
      </w:tr>
      <w:tr>
        <w:trPr/>
        <w:tc>
          <w:tcPr>
            <w:tcW w:w="6623" w:type="dxa"/>
            <w:tcBorders/>
            <w:shd w:fill="CCEEFF" w:val="clear"/>
            <w:vAlign w:val="bottom"/>
          </w:tcPr>
          <w:p>
            <w:pPr>
              <w:pStyle w:val="TableContents"/>
              <w:spacing w:before="0" w:after="0"/>
              <w:ind w:left="225" w:right="0" w:hanging="225"/>
              <w:rPr/>
            </w:pPr>
            <w:r>
              <w:rPr/>
              <w:t>Property, plant, and equipment, net</w:t>
            </w:r>
          </w:p>
        </w:tc>
        <w:tc>
          <w:tcPr>
            <w:tcW w:w="42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21,239</w:t>
            </w:r>
          </w:p>
        </w:tc>
        <w:tc>
          <w:tcPr>
            <w:tcW w:w="11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19,908</w:t>
            </w:r>
          </w:p>
        </w:tc>
        <w:tc>
          <w:tcPr>
            <w:tcW w:w="120" w:type="dxa"/>
            <w:tcBorders/>
            <w:shd w:fill="CCEEFF" w:val="clear"/>
            <w:vAlign w:val="bottom"/>
          </w:tcPr>
          <w:p>
            <w:pPr>
              <w:pStyle w:val="TableContents"/>
              <w:spacing w:before="0" w:after="283"/>
              <w:rPr/>
            </w:pPr>
            <w:r>
              <w:rPr/>
              <w:t> </w:t>
            </w:r>
          </w:p>
        </w:tc>
      </w:tr>
      <w:tr>
        <w:trPr/>
        <w:tc>
          <w:tcPr>
            <w:tcW w:w="6623" w:type="dxa"/>
            <w:tcBorders/>
            <w:shd w:fill="auto" w:val="clear"/>
            <w:vAlign w:val="bottom"/>
          </w:tcPr>
          <w:p>
            <w:pPr>
              <w:pStyle w:val="TableContents"/>
              <w:spacing w:before="0" w:after="0"/>
              <w:ind w:left="225" w:right="0" w:hanging="225"/>
              <w:rPr/>
            </w:pPr>
            <w:r>
              <w:rPr/>
              <w:t>Investment in Limoneira</w:t>
            </w:r>
          </w:p>
        </w:tc>
        <w:tc>
          <w:tcPr>
            <w:tcW w:w="42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41,140</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33,879</w:t>
            </w:r>
          </w:p>
        </w:tc>
        <w:tc>
          <w:tcPr>
            <w:tcW w:w="120" w:type="dxa"/>
            <w:tcBorders/>
            <w:shd w:fill="auto" w:val="clear"/>
            <w:vAlign w:val="bottom"/>
          </w:tcPr>
          <w:p>
            <w:pPr>
              <w:pStyle w:val="TableContents"/>
              <w:spacing w:before="0" w:after="283"/>
              <w:rPr/>
            </w:pPr>
            <w:r>
              <w:rPr/>
              <w:t> </w:t>
            </w:r>
          </w:p>
        </w:tc>
      </w:tr>
      <w:tr>
        <w:trPr/>
        <w:tc>
          <w:tcPr>
            <w:tcW w:w="6623" w:type="dxa"/>
            <w:tcBorders/>
            <w:shd w:fill="CCEEFF" w:val="clear"/>
            <w:vAlign w:val="bottom"/>
          </w:tcPr>
          <w:p>
            <w:pPr>
              <w:pStyle w:val="TableContents"/>
              <w:spacing w:before="0" w:after="0"/>
              <w:ind w:left="225" w:right="0" w:hanging="225"/>
              <w:rPr/>
            </w:pPr>
            <w:r>
              <w:rPr/>
              <w:t>Investment in Maui Fresh, LLC</w:t>
            </w:r>
          </w:p>
        </w:tc>
        <w:tc>
          <w:tcPr>
            <w:tcW w:w="42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261</w:t>
            </w:r>
          </w:p>
        </w:tc>
        <w:tc>
          <w:tcPr>
            <w:tcW w:w="11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229</w:t>
            </w:r>
          </w:p>
        </w:tc>
        <w:tc>
          <w:tcPr>
            <w:tcW w:w="120" w:type="dxa"/>
            <w:tcBorders/>
            <w:shd w:fill="CCEEFF" w:val="clear"/>
            <w:vAlign w:val="bottom"/>
          </w:tcPr>
          <w:p>
            <w:pPr>
              <w:pStyle w:val="TableContents"/>
              <w:spacing w:before="0" w:after="283"/>
              <w:rPr/>
            </w:pPr>
            <w:r>
              <w:rPr/>
              <w:t> </w:t>
            </w:r>
          </w:p>
        </w:tc>
      </w:tr>
      <w:tr>
        <w:trPr/>
        <w:tc>
          <w:tcPr>
            <w:tcW w:w="6623" w:type="dxa"/>
            <w:tcBorders/>
            <w:shd w:fill="auto" w:val="clear"/>
            <w:vAlign w:val="bottom"/>
          </w:tcPr>
          <w:p>
            <w:pPr>
              <w:pStyle w:val="TableContents"/>
              <w:spacing w:before="0" w:after="0"/>
              <w:ind w:left="225" w:right="0" w:hanging="225"/>
              <w:rPr/>
            </w:pPr>
            <w:r>
              <w:rPr/>
              <w:t>Goodwill</w:t>
            </w:r>
          </w:p>
        </w:tc>
        <w:tc>
          <w:tcPr>
            <w:tcW w:w="42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3,591</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3,591</w:t>
            </w:r>
          </w:p>
        </w:tc>
        <w:tc>
          <w:tcPr>
            <w:tcW w:w="120" w:type="dxa"/>
            <w:tcBorders/>
            <w:shd w:fill="auto" w:val="clear"/>
            <w:vAlign w:val="bottom"/>
          </w:tcPr>
          <w:p>
            <w:pPr>
              <w:pStyle w:val="TableContents"/>
              <w:spacing w:before="0" w:after="283"/>
              <w:rPr/>
            </w:pPr>
            <w:r>
              <w:rPr/>
              <w:t> </w:t>
            </w:r>
          </w:p>
        </w:tc>
      </w:tr>
      <w:tr>
        <w:trPr/>
        <w:tc>
          <w:tcPr>
            <w:tcW w:w="6623" w:type="dxa"/>
            <w:tcBorders/>
            <w:shd w:fill="CCEEFF" w:val="clear"/>
            <w:vAlign w:val="bottom"/>
          </w:tcPr>
          <w:p>
            <w:pPr>
              <w:pStyle w:val="TableContents"/>
              <w:spacing w:before="0" w:after="0"/>
              <w:ind w:left="225" w:right="0" w:hanging="225"/>
              <w:rPr/>
            </w:pPr>
            <w:r>
              <w:rPr/>
              <w:t>Other assets</w:t>
            </w:r>
          </w:p>
        </w:tc>
        <w:tc>
          <w:tcPr>
            <w:tcW w:w="42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4,012</w:t>
            </w:r>
          </w:p>
        </w:tc>
        <w:tc>
          <w:tcPr>
            <w:tcW w:w="11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4,110</w:t>
            </w:r>
          </w:p>
        </w:tc>
        <w:tc>
          <w:tcPr>
            <w:tcW w:w="120" w:type="dxa"/>
            <w:tcBorders/>
            <w:shd w:fill="CCEEFF" w:val="clear"/>
            <w:vAlign w:val="bottom"/>
          </w:tcPr>
          <w:p>
            <w:pPr>
              <w:pStyle w:val="TableContents"/>
              <w:spacing w:before="0" w:after="283"/>
              <w:rPr/>
            </w:pPr>
            <w:r>
              <w:rPr/>
              <w:t> </w:t>
            </w:r>
          </w:p>
        </w:tc>
      </w:tr>
      <w:tr>
        <w:trPr/>
        <w:tc>
          <w:tcPr>
            <w:tcW w:w="662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12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12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6623" w:type="dxa"/>
            <w:tcBorders/>
            <w:shd w:fill="auto" w:val="clear"/>
            <w:vAlign w:val="bottom"/>
          </w:tcPr>
          <w:p>
            <w:pPr>
              <w:pStyle w:val="TableContents"/>
              <w:spacing w:before="0" w:after="0"/>
              <w:ind w:left="225" w:right="0" w:hanging="225"/>
              <w:rPr/>
            </w:pPr>
            <w:r>
              <w:rPr/>
              <w:t> </w:t>
            </w:r>
          </w:p>
        </w:tc>
        <w:tc>
          <w:tcPr>
            <w:tcW w:w="42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68" w:type="dxa"/>
            <w:tcBorders/>
            <w:shd w:fill="auto" w:val="clear"/>
            <w:vAlign w:val="bottom"/>
          </w:tcPr>
          <w:p>
            <w:pPr>
              <w:pStyle w:val="TableContents"/>
              <w:spacing w:before="0" w:after="283"/>
              <w:jc w:val="right"/>
              <w:rPr/>
            </w:pPr>
            <w:r>
              <w:rPr/>
              <w:t>121,587</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051" w:type="dxa"/>
            <w:tcBorders/>
            <w:shd w:fill="auto" w:val="clear"/>
            <w:vAlign w:val="bottom"/>
          </w:tcPr>
          <w:p>
            <w:pPr>
              <w:pStyle w:val="TableContents"/>
              <w:spacing w:before="0" w:after="283"/>
              <w:jc w:val="right"/>
              <w:rPr/>
            </w:pPr>
            <w:r>
              <w:rPr/>
              <w:t>107,494</w:t>
            </w:r>
          </w:p>
        </w:tc>
        <w:tc>
          <w:tcPr>
            <w:tcW w:w="120" w:type="dxa"/>
            <w:tcBorders/>
            <w:shd w:fill="auto" w:val="clear"/>
            <w:vAlign w:val="bottom"/>
          </w:tcPr>
          <w:p>
            <w:pPr>
              <w:pStyle w:val="TableContents"/>
              <w:spacing w:before="0" w:after="283"/>
              <w:rPr/>
            </w:pPr>
            <w:r>
              <w:rPr/>
              <w:t> </w:t>
            </w:r>
          </w:p>
        </w:tc>
      </w:tr>
      <w:tr>
        <w:trPr/>
        <w:tc>
          <w:tcPr>
            <w:tcW w:w="662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12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124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6623" w:type="dxa"/>
            <w:tcBorders/>
            <w:shd w:fill="auto" w:val="clear"/>
            <w:vAlign w:val="bottom"/>
          </w:tcPr>
          <w:p>
            <w:pPr>
              <w:pStyle w:val="TableContents"/>
              <w:spacing w:before="0" w:after="0"/>
              <w:ind w:left="225" w:right="0" w:hanging="225"/>
              <w:rPr/>
            </w:pPr>
            <w:r>
              <w:rPr/>
              <w:t> </w:t>
            </w:r>
          </w:p>
        </w:tc>
        <w:tc>
          <w:tcPr>
            <w:tcW w:w="42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6623" w:type="dxa"/>
            <w:tcBorders/>
            <w:shd w:fill="CCEEFF" w:val="clear"/>
            <w:vAlign w:val="bottom"/>
          </w:tcPr>
          <w:p>
            <w:pPr>
              <w:pStyle w:val="TableContents"/>
              <w:spacing w:before="0" w:after="0"/>
              <w:ind w:left="225" w:right="0" w:hanging="225"/>
              <w:rPr>
                <w:b/>
              </w:rPr>
            </w:pPr>
            <w:r>
              <w:rPr>
                <w:b/>
              </w:rPr>
              <w:t>Liabilities and shareholders equity</w:t>
            </w:r>
          </w:p>
        </w:tc>
        <w:tc>
          <w:tcPr>
            <w:tcW w:w="42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r>
      <w:tr>
        <w:trPr/>
        <w:tc>
          <w:tcPr>
            <w:tcW w:w="6623" w:type="dxa"/>
            <w:tcBorders/>
            <w:shd w:fill="auto" w:val="clear"/>
            <w:vAlign w:val="bottom"/>
          </w:tcPr>
          <w:p>
            <w:pPr>
              <w:pStyle w:val="TableContents"/>
              <w:spacing w:before="0" w:after="0"/>
              <w:ind w:left="225" w:right="0" w:hanging="225"/>
              <w:rPr/>
            </w:pPr>
            <w:r>
              <w:rPr/>
              <w:t>Current liabilities:</w:t>
            </w:r>
          </w:p>
        </w:tc>
        <w:tc>
          <w:tcPr>
            <w:tcW w:w="42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6623" w:type="dxa"/>
            <w:tcBorders/>
            <w:shd w:fill="CCEEFF" w:val="clear"/>
            <w:vAlign w:val="bottom"/>
          </w:tcPr>
          <w:p>
            <w:pPr>
              <w:pStyle w:val="TableContents"/>
              <w:spacing w:before="0" w:after="0"/>
              <w:ind w:left="450" w:right="0" w:hanging="225"/>
              <w:rPr/>
            </w:pPr>
            <w:r>
              <w:rPr/>
              <w:t>Payable to growers</w:t>
            </w:r>
          </w:p>
        </w:tc>
        <w:tc>
          <w:tcPr>
            <w:tcW w:w="42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68" w:type="dxa"/>
            <w:tcBorders/>
            <w:shd w:fill="CCEEFF" w:val="clear"/>
            <w:vAlign w:val="bottom"/>
          </w:tcPr>
          <w:p>
            <w:pPr>
              <w:pStyle w:val="TableContents"/>
              <w:spacing w:before="0" w:after="283"/>
              <w:jc w:val="right"/>
              <w:rPr/>
            </w:pPr>
            <w:r>
              <w:rPr/>
              <w:t>2,745</w:t>
            </w:r>
          </w:p>
        </w:tc>
        <w:tc>
          <w:tcPr>
            <w:tcW w:w="11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51" w:type="dxa"/>
            <w:tcBorders/>
            <w:shd w:fill="CCEEFF" w:val="clear"/>
            <w:vAlign w:val="bottom"/>
          </w:tcPr>
          <w:p>
            <w:pPr>
              <w:pStyle w:val="TableContents"/>
              <w:spacing w:before="0" w:after="283"/>
              <w:jc w:val="right"/>
              <w:rPr/>
            </w:pPr>
            <w:r>
              <w:rPr/>
              <w:t>6,334</w:t>
            </w:r>
          </w:p>
        </w:tc>
        <w:tc>
          <w:tcPr>
            <w:tcW w:w="120" w:type="dxa"/>
            <w:tcBorders/>
            <w:shd w:fill="CCEEFF" w:val="clear"/>
            <w:vAlign w:val="bottom"/>
          </w:tcPr>
          <w:p>
            <w:pPr>
              <w:pStyle w:val="TableContents"/>
              <w:spacing w:before="0" w:after="283"/>
              <w:rPr/>
            </w:pPr>
            <w:r>
              <w:rPr/>
              <w:t> </w:t>
            </w:r>
          </w:p>
        </w:tc>
      </w:tr>
      <w:tr>
        <w:trPr/>
        <w:tc>
          <w:tcPr>
            <w:tcW w:w="6623" w:type="dxa"/>
            <w:tcBorders/>
            <w:shd w:fill="auto" w:val="clear"/>
            <w:vAlign w:val="bottom"/>
          </w:tcPr>
          <w:p>
            <w:pPr>
              <w:pStyle w:val="TableContents"/>
              <w:spacing w:before="0" w:after="0"/>
              <w:ind w:left="450" w:right="0" w:hanging="225"/>
              <w:rPr/>
            </w:pPr>
            <w:r>
              <w:rPr/>
              <w:t>Trade accounts payable</w:t>
            </w:r>
          </w:p>
        </w:tc>
        <w:tc>
          <w:tcPr>
            <w:tcW w:w="42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2,675</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4,046</w:t>
            </w:r>
          </w:p>
        </w:tc>
        <w:tc>
          <w:tcPr>
            <w:tcW w:w="120" w:type="dxa"/>
            <w:tcBorders/>
            <w:shd w:fill="auto" w:val="clear"/>
            <w:vAlign w:val="bottom"/>
          </w:tcPr>
          <w:p>
            <w:pPr>
              <w:pStyle w:val="TableContents"/>
              <w:spacing w:before="0" w:after="283"/>
              <w:rPr/>
            </w:pPr>
            <w:r>
              <w:rPr/>
              <w:t> </w:t>
            </w:r>
          </w:p>
        </w:tc>
      </w:tr>
      <w:tr>
        <w:trPr/>
        <w:tc>
          <w:tcPr>
            <w:tcW w:w="6623" w:type="dxa"/>
            <w:tcBorders/>
            <w:shd w:fill="CCEEFF" w:val="clear"/>
            <w:vAlign w:val="bottom"/>
          </w:tcPr>
          <w:p>
            <w:pPr>
              <w:pStyle w:val="TableContents"/>
              <w:spacing w:before="0" w:after="0"/>
              <w:ind w:left="450" w:right="0" w:hanging="225"/>
              <w:rPr/>
            </w:pPr>
            <w:r>
              <w:rPr/>
              <w:t>Accrued expenses</w:t>
            </w:r>
          </w:p>
        </w:tc>
        <w:tc>
          <w:tcPr>
            <w:tcW w:w="42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15,562</w:t>
            </w:r>
          </w:p>
        </w:tc>
        <w:tc>
          <w:tcPr>
            <w:tcW w:w="11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13,689</w:t>
            </w:r>
          </w:p>
        </w:tc>
        <w:tc>
          <w:tcPr>
            <w:tcW w:w="120" w:type="dxa"/>
            <w:tcBorders/>
            <w:shd w:fill="CCEEFF" w:val="clear"/>
            <w:vAlign w:val="bottom"/>
          </w:tcPr>
          <w:p>
            <w:pPr>
              <w:pStyle w:val="TableContents"/>
              <w:spacing w:before="0" w:after="283"/>
              <w:rPr/>
            </w:pPr>
            <w:r>
              <w:rPr/>
              <w:t> </w:t>
            </w:r>
          </w:p>
        </w:tc>
      </w:tr>
      <w:tr>
        <w:trPr/>
        <w:tc>
          <w:tcPr>
            <w:tcW w:w="6623" w:type="dxa"/>
            <w:tcBorders/>
            <w:shd w:fill="auto" w:val="clear"/>
            <w:vAlign w:val="bottom"/>
          </w:tcPr>
          <w:p>
            <w:pPr>
              <w:pStyle w:val="TableContents"/>
              <w:spacing w:before="0" w:after="0"/>
              <w:ind w:left="450" w:right="0" w:hanging="225"/>
              <w:rPr/>
            </w:pPr>
            <w:r>
              <w:rPr/>
              <w:t>Short-term borrowings</w:t>
            </w:r>
          </w:p>
        </w:tc>
        <w:tc>
          <w:tcPr>
            <w:tcW w:w="42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4,791</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3,804</w:t>
            </w:r>
          </w:p>
        </w:tc>
        <w:tc>
          <w:tcPr>
            <w:tcW w:w="120" w:type="dxa"/>
            <w:tcBorders/>
            <w:shd w:fill="auto" w:val="clear"/>
            <w:vAlign w:val="bottom"/>
          </w:tcPr>
          <w:p>
            <w:pPr>
              <w:pStyle w:val="TableContents"/>
              <w:spacing w:before="0" w:after="283"/>
              <w:rPr/>
            </w:pPr>
            <w:r>
              <w:rPr/>
              <w:t> </w:t>
            </w:r>
          </w:p>
        </w:tc>
      </w:tr>
      <w:tr>
        <w:trPr/>
        <w:tc>
          <w:tcPr>
            <w:tcW w:w="6623" w:type="dxa"/>
            <w:tcBorders/>
            <w:shd w:fill="CCEEFF" w:val="clear"/>
            <w:vAlign w:val="bottom"/>
          </w:tcPr>
          <w:p>
            <w:pPr>
              <w:pStyle w:val="TableContents"/>
              <w:spacing w:before="0" w:after="0"/>
              <w:ind w:left="450" w:right="0" w:hanging="225"/>
              <w:rPr/>
            </w:pPr>
            <w:r>
              <w:rPr/>
              <w:t>Dividend payable</w:t>
            </w:r>
          </w:p>
        </w:tc>
        <w:tc>
          <w:tcPr>
            <w:tcW w:w="42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4,573</w:t>
            </w:r>
          </w:p>
        </w:tc>
        <w:tc>
          <w:tcPr>
            <w:tcW w:w="120" w:type="dxa"/>
            <w:tcBorders/>
            <w:shd w:fill="CCEEFF" w:val="clear"/>
            <w:vAlign w:val="bottom"/>
          </w:tcPr>
          <w:p>
            <w:pPr>
              <w:pStyle w:val="TableContents"/>
              <w:spacing w:before="0" w:after="283"/>
              <w:rPr/>
            </w:pPr>
            <w:r>
              <w:rPr/>
              <w:t> </w:t>
            </w:r>
          </w:p>
        </w:tc>
      </w:tr>
      <w:tr>
        <w:trPr/>
        <w:tc>
          <w:tcPr>
            <w:tcW w:w="6623" w:type="dxa"/>
            <w:tcBorders/>
            <w:shd w:fill="auto" w:val="clear"/>
            <w:vAlign w:val="bottom"/>
          </w:tcPr>
          <w:p>
            <w:pPr>
              <w:pStyle w:val="TableContents"/>
              <w:spacing w:before="0" w:after="0"/>
              <w:ind w:left="450" w:right="0" w:hanging="225"/>
              <w:rPr/>
            </w:pPr>
            <w:r>
              <w:rPr/>
              <w:t>Current portion of long-term obligations</w:t>
            </w:r>
          </w:p>
        </w:tc>
        <w:tc>
          <w:tcPr>
            <w:tcW w:w="42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1,308</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1,308</w:t>
            </w:r>
          </w:p>
        </w:tc>
        <w:tc>
          <w:tcPr>
            <w:tcW w:w="120" w:type="dxa"/>
            <w:tcBorders/>
            <w:shd w:fill="auto" w:val="clear"/>
            <w:vAlign w:val="bottom"/>
          </w:tcPr>
          <w:p>
            <w:pPr>
              <w:pStyle w:val="TableContents"/>
              <w:spacing w:before="0" w:after="283"/>
              <w:rPr/>
            </w:pPr>
            <w:r>
              <w:rPr/>
              <w:t> </w:t>
            </w:r>
          </w:p>
        </w:tc>
      </w:tr>
      <w:tr>
        <w:trPr/>
        <w:tc>
          <w:tcPr>
            <w:tcW w:w="662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12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12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6623" w:type="dxa"/>
            <w:tcBorders/>
            <w:shd w:fill="CCEEFF" w:val="clear"/>
            <w:vAlign w:val="bottom"/>
          </w:tcPr>
          <w:p>
            <w:pPr>
              <w:pStyle w:val="TableContents"/>
              <w:spacing w:before="0" w:after="0"/>
              <w:ind w:left="675" w:right="0" w:hanging="225"/>
              <w:rPr/>
            </w:pPr>
            <w:r>
              <w:rPr/>
              <w:t>Total current liabilities</w:t>
            </w:r>
          </w:p>
        </w:tc>
        <w:tc>
          <w:tcPr>
            <w:tcW w:w="42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27,081</w:t>
            </w:r>
          </w:p>
        </w:tc>
        <w:tc>
          <w:tcPr>
            <w:tcW w:w="11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33,754</w:t>
            </w:r>
          </w:p>
        </w:tc>
        <w:tc>
          <w:tcPr>
            <w:tcW w:w="120" w:type="dxa"/>
            <w:tcBorders/>
            <w:shd w:fill="CCEEFF" w:val="clear"/>
            <w:vAlign w:val="bottom"/>
          </w:tcPr>
          <w:p>
            <w:pPr>
              <w:pStyle w:val="TableContents"/>
              <w:spacing w:before="0" w:after="283"/>
              <w:rPr/>
            </w:pPr>
            <w:r>
              <w:rPr/>
              <w:t> </w:t>
            </w:r>
          </w:p>
        </w:tc>
      </w:tr>
      <w:tr>
        <w:trPr/>
        <w:tc>
          <w:tcPr>
            <w:tcW w:w="6623" w:type="dxa"/>
            <w:tcBorders/>
            <w:shd w:fill="auto" w:val="clear"/>
            <w:vAlign w:val="bottom"/>
          </w:tcPr>
          <w:p>
            <w:pPr>
              <w:pStyle w:val="TableContents"/>
              <w:spacing w:before="0" w:after="0"/>
              <w:ind w:left="225" w:right="0" w:hanging="225"/>
              <w:rPr/>
            </w:pPr>
            <w:r>
              <w:rPr/>
              <w:t>Long-term liabilities:</w:t>
            </w:r>
          </w:p>
        </w:tc>
        <w:tc>
          <w:tcPr>
            <w:tcW w:w="42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6623" w:type="dxa"/>
            <w:tcBorders/>
            <w:shd w:fill="CCEEFF" w:val="clear"/>
            <w:vAlign w:val="bottom"/>
          </w:tcPr>
          <w:p>
            <w:pPr>
              <w:pStyle w:val="TableContents"/>
              <w:spacing w:before="0" w:after="0"/>
              <w:ind w:left="450" w:right="0" w:hanging="225"/>
              <w:rPr/>
            </w:pPr>
            <w:r>
              <w:rPr/>
              <w:t>Long-term obligations, less current portion</w:t>
            </w:r>
          </w:p>
        </w:tc>
        <w:tc>
          <w:tcPr>
            <w:tcW w:w="42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22,406</w:t>
            </w:r>
          </w:p>
        </w:tc>
        <w:tc>
          <w:tcPr>
            <w:tcW w:w="11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10,406</w:t>
            </w:r>
          </w:p>
        </w:tc>
        <w:tc>
          <w:tcPr>
            <w:tcW w:w="120" w:type="dxa"/>
            <w:tcBorders/>
            <w:shd w:fill="CCEEFF" w:val="clear"/>
            <w:vAlign w:val="bottom"/>
          </w:tcPr>
          <w:p>
            <w:pPr>
              <w:pStyle w:val="TableContents"/>
              <w:spacing w:before="0" w:after="283"/>
              <w:rPr/>
            </w:pPr>
            <w:r>
              <w:rPr/>
              <w:t> </w:t>
            </w:r>
          </w:p>
        </w:tc>
      </w:tr>
      <w:tr>
        <w:trPr/>
        <w:tc>
          <w:tcPr>
            <w:tcW w:w="6623" w:type="dxa"/>
            <w:tcBorders/>
            <w:shd w:fill="auto" w:val="clear"/>
            <w:vAlign w:val="bottom"/>
          </w:tcPr>
          <w:p>
            <w:pPr>
              <w:pStyle w:val="TableContents"/>
              <w:spacing w:before="0" w:after="0"/>
              <w:ind w:left="450" w:right="0" w:hanging="225"/>
              <w:rPr/>
            </w:pPr>
            <w:r>
              <w:rPr/>
              <w:t>Deferred income taxes</w:t>
            </w:r>
          </w:p>
        </w:tc>
        <w:tc>
          <w:tcPr>
            <w:tcW w:w="42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7,066</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4,391</w:t>
            </w:r>
          </w:p>
        </w:tc>
        <w:tc>
          <w:tcPr>
            <w:tcW w:w="120" w:type="dxa"/>
            <w:tcBorders/>
            <w:shd w:fill="auto" w:val="clear"/>
            <w:vAlign w:val="bottom"/>
          </w:tcPr>
          <w:p>
            <w:pPr>
              <w:pStyle w:val="TableContents"/>
              <w:spacing w:before="0" w:after="283"/>
              <w:rPr/>
            </w:pPr>
            <w:r>
              <w:rPr/>
              <w:t> </w:t>
            </w:r>
          </w:p>
        </w:tc>
      </w:tr>
      <w:tr>
        <w:trPr/>
        <w:tc>
          <w:tcPr>
            <w:tcW w:w="662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12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12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6623" w:type="dxa"/>
            <w:tcBorders/>
            <w:shd w:fill="CCEEFF" w:val="clear"/>
            <w:vAlign w:val="bottom"/>
          </w:tcPr>
          <w:p>
            <w:pPr>
              <w:pStyle w:val="TableContents"/>
              <w:spacing w:before="0" w:after="0"/>
              <w:ind w:left="675" w:right="0" w:hanging="225"/>
              <w:rPr/>
            </w:pPr>
            <w:r>
              <w:rPr/>
              <w:t>Total long-term liabilities</w:t>
            </w:r>
          </w:p>
        </w:tc>
        <w:tc>
          <w:tcPr>
            <w:tcW w:w="42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29,472</w:t>
            </w:r>
          </w:p>
        </w:tc>
        <w:tc>
          <w:tcPr>
            <w:tcW w:w="11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14,797</w:t>
            </w:r>
          </w:p>
        </w:tc>
        <w:tc>
          <w:tcPr>
            <w:tcW w:w="120" w:type="dxa"/>
            <w:tcBorders/>
            <w:shd w:fill="CCEEFF" w:val="clear"/>
            <w:vAlign w:val="bottom"/>
          </w:tcPr>
          <w:p>
            <w:pPr>
              <w:pStyle w:val="TableContents"/>
              <w:spacing w:before="0" w:after="283"/>
              <w:rPr/>
            </w:pPr>
            <w:r>
              <w:rPr/>
              <w:t> </w:t>
            </w:r>
          </w:p>
        </w:tc>
      </w:tr>
      <w:tr>
        <w:trPr/>
        <w:tc>
          <w:tcPr>
            <w:tcW w:w="6623" w:type="dxa"/>
            <w:tcBorders/>
            <w:shd w:fill="auto" w:val="clear"/>
            <w:vAlign w:val="bottom"/>
          </w:tcPr>
          <w:p>
            <w:pPr>
              <w:pStyle w:val="TableContents"/>
              <w:spacing w:before="0" w:after="0"/>
              <w:ind w:left="225" w:right="0" w:hanging="225"/>
              <w:rPr/>
            </w:pPr>
            <w:r>
              <w:rPr/>
              <w:t>Total shareholders equity</w:t>
            </w:r>
          </w:p>
        </w:tc>
        <w:tc>
          <w:tcPr>
            <w:tcW w:w="42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65,034</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58,943</w:t>
            </w:r>
          </w:p>
        </w:tc>
        <w:tc>
          <w:tcPr>
            <w:tcW w:w="120" w:type="dxa"/>
            <w:tcBorders/>
            <w:shd w:fill="auto" w:val="clear"/>
            <w:vAlign w:val="bottom"/>
          </w:tcPr>
          <w:p>
            <w:pPr>
              <w:pStyle w:val="TableContents"/>
              <w:spacing w:before="0" w:after="283"/>
              <w:rPr/>
            </w:pPr>
            <w:r>
              <w:rPr/>
              <w:t> </w:t>
            </w:r>
          </w:p>
        </w:tc>
      </w:tr>
      <w:tr>
        <w:trPr/>
        <w:tc>
          <w:tcPr>
            <w:tcW w:w="662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12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12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6623" w:type="dxa"/>
            <w:tcBorders/>
            <w:shd w:fill="CCEEFF" w:val="clear"/>
            <w:vAlign w:val="bottom"/>
          </w:tcPr>
          <w:p>
            <w:pPr>
              <w:pStyle w:val="TableContents"/>
              <w:spacing w:before="0" w:after="0"/>
              <w:ind w:left="225" w:right="0" w:hanging="225"/>
              <w:rPr/>
            </w:pPr>
            <w:r>
              <w:rPr/>
              <w:t> </w:t>
            </w:r>
          </w:p>
        </w:tc>
        <w:tc>
          <w:tcPr>
            <w:tcW w:w="42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68" w:type="dxa"/>
            <w:tcBorders/>
            <w:shd w:fill="CCEEFF" w:val="clear"/>
            <w:vAlign w:val="bottom"/>
          </w:tcPr>
          <w:p>
            <w:pPr>
              <w:pStyle w:val="TableContents"/>
              <w:spacing w:before="0" w:after="283"/>
              <w:jc w:val="right"/>
              <w:rPr/>
            </w:pPr>
            <w:r>
              <w:rPr/>
              <w:t>121,587</w:t>
            </w:r>
          </w:p>
        </w:tc>
        <w:tc>
          <w:tcPr>
            <w:tcW w:w="11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51" w:type="dxa"/>
            <w:tcBorders/>
            <w:shd w:fill="CCEEFF" w:val="clear"/>
            <w:vAlign w:val="bottom"/>
          </w:tcPr>
          <w:p>
            <w:pPr>
              <w:pStyle w:val="TableContents"/>
              <w:spacing w:before="0" w:after="283"/>
              <w:jc w:val="right"/>
              <w:rPr/>
            </w:pPr>
            <w:r>
              <w:rPr/>
              <w:t>107,494</w:t>
            </w:r>
          </w:p>
        </w:tc>
        <w:tc>
          <w:tcPr>
            <w:tcW w:w="120" w:type="dxa"/>
            <w:tcBorders/>
            <w:shd w:fill="CCEEFF" w:val="clear"/>
            <w:vAlign w:val="bottom"/>
          </w:tcPr>
          <w:p>
            <w:pPr>
              <w:pStyle w:val="TableContents"/>
              <w:spacing w:before="0" w:after="283"/>
              <w:rPr/>
            </w:pPr>
            <w:r>
              <w:rPr/>
              <w:t> </w:t>
            </w:r>
          </w:p>
        </w:tc>
      </w:tr>
      <w:tr>
        <w:trPr/>
        <w:tc>
          <w:tcPr>
            <w:tcW w:w="662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12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124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CONSOLIDATED CONDENSED STATEMENTS OF OPERATIONS (UNAUDITED)</w:t>
        <w:br/>
        <w:t>(All amounts in thousands, except per share amounts)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029"/>
        <w:gridCol w:w="455"/>
        <w:gridCol w:w="167"/>
        <w:gridCol w:w="825"/>
        <w:gridCol w:w="140"/>
        <w:gridCol w:w="460"/>
        <w:gridCol w:w="167"/>
        <w:gridCol w:w="826"/>
        <w:gridCol w:w="136"/>
      </w:tblGrid>
      <w:tr>
        <w:trPr/>
        <w:tc>
          <w:tcPr>
            <w:tcW w:w="7029"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7029"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2585" w:type="dxa"/>
            <w:gridSpan w:val="6"/>
            <w:tcBorders/>
            <w:shd w:fill="auto" w:val="clear"/>
            <w:vAlign w:val="bottom"/>
          </w:tcPr>
          <w:p>
            <w:pPr>
              <w:pStyle w:val="TableContents"/>
              <w:spacing w:before="0" w:after="283"/>
              <w:jc w:val="center"/>
              <w:rPr>
                <w:b/>
              </w:rPr>
            </w:pPr>
            <w:r>
              <w:rPr>
                <w:b/>
              </w:rPr>
              <w:t>Three months ended</w:t>
            </w:r>
          </w:p>
        </w:tc>
        <w:tc>
          <w:tcPr>
            <w:tcW w:w="136" w:type="dxa"/>
            <w:tcBorders/>
            <w:shd w:fill="auto" w:val="clear"/>
            <w:vAlign w:val="bottom"/>
          </w:tcPr>
          <w:p>
            <w:pPr>
              <w:pStyle w:val="TableContents"/>
              <w:spacing w:before="0" w:after="283"/>
              <w:rPr/>
            </w:pPr>
            <w:r>
              <w:rPr/>
              <w:t> </w:t>
            </w:r>
          </w:p>
        </w:tc>
      </w:tr>
      <w:tr>
        <w:trPr/>
        <w:tc>
          <w:tcPr>
            <w:tcW w:w="7029"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2585"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January 31,</w:t>
            </w:r>
          </w:p>
        </w:tc>
        <w:tc>
          <w:tcPr>
            <w:tcW w:w="136" w:type="dxa"/>
            <w:tcBorders/>
            <w:shd w:fill="auto" w:val="clear"/>
            <w:vAlign w:val="bottom"/>
          </w:tcPr>
          <w:p>
            <w:pPr>
              <w:pStyle w:val="TableContents"/>
              <w:spacing w:before="0" w:after="283"/>
              <w:rPr/>
            </w:pPr>
            <w:r>
              <w:rPr/>
              <w:t> </w:t>
            </w:r>
          </w:p>
        </w:tc>
      </w:tr>
      <w:tr>
        <w:trPr/>
        <w:tc>
          <w:tcPr>
            <w:tcW w:w="7029"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99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40"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99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6" w:type="dxa"/>
            <w:tcBorders/>
            <w:shd w:fill="auto" w:val="clear"/>
            <w:vAlign w:val="bottom"/>
          </w:tcPr>
          <w:p>
            <w:pPr>
              <w:pStyle w:val="TableContents"/>
              <w:spacing w:before="0" w:after="283"/>
              <w:rPr/>
            </w:pPr>
            <w:r>
              <w:rPr/>
              <w:t> </w:t>
            </w:r>
          </w:p>
        </w:tc>
      </w:tr>
      <w:tr>
        <w:trPr/>
        <w:tc>
          <w:tcPr>
            <w:tcW w:w="7029" w:type="dxa"/>
            <w:tcBorders/>
            <w:shd w:fill="auto" w:val="clear"/>
            <w:vAlign w:val="bottom"/>
          </w:tcPr>
          <w:p>
            <w:pPr>
              <w:pStyle w:val="TableContents"/>
              <w:spacing w:before="0" w:after="0"/>
              <w:ind w:left="225" w:right="0" w:hanging="225"/>
              <w:rPr/>
            </w:pPr>
            <w:r>
              <w:rPr/>
              <w:t> </w:t>
            </w:r>
          </w:p>
        </w:tc>
        <w:tc>
          <w:tcPr>
            <w:tcW w:w="45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7029" w:type="dxa"/>
            <w:tcBorders/>
            <w:shd w:fill="CCEEFF" w:val="clear"/>
            <w:vAlign w:val="bottom"/>
          </w:tcPr>
          <w:p>
            <w:pPr>
              <w:pStyle w:val="TableContents"/>
              <w:spacing w:before="0" w:after="0"/>
              <w:ind w:left="225" w:right="0" w:hanging="225"/>
              <w:rPr/>
            </w:pPr>
            <w:r>
              <w:rPr/>
              <w:t>Net sales</w:t>
            </w:r>
          </w:p>
        </w:tc>
        <w:tc>
          <w:tcPr>
            <w:tcW w:w="45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25" w:type="dxa"/>
            <w:tcBorders/>
            <w:shd w:fill="CCEEFF" w:val="clear"/>
            <w:vAlign w:val="bottom"/>
          </w:tcPr>
          <w:p>
            <w:pPr>
              <w:pStyle w:val="TableContents"/>
              <w:spacing w:before="0" w:after="283"/>
              <w:jc w:val="right"/>
              <w:rPr/>
            </w:pPr>
            <w:r>
              <w:rPr/>
              <w:t>57,293</w:t>
            </w:r>
          </w:p>
        </w:tc>
        <w:tc>
          <w:tcPr>
            <w:tcW w:w="140"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26" w:type="dxa"/>
            <w:tcBorders/>
            <w:shd w:fill="CCEEFF" w:val="clear"/>
            <w:vAlign w:val="bottom"/>
          </w:tcPr>
          <w:p>
            <w:pPr>
              <w:pStyle w:val="TableContents"/>
              <w:spacing w:before="0" w:after="283"/>
              <w:jc w:val="right"/>
              <w:rPr/>
            </w:pPr>
            <w:r>
              <w:rPr/>
              <w:t>50,647</w:t>
            </w:r>
          </w:p>
        </w:tc>
        <w:tc>
          <w:tcPr>
            <w:tcW w:w="136" w:type="dxa"/>
            <w:tcBorders/>
            <w:shd w:fill="CCEEFF" w:val="clear"/>
            <w:vAlign w:val="bottom"/>
          </w:tcPr>
          <w:p>
            <w:pPr>
              <w:pStyle w:val="TableContents"/>
              <w:spacing w:before="0" w:after="283"/>
              <w:rPr/>
            </w:pPr>
            <w:r>
              <w:rPr/>
              <w:t> </w:t>
            </w:r>
          </w:p>
        </w:tc>
      </w:tr>
      <w:tr>
        <w:trPr/>
        <w:tc>
          <w:tcPr>
            <w:tcW w:w="7029" w:type="dxa"/>
            <w:tcBorders/>
            <w:shd w:fill="auto" w:val="clear"/>
            <w:vAlign w:val="bottom"/>
          </w:tcPr>
          <w:p>
            <w:pPr>
              <w:pStyle w:val="TableContents"/>
              <w:spacing w:before="0" w:after="0"/>
              <w:ind w:left="225" w:right="0" w:hanging="225"/>
              <w:rPr/>
            </w:pPr>
            <w:r>
              <w:rPr/>
              <w:t>Cost of sales</w:t>
            </w:r>
          </w:p>
        </w:tc>
        <w:tc>
          <w:tcPr>
            <w:tcW w:w="45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50,325</w:t>
            </w:r>
          </w:p>
        </w:tc>
        <w:tc>
          <w:tcPr>
            <w:tcW w:w="140"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47,275</w:t>
            </w:r>
          </w:p>
        </w:tc>
        <w:tc>
          <w:tcPr>
            <w:tcW w:w="136" w:type="dxa"/>
            <w:tcBorders/>
            <w:shd w:fill="auto" w:val="clear"/>
            <w:vAlign w:val="bottom"/>
          </w:tcPr>
          <w:p>
            <w:pPr>
              <w:pStyle w:val="TableContents"/>
              <w:spacing w:before="0" w:after="283"/>
              <w:rPr/>
            </w:pPr>
            <w:r>
              <w:rPr/>
              <w:t> </w:t>
            </w:r>
          </w:p>
        </w:tc>
      </w:tr>
      <w:tr>
        <w:trPr/>
        <w:tc>
          <w:tcPr>
            <w:tcW w:w="702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60" w:type="dxa"/>
            <w:tcBorders/>
            <w:shd w:fill="auto" w:val="clear"/>
            <w:vAlign w:val="center"/>
          </w:tcPr>
          <w:p>
            <w:pPr>
              <w:pStyle w:val="TableContents"/>
              <w:spacing w:before="0" w:after="283"/>
              <w:rPr/>
            </w:pPr>
            <w:r>
              <w:rPr/>
              <w:t> </w:t>
            </w:r>
          </w:p>
        </w:tc>
        <w:tc>
          <w:tcPr>
            <w:tcW w:w="9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7029" w:type="dxa"/>
            <w:tcBorders/>
            <w:shd w:fill="CCEEFF" w:val="clear"/>
            <w:vAlign w:val="bottom"/>
          </w:tcPr>
          <w:p>
            <w:pPr>
              <w:pStyle w:val="TableContents"/>
              <w:spacing w:before="0" w:after="0"/>
              <w:ind w:left="225" w:right="0" w:hanging="225"/>
              <w:rPr/>
            </w:pPr>
            <w:r>
              <w:rPr/>
              <w:t>Gross margin</w:t>
            </w:r>
          </w:p>
        </w:tc>
        <w:tc>
          <w:tcPr>
            <w:tcW w:w="45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6,968</w:t>
            </w:r>
          </w:p>
        </w:tc>
        <w:tc>
          <w:tcPr>
            <w:tcW w:w="140"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3,372</w:t>
            </w:r>
          </w:p>
        </w:tc>
        <w:tc>
          <w:tcPr>
            <w:tcW w:w="136" w:type="dxa"/>
            <w:tcBorders/>
            <w:shd w:fill="CCEEFF" w:val="clear"/>
            <w:vAlign w:val="bottom"/>
          </w:tcPr>
          <w:p>
            <w:pPr>
              <w:pStyle w:val="TableContents"/>
              <w:spacing w:before="0" w:after="283"/>
              <w:rPr/>
            </w:pPr>
            <w:r>
              <w:rPr/>
              <w:t> </w:t>
            </w:r>
          </w:p>
        </w:tc>
      </w:tr>
      <w:tr>
        <w:trPr/>
        <w:tc>
          <w:tcPr>
            <w:tcW w:w="7029" w:type="dxa"/>
            <w:tcBorders/>
            <w:shd w:fill="auto" w:val="clear"/>
            <w:vAlign w:val="bottom"/>
          </w:tcPr>
          <w:p>
            <w:pPr>
              <w:pStyle w:val="TableContents"/>
              <w:spacing w:before="0" w:after="0"/>
              <w:ind w:left="225" w:right="0" w:hanging="225"/>
              <w:rPr/>
            </w:pPr>
            <w:r>
              <w:rPr/>
              <w:t>Selling, general and administrative</w:t>
            </w:r>
          </w:p>
        </w:tc>
        <w:tc>
          <w:tcPr>
            <w:tcW w:w="45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4,631</w:t>
            </w:r>
          </w:p>
        </w:tc>
        <w:tc>
          <w:tcPr>
            <w:tcW w:w="140"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4,406</w:t>
            </w:r>
          </w:p>
        </w:tc>
        <w:tc>
          <w:tcPr>
            <w:tcW w:w="136" w:type="dxa"/>
            <w:tcBorders/>
            <w:shd w:fill="auto" w:val="clear"/>
            <w:vAlign w:val="bottom"/>
          </w:tcPr>
          <w:p>
            <w:pPr>
              <w:pStyle w:val="TableContents"/>
              <w:spacing w:before="0" w:after="283"/>
              <w:rPr/>
            </w:pPr>
            <w:r>
              <w:rPr/>
              <w:t> </w:t>
            </w:r>
          </w:p>
        </w:tc>
      </w:tr>
      <w:tr>
        <w:trPr/>
        <w:tc>
          <w:tcPr>
            <w:tcW w:w="702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60" w:type="dxa"/>
            <w:tcBorders/>
            <w:shd w:fill="auto" w:val="clear"/>
            <w:vAlign w:val="center"/>
          </w:tcPr>
          <w:p>
            <w:pPr>
              <w:pStyle w:val="TableContents"/>
              <w:spacing w:before="0" w:after="283"/>
              <w:rPr/>
            </w:pPr>
            <w:r>
              <w:rPr/>
              <w:t> </w:t>
            </w:r>
          </w:p>
        </w:tc>
        <w:tc>
          <w:tcPr>
            <w:tcW w:w="9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7029" w:type="dxa"/>
            <w:tcBorders/>
            <w:shd w:fill="CCEEFF" w:val="clear"/>
            <w:vAlign w:val="bottom"/>
          </w:tcPr>
          <w:p>
            <w:pPr>
              <w:pStyle w:val="TableContents"/>
              <w:spacing w:before="0" w:after="0"/>
              <w:ind w:left="225" w:right="0" w:hanging="225"/>
              <w:rPr/>
            </w:pPr>
            <w:r>
              <w:rPr/>
              <w:t>Operating income (loss)</w:t>
            </w:r>
          </w:p>
        </w:tc>
        <w:tc>
          <w:tcPr>
            <w:tcW w:w="45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2,337</w:t>
            </w:r>
          </w:p>
        </w:tc>
        <w:tc>
          <w:tcPr>
            <w:tcW w:w="140"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283"/>
              <w:jc w:val="right"/>
              <w:rPr/>
            </w:pPr>
            <w:r>
              <w:rPr/>
              <w:t>(1,034</w:t>
            </w:r>
          </w:p>
        </w:tc>
        <w:tc>
          <w:tcPr>
            <w:tcW w:w="136" w:type="dxa"/>
            <w:tcBorders/>
            <w:shd w:fill="CCEEFF" w:val="clear"/>
            <w:vAlign w:val="bottom"/>
          </w:tcPr>
          <w:p>
            <w:pPr>
              <w:pStyle w:val="TableContents"/>
              <w:spacing w:before="0" w:after="283"/>
              <w:rPr/>
            </w:pPr>
            <w:r>
              <w:rPr/>
              <w:t>)</w:t>
            </w:r>
          </w:p>
        </w:tc>
      </w:tr>
      <w:tr>
        <w:trPr/>
        <w:tc>
          <w:tcPr>
            <w:tcW w:w="7029" w:type="dxa"/>
            <w:tcBorders/>
            <w:shd w:fill="auto" w:val="clear"/>
            <w:vAlign w:val="bottom"/>
          </w:tcPr>
          <w:p>
            <w:pPr>
              <w:pStyle w:val="TableContents"/>
              <w:spacing w:before="0" w:after="0"/>
              <w:ind w:left="225" w:right="0" w:hanging="225"/>
              <w:rPr/>
            </w:pPr>
            <w:r>
              <w:rPr/>
              <w:t>Other expense, net</w:t>
            </w:r>
          </w:p>
        </w:tc>
        <w:tc>
          <w:tcPr>
            <w:tcW w:w="45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 </w:t>
            </w:r>
          </w:p>
        </w:tc>
        <w:tc>
          <w:tcPr>
            <w:tcW w:w="825" w:type="dxa"/>
            <w:tcBorders/>
            <w:shd w:fill="auto" w:val="clear"/>
            <w:vAlign w:val="bottom"/>
          </w:tcPr>
          <w:p>
            <w:pPr>
              <w:pStyle w:val="TableContents"/>
              <w:spacing w:before="0" w:after="283"/>
              <w:jc w:val="right"/>
              <w:rPr/>
            </w:pPr>
            <w:r>
              <w:rPr/>
              <w:t>(156</w:t>
            </w:r>
          </w:p>
        </w:tc>
        <w:tc>
          <w:tcPr>
            <w:tcW w:w="140" w:type="dxa"/>
            <w:tcBorders/>
            <w:shd w:fill="auto" w:val="clear"/>
            <w:vAlign w:val="bottom"/>
          </w:tcPr>
          <w:p>
            <w:pPr>
              <w:pStyle w:val="TableContents"/>
              <w:spacing w:before="0" w:after="283"/>
              <w:rPr/>
            </w:pPr>
            <w:r>
              <w:rPr/>
              <w:t>)</w:t>
            </w:r>
          </w:p>
        </w:tc>
        <w:tc>
          <w:tcPr>
            <w:tcW w:w="4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 </w:t>
            </w:r>
          </w:p>
        </w:tc>
        <w:tc>
          <w:tcPr>
            <w:tcW w:w="826" w:type="dxa"/>
            <w:tcBorders/>
            <w:shd w:fill="auto" w:val="clear"/>
            <w:vAlign w:val="bottom"/>
          </w:tcPr>
          <w:p>
            <w:pPr>
              <w:pStyle w:val="TableContents"/>
              <w:spacing w:before="0" w:after="283"/>
              <w:jc w:val="right"/>
              <w:rPr/>
            </w:pPr>
            <w:r>
              <w:rPr/>
              <w:t>(75</w:t>
            </w:r>
          </w:p>
        </w:tc>
        <w:tc>
          <w:tcPr>
            <w:tcW w:w="136" w:type="dxa"/>
            <w:tcBorders/>
            <w:shd w:fill="auto" w:val="clear"/>
            <w:vAlign w:val="bottom"/>
          </w:tcPr>
          <w:p>
            <w:pPr>
              <w:pStyle w:val="TableContents"/>
              <w:spacing w:before="0" w:after="283"/>
              <w:rPr/>
            </w:pPr>
            <w:r>
              <w:rPr/>
              <w:t>)</w:t>
            </w:r>
          </w:p>
        </w:tc>
      </w:tr>
      <w:tr>
        <w:trPr/>
        <w:tc>
          <w:tcPr>
            <w:tcW w:w="702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60" w:type="dxa"/>
            <w:tcBorders/>
            <w:shd w:fill="auto" w:val="clear"/>
            <w:vAlign w:val="center"/>
          </w:tcPr>
          <w:p>
            <w:pPr>
              <w:pStyle w:val="TableContents"/>
              <w:spacing w:before="0" w:after="283"/>
              <w:rPr/>
            </w:pPr>
            <w:r>
              <w:rPr/>
              <w:t> </w:t>
            </w:r>
          </w:p>
        </w:tc>
        <w:tc>
          <w:tcPr>
            <w:tcW w:w="9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7029" w:type="dxa"/>
            <w:tcBorders/>
            <w:shd w:fill="CCEEFF" w:val="clear"/>
            <w:vAlign w:val="bottom"/>
          </w:tcPr>
          <w:p>
            <w:pPr>
              <w:pStyle w:val="TableContents"/>
              <w:spacing w:before="0" w:after="0"/>
              <w:ind w:left="225" w:right="0" w:hanging="225"/>
              <w:rPr/>
            </w:pPr>
            <w:r>
              <w:rPr/>
              <w:t>Income (loss) before provision (benefit) for income taxes</w:t>
            </w:r>
          </w:p>
        </w:tc>
        <w:tc>
          <w:tcPr>
            <w:tcW w:w="45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2,181</w:t>
            </w:r>
          </w:p>
        </w:tc>
        <w:tc>
          <w:tcPr>
            <w:tcW w:w="140"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283"/>
              <w:jc w:val="right"/>
              <w:rPr/>
            </w:pPr>
            <w:r>
              <w:rPr/>
              <w:t>(1,109</w:t>
            </w:r>
          </w:p>
        </w:tc>
        <w:tc>
          <w:tcPr>
            <w:tcW w:w="136" w:type="dxa"/>
            <w:tcBorders/>
            <w:shd w:fill="CCEEFF" w:val="clear"/>
            <w:vAlign w:val="bottom"/>
          </w:tcPr>
          <w:p>
            <w:pPr>
              <w:pStyle w:val="TableContents"/>
              <w:spacing w:before="0" w:after="283"/>
              <w:rPr/>
            </w:pPr>
            <w:r>
              <w:rPr/>
              <w:t>)</w:t>
            </w:r>
          </w:p>
        </w:tc>
      </w:tr>
      <w:tr>
        <w:trPr/>
        <w:tc>
          <w:tcPr>
            <w:tcW w:w="7029" w:type="dxa"/>
            <w:tcBorders/>
            <w:shd w:fill="auto" w:val="clear"/>
            <w:vAlign w:val="bottom"/>
          </w:tcPr>
          <w:p>
            <w:pPr>
              <w:pStyle w:val="TableContents"/>
              <w:spacing w:before="0" w:after="0"/>
              <w:ind w:left="225" w:right="0" w:hanging="225"/>
              <w:rPr/>
            </w:pPr>
            <w:r>
              <w:rPr/>
              <w:t>Provision (benefit) for income taxes</w:t>
            </w:r>
          </w:p>
        </w:tc>
        <w:tc>
          <w:tcPr>
            <w:tcW w:w="45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850</w:t>
            </w:r>
          </w:p>
        </w:tc>
        <w:tc>
          <w:tcPr>
            <w:tcW w:w="140"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 </w:t>
            </w:r>
          </w:p>
        </w:tc>
        <w:tc>
          <w:tcPr>
            <w:tcW w:w="826" w:type="dxa"/>
            <w:tcBorders/>
            <w:shd w:fill="auto" w:val="clear"/>
            <w:vAlign w:val="bottom"/>
          </w:tcPr>
          <w:p>
            <w:pPr>
              <w:pStyle w:val="TableContents"/>
              <w:spacing w:before="0" w:after="283"/>
              <w:jc w:val="right"/>
              <w:rPr/>
            </w:pPr>
            <w:r>
              <w:rPr/>
              <w:t>(444</w:t>
            </w:r>
          </w:p>
        </w:tc>
        <w:tc>
          <w:tcPr>
            <w:tcW w:w="136" w:type="dxa"/>
            <w:tcBorders/>
            <w:shd w:fill="auto" w:val="clear"/>
            <w:vAlign w:val="bottom"/>
          </w:tcPr>
          <w:p>
            <w:pPr>
              <w:pStyle w:val="TableContents"/>
              <w:spacing w:before="0" w:after="283"/>
              <w:rPr/>
            </w:pPr>
            <w:r>
              <w:rPr/>
              <w:t>)</w:t>
            </w:r>
          </w:p>
        </w:tc>
      </w:tr>
      <w:tr>
        <w:trPr/>
        <w:tc>
          <w:tcPr>
            <w:tcW w:w="702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60" w:type="dxa"/>
            <w:tcBorders/>
            <w:shd w:fill="auto" w:val="clear"/>
            <w:vAlign w:val="center"/>
          </w:tcPr>
          <w:p>
            <w:pPr>
              <w:pStyle w:val="TableContents"/>
              <w:spacing w:before="0" w:after="283"/>
              <w:rPr/>
            </w:pPr>
            <w:r>
              <w:rPr/>
              <w:t> </w:t>
            </w:r>
          </w:p>
        </w:tc>
        <w:tc>
          <w:tcPr>
            <w:tcW w:w="9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7029" w:type="dxa"/>
            <w:tcBorders/>
            <w:shd w:fill="CCEEFF" w:val="clear"/>
            <w:vAlign w:val="bottom"/>
          </w:tcPr>
          <w:p>
            <w:pPr>
              <w:pStyle w:val="TableContents"/>
              <w:spacing w:before="0" w:after="0"/>
              <w:ind w:left="225" w:right="0" w:hanging="225"/>
              <w:rPr/>
            </w:pPr>
            <w:r>
              <w:rPr/>
              <w:t>Net income (loss)</w:t>
            </w:r>
          </w:p>
        </w:tc>
        <w:tc>
          <w:tcPr>
            <w:tcW w:w="45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25" w:type="dxa"/>
            <w:tcBorders/>
            <w:shd w:fill="CCEEFF" w:val="clear"/>
            <w:vAlign w:val="bottom"/>
          </w:tcPr>
          <w:p>
            <w:pPr>
              <w:pStyle w:val="TableContents"/>
              <w:spacing w:before="0" w:after="283"/>
              <w:jc w:val="right"/>
              <w:rPr/>
            </w:pPr>
            <w:r>
              <w:rPr/>
              <w:t>1,331</w:t>
            </w:r>
          </w:p>
        </w:tc>
        <w:tc>
          <w:tcPr>
            <w:tcW w:w="140"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26" w:type="dxa"/>
            <w:tcBorders/>
            <w:shd w:fill="CCEEFF" w:val="clear"/>
            <w:vAlign w:val="bottom"/>
          </w:tcPr>
          <w:p>
            <w:pPr>
              <w:pStyle w:val="TableContents"/>
              <w:spacing w:before="0" w:after="283"/>
              <w:jc w:val="right"/>
              <w:rPr/>
            </w:pPr>
            <w:r>
              <w:rPr/>
              <w:t>(665</w:t>
            </w:r>
          </w:p>
        </w:tc>
        <w:tc>
          <w:tcPr>
            <w:tcW w:w="136" w:type="dxa"/>
            <w:tcBorders/>
            <w:shd w:fill="CCEEFF" w:val="clear"/>
            <w:vAlign w:val="bottom"/>
          </w:tcPr>
          <w:p>
            <w:pPr>
              <w:pStyle w:val="TableContents"/>
              <w:spacing w:before="0" w:after="283"/>
              <w:rPr/>
            </w:pPr>
            <w:r>
              <w:rPr/>
              <w:t>)</w:t>
            </w:r>
          </w:p>
        </w:tc>
      </w:tr>
      <w:tr>
        <w:trPr/>
        <w:tc>
          <w:tcPr>
            <w:tcW w:w="702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9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60" w:type="dxa"/>
            <w:tcBorders/>
            <w:shd w:fill="auto" w:val="clear"/>
            <w:vAlign w:val="center"/>
          </w:tcPr>
          <w:p>
            <w:pPr>
              <w:pStyle w:val="TableContents"/>
              <w:spacing w:before="0" w:after="283"/>
              <w:rPr/>
            </w:pPr>
            <w:r>
              <w:rPr/>
              <w:t> </w:t>
            </w:r>
          </w:p>
        </w:tc>
        <w:tc>
          <w:tcPr>
            <w:tcW w:w="9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7029" w:type="dxa"/>
            <w:tcBorders/>
            <w:shd w:fill="auto" w:val="clear"/>
            <w:vAlign w:val="bottom"/>
          </w:tcPr>
          <w:p>
            <w:pPr>
              <w:pStyle w:val="TableContents"/>
              <w:spacing w:before="0" w:after="0"/>
              <w:ind w:left="225" w:right="0" w:hanging="225"/>
              <w:rPr/>
            </w:pPr>
            <w:r>
              <w:rPr/>
              <w:t>Net income (loss) per share:</w:t>
            </w:r>
          </w:p>
        </w:tc>
        <w:tc>
          <w:tcPr>
            <w:tcW w:w="45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7029" w:type="dxa"/>
            <w:tcBorders/>
            <w:shd w:fill="CCEEFF" w:val="clear"/>
            <w:vAlign w:val="bottom"/>
          </w:tcPr>
          <w:p>
            <w:pPr>
              <w:pStyle w:val="TableContents"/>
              <w:spacing w:before="0" w:after="0"/>
              <w:ind w:left="450" w:right="0" w:hanging="225"/>
              <w:rPr/>
            </w:pPr>
            <w:r>
              <w:rPr/>
              <w:t>Basic</w:t>
            </w:r>
          </w:p>
        </w:tc>
        <w:tc>
          <w:tcPr>
            <w:tcW w:w="45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25" w:type="dxa"/>
            <w:tcBorders/>
            <w:shd w:fill="CCEEFF" w:val="clear"/>
            <w:vAlign w:val="bottom"/>
          </w:tcPr>
          <w:p>
            <w:pPr>
              <w:pStyle w:val="TableContents"/>
              <w:spacing w:before="0" w:after="283"/>
              <w:jc w:val="right"/>
              <w:rPr/>
            </w:pPr>
            <w:r>
              <w:rPr/>
              <w:t>0.09</w:t>
            </w:r>
          </w:p>
        </w:tc>
        <w:tc>
          <w:tcPr>
            <w:tcW w:w="140"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26" w:type="dxa"/>
            <w:tcBorders/>
            <w:shd w:fill="CCEEFF" w:val="clear"/>
            <w:vAlign w:val="bottom"/>
          </w:tcPr>
          <w:p>
            <w:pPr>
              <w:pStyle w:val="TableContents"/>
              <w:spacing w:before="0" w:after="283"/>
              <w:jc w:val="right"/>
              <w:rPr/>
            </w:pPr>
            <w:r>
              <w:rPr/>
              <w:t>(0.05</w:t>
            </w:r>
          </w:p>
        </w:tc>
        <w:tc>
          <w:tcPr>
            <w:tcW w:w="136" w:type="dxa"/>
            <w:tcBorders/>
            <w:shd w:fill="CCEEFF" w:val="clear"/>
            <w:vAlign w:val="bottom"/>
          </w:tcPr>
          <w:p>
            <w:pPr>
              <w:pStyle w:val="TableContents"/>
              <w:spacing w:before="0" w:after="283"/>
              <w:rPr/>
            </w:pPr>
            <w:r>
              <w:rPr/>
              <w:t>)</w:t>
            </w:r>
          </w:p>
        </w:tc>
      </w:tr>
      <w:tr>
        <w:trPr/>
        <w:tc>
          <w:tcPr>
            <w:tcW w:w="702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9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60" w:type="dxa"/>
            <w:tcBorders/>
            <w:shd w:fill="auto" w:val="clear"/>
            <w:vAlign w:val="center"/>
          </w:tcPr>
          <w:p>
            <w:pPr>
              <w:pStyle w:val="TableContents"/>
              <w:spacing w:before="0" w:after="283"/>
              <w:rPr/>
            </w:pPr>
            <w:r>
              <w:rPr/>
              <w:t> </w:t>
            </w:r>
          </w:p>
        </w:tc>
        <w:tc>
          <w:tcPr>
            <w:tcW w:w="9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7029" w:type="dxa"/>
            <w:tcBorders/>
            <w:shd w:fill="auto" w:val="clear"/>
            <w:vAlign w:val="bottom"/>
          </w:tcPr>
          <w:p>
            <w:pPr>
              <w:pStyle w:val="TableContents"/>
              <w:spacing w:before="0" w:after="0"/>
              <w:ind w:left="450" w:right="0" w:hanging="225"/>
              <w:rPr/>
            </w:pPr>
            <w:r>
              <w:rPr/>
              <w:t>Diluted</w:t>
            </w:r>
          </w:p>
        </w:tc>
        <w:tc>
          <w:tcPr>
            <w:tcW w:w="45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825" w:type="dxa"/>
            <w:tcBorders/>
            <w:shd w:fill="auto" w:val="clear"/>
            <w:vAlign w:val="bottom"/>
          </w:tcPr>
          <w:p>
            <w:pPr>
              <w:pStyle w:val="TableContents"/>
              <w:spacing w:before="0" w:after="283"/>
              <w:jc w:val="right"/>
              <w:rPr/>
            </w:pPr>
            <w:r>
              <w:rPr/>
              <w:t>0.09</w:t>
            </w:r>
          </w:p>
        </w:tc>
        <w:tc>
          <w:tcPr>
            <w:tcW w:w="140"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826" w:type="dxa"/>
            <w:tcBorders/>
            <w:shd w:fill="auto" w:val="clear"/>
            <w:vAlign w:val="bottom"/>
          </w:tcPr>
          <w:p>
            <w:pPr>
              <w:pStyle w:val="TableContents"/>
              <w:spacing w:before="0" w:after="283"/>
              <w:jc w:val="right"/>
              <w:rPr/>
            </w:pPr>
            <w:r>
              <w:rPr/>
              <w:t>(0.05</w:t>
            </w:r>
          </w:p>
        </w:tc>
        <w:tc>
          <w:tcPr>
            <w:tcW w:w="136" w:type="dxa"/>
            <w:tcBorders/>
            <w:shd w:fill="auto" w:val="clear"/>
            <w:vAlign w:val="bottom"/>
          </w:tcPr>
          <w:p>
            <w:pPr>
              <w:pStyle w:val="TableContents"/>
              <w:spacing w:before="0" w:after="283"/>
              <w:rPr/>
            </w:pPr>
            <w:r>
              <w:rPr/>
              <w:t>)</w:t>
            </w:r>
          </w:p>
        </w:tc>
      </w:tr>
      <w:tr>
        <w:trPr/>
        <w:tc>
          <w:tcPr>
            <w:tcW w:w="702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9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60" w:type="dxa"/>
            <w:tcBorders/>
            <w:shd w:fill="auto" w:val="clear"/>
            <w:vAlign w:val="center"/>
          </w:tcPr>
          <w:p>
            <w:pPr>
              <w:pStyle w:val="TableContents"/>
              <w:spacing w:before="0" w:after="283"/>
              <w:rPr/>
            </w:pPr>
            <w:r>
              <w:rPr/>
              <w:t> </w:t>
            </w:r>
          </w:p>
        </w:tc>
        <w:tc>
          <w:tcPr>
            <w:tcW w:w="9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7029" w:type="dxa"/>
            <w:tcBorders/>
            <w:shd w:fill="CCEEFF" w:val="clear"/>
            <w:vAlign w:val="bottom"/>
          </w:tcPr>
          <w:p>
            <w:pPr>
              <w:pStyle w:val="TableContents"/>
              <w:spacing w:before="0" w:after="0"/>
              <w:ind w:left="225" w:right="0" w:hanging="225"/>
              <w:rPr/>
            </w:pPr>
            <w:r>
              <w:rPr/>
              <w:t>Number of shares used in per share computation:</w:t>
            </w:r>
          </w:p>
        </w:tc>
        <w:tc>
          <w:tcPr>
            <w:tcW w:w="45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7029" w:type="dxa"/>
            <w:tcBorders/>
            <w:shd w:fill="auto" w:val="clear"/>
            <w:vAlign w:val="bottom"/>
          </w:tcPr>
          <w:p>
            <w:pPr>
              <w:pStyle w:val="TableContents"/>
              <w:spacing w:before="0" w:after="0"/>
              <w:ind w:left="450" w:right="0" w:hanging="225"/>
              <w:rPr/>
            </w:pPr>
            <w:r>
              <w:rPr/>
              <w:t>Basic</w:t>
            </w:r>
          </w:p>
        </w:tc>
        <w:tc>
          <w:tcPr>
            <w:tcW w:w="45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14,293</w:t>
            </w:r>
          </w:p>
        </w:tc>
        <w:tc>
          <w:tcPr>
            <w:tcW w:w="140"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14,352</w:t>
            </w:r>
          </w:p>
        </w:tc>
        <w:tc>
          <w:tcPr>
            <w:tcW w:w="136" w:type="dxa"/>
            <w:tcBorders/>
            <w:shd w:fill="auto" w:val="clear"/>
            <w:vAlign w:val="bottom"/>
          </w:tcPr>
          <w:p>
            <w:pPr>
              <w:pStyle w:val="TableContents"/>
              <w:spacing w:before="0" w:after="283"/>
              <w:rPr/>
            </w:pPr>
            <w:r>
              <w:rPr/>
              <w:t> </w:t>
            </w:r>
          </w:p>
        </w:tc>
      </w:tr>
      <w:tr>
        <w:trPr/>
        <w:tc>
          <w:tcPr>
            <w:tcW w:w="702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9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60" w:type="dxa"/>
            <w:tcBorders/>
            <w:shd w:fill="auto" w:val="clear"/>
            <w:vAlign w:val="center"/>
          </w:tcPr>
          <w:p>
            <w:pPr>
              <w:pStyle w:val="TableContents"/>
              <w:spacing w:before="0" w:after="283"/>
              <w:rPr/>
            </w:pPr>
            <w:r>
              <w:rPr/>
              <w:t> </w:t>
            </w:r>
          </w:p>
        </w:tc>
        <w:tc>
          <w:tcPr>
            <w:tcW w:w="9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7029" w:type="dxa"/>
            <w:tcBorders/>
            <w:shd w:fill="CCEEFF" w:val="clear"/>
            <w:vAlign w:val="bottom"/>
          </w:tcPr>
          <w:p>
            <w:pPr>
              <w:pStyle w:val="TableContents"/>
              <w:spacing w:before="0" w:after="0"/>
              <w:ind w:left="450" w:right="0" w:hanging="225"/>
              <w:rPr/>
            </w:pPr>
            <w:r>
              <w:rPr/>
              <w:t>Diluted</w:t>
            </w:r>
          </w:p>
        </w:tc>
        <w:tc>
          <w:tcPr>
            <w:tcW w:w="45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14,359</w:t>
            </w:r>
          </w:p>
        </w:tc>
        <w:tc>
          <w:tcPr>
            <w:tcW w:w="140"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14,352</w:t>
            </w:r>
          </w:p>
        </w:tc>
        <w:tc>
          <w:tcPr>
            <w:tcW w:w="136" w:type="dxa"/>
            <w:tcBorders/>
            <w:shd w:fill="CCEEFF" w:val="clear"/>
            <w:vAlign w:val="bottom"/>
          </w:tcPr>
          <w:p>
            <w:pPr>
              <w:pStyle w:val="TableContents"/>
              <w:spacing w:before="0" w:after="283"/>
              <w:rPr/>
            </w:pPr>
            <w:r>
              <w:rPr/>
              <w:t> </w:t>
            </w:r>
          </w:p>
        </w:tc>
      </w:tr>
      <w:tr>
        <w:trPr/>
        <w:tc>
          <w:tcPr>
            <w:tcW w:w="702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9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60" w:type="dxa"/>
            <w:tcBorders/>
            <w:shd w:fill="auto" w:val="clear"/>
            <w:vAlign w:val="center"/>
          </w:tcPr>
          <w:p>
            <w:pPr>
              <w:pStyle w:val="TableContents"/>
              <w:spacing w:before="0" w:after="283"/>
              <w:rPr/>
            </w:pPr>
            <w:r>
              <w:rPr/>
              <w:t> </w:t>
            </w:r>
          </w:p>
        </w:tc>
        <w:tc>
          <w:tcPr>
            <w:tcW w:w="9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bl>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1950</Words>
  <CharactersWithSpaces>12978</CharactersWithSpaces>
  <Paragraphs>818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 99.1</dc:title>
</cp:coreProperties>
</file>