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21.82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4,246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03/24/2012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03/24/2013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in equal increments on each anniversary date of the grant (i.e., May 21, 2008) over a five-year period, and each increment is exercisable for five years from its vesting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2020-01-28T20:02:33Z</dcterms:created>
  <dcterms:modified xsi:type="dcterms:W3CDTF">2020-01-28T20:02:33Z</dcterms:modified>
</cp:coreProperties>
</file>