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18696e8vk.htm"/>
      <w:bookmarkStart w:id="1" w:name="ksv18696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Date of report: </w:t>
      </w:r>
      <w:r>
        <w:rPr>
          <w:rFonts w:ascii="Times New Roman;Times;serif" w:hAnsi="Times New Roman;Times;serif"/>
          <w:b/>
          <w:sz w:val="17"/>
        </w:rPr>
        <w:t>March 15, 2006</w:t>
      </w:r>
      <w:r>
        <w:rPr>
          <w:rFonts w:ascii="Times New Roman;Times;serif" w:hAnsi="Times New Roman;Times;serif"/>
          <w:sz w:val="17"/>
        </w:rPr>
        <w:br/>
        <w:t xml:space="preserve">Date of earliest event reported: </w:t>
      </w:r>
      <w:r>
        <w:rPr>
          <w:rFonts w:ascii="Times New Roman;Times;serif" w:hAnsi="Times New Roman;Times;serif"/>
          <w:b/>
          <w:sz w:val="17"/>
        </w:rPr>
        <w:t>March 08, 2006</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(State or Other</w:t>
              <w:br/>
              <w:t>Jurisdiction of</w:t>
              <w:br/>
              <w:t xml:space="preserve">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(Commission File</w:t>
              <w:br/>
              <w:t xml:space="preserve">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br/>
              <w:t>Identification No.)</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1141-A Cummings Road, Santa Paula, California 93060</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rPr/>
      </w:pPr>
      <w:r>
        <w:rPr/>
      </w:r>
    </w:p>
    <w:p>
      <w:pPr>
        <w:pStyle w:val="TextBody"/>
        <w:spacing w:before="24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center"/>
        <w:tblInd w:w="0" w:type="dxa"/>
        <w:tblCellMar>
          <w:top w:w="0" w:type="dxa"/>
          <w:left w:w="0" w:type="dxa"/>
          <w:bottom w:w="0" w:type="dxa"/>
          <w:right w:w="0" w:type="dxa"/>
        </w:tblCellMar>
      </w:tblPr>
      <w:tblGrid>
        <w:gridCol w:w="203"/>
        <w:gridCol w:w="204"/>
        <w:gridCol w:w="306"/>
        <w:gridCol w:w="101"/>
        <w:gridCol w:w="9391"/>
      </w:tblGrid>
      <w:tr>
        <w:trPr/>
        <w:tc>
          <w:tcPr>
            <w:tcW w:w="20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9391" w:type="dxa"/>
            <w:tcBorders/>
            <w:shd w:fill="auto" w:val="clear"/>
            <w:vAlign w:val="bottom"/>
          </w:tcPr>
          <w:p>
            <w:pPr>
              <w:pStyle w:val="TableContents"/>
              <w:spacing w:before="0" w:after="283"/>
              <w:rPr/>
            </w:pPr>
            <w:r>
              <w:rPr/>
              <w:t> </w:t>
            </w:r>
          </w:p>
        </w:tc>
      </w:tr>
      <w:tr>
        <w:trPr/>
        <w:tc>
          <w:tcPr>
            <w:tcW w:w="20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vAlign w:val="bottom"/>
          </w:tcPr>
          <w:p>
            <w:pPr>
              <w:pStyle w:val="TableContents"/>
              <w:spacing w:before="0" w:after="283"/>
              <w:rPr/>
            </w:pPr>
            <w:r>
              <w:rPr/>
              <w:t> </w:t>
            </w:r>
          </w:p>
        </w:tc>
        <w:tc>
          <w:tcPr>
            <w:tcW w:w="9391" w:type="dxa"/>
            <w:tcBorders/>
            <w:shd w:fill="auto" w:val="clear"/>
          </w:tcPr>
          <w:p>
            <w:pPr>
              <w:pStyle w:val="TableContents"/>
              <w:spacing w:before="0" w:after="283"/>
              <w:jc w:val="left"/>
              <w:rPr/>
            </w:pPr>
            <w:r>
              <w:rPr/>
              <w:t>Written communications pursuant to Rule 425 under the Securities Act (17 CFR 230.425)</w:t>
            </w:r>
          </w:p>
        </w:tc>
      </w:tr>
      <w:tr>
        <w:trPr/>
        <w:tc>
          <w:tcPr>
            <w:tcW w:w="20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9391" w:type="dxa"/>
            <w:tcBorders/>
            <w:shd w:fill="auto" w:val="clear"/>
          </w:tcPr>
          <w:p>
            <w:pPr>
              <w:pStyle w:val="TableContents"/>
              <w:spacing w:before="0" w:after="283"/>
              <w:jc w:val="left"/>
              <w:rPr/>
            </w:pPr>
            <w:r>
              <w:rPr/>
              <w:t> </w:t>
            </w:r>
          </w:p>
        </w:tc>
      </w:tr>
      <w:tr>
        <w:trPr/>
        <w:tc>
          <w:tcPr>
            <w:tcW w:w="20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vAlign w:val="bottom"/>
          </w:tcPr>
          <w:p>
            <w:pPr>
              <w:pStyle w:val="TableContents"/>
              <w:spacing w:before="0" w:after="283"/>
              <w:rPr/>
            </w:pPr>
            <w:r>
              <w:rPr/>
              <w:t> </w:t>
            </w:r>
          </w:p>
        </w:tc>
        <w:tc>
          <w:tcPr>
            <w:tcW w:w="9391" w:type="dxa"/>
            <w:tcBorders/>
            <w:shd w:fill="auto" w:val="clear"/>
          </w:tcPr>
          <w:p>
            <w:pPr>
              <w:pStyle w:val="TableContents"/>
              <w:spacing w:before="0" w:after="283"/>
              <w:jc w:val="left"/>
              <w:rPr/>
            </w:pPr>
            <w:r>
              <w:rPr/>
              <w:t>Soliciting material pursuant to Rule 14a-12 under the Exchange Act (17 CFR 240.14a-12)</w:t>
            </w:r>
          </w:p>
        </w:tc>
      </w:tr>
      <w:tr>
        <w:trPr/>
        <w:tc>
          <w:tcPr>
            <w:tcW w:w="20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9391" w:type="dxa"/>
            <w:tcBorders/>
            <w:shd w:fill="auto" w:val="clear"/>
          </w:tcPr>
          <w:p>
            <w:pPr>
              <w:pStyle w:val="TableContents"/>
              <w:spacing w:before="0" w:after="283"/>
              <w:jc w:val="left"/>
              <w:rPr/>
            </w:pPr>
            <w:r>
              <w:rPr/>
              <w:t> </w:t>
            </w:r>
          </w:p>
        </w:tc>
      </w:tr>
      <w:tr>
        <w:trPr/>
        <w:tc>
          <w:tcPr>
            <w:tcW w:w="20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vAlign w:val="bottom"/>
          </w:tcPr>
          <w:p>
            <w:pPr>
              <w:pStyle w:val="TableContents"/>
              <w:spacing w:before="0" w:after="283"/>
              <w:rPr/>
            </w:pPr>
            <w:r>
              <w:rPr/>
              <w:t> </w:t>
            </w:r>
          </w:p>
        </w:tc>
        <w:tc>
          <w:tcPr>
            <w:tcW w:w="9391" w:type="dxa"/>
            <w:tcBorders/>
            <w:shd w:fill="auto" w:val="clear"/>
          </w:tcPr>
          <w:p>
            <w:pPr>
              <w:pStyle w:val="TableContents"/>
              <w:spacing w:before="0" w:after="283"/>
              <w:jc w:val="left"/>
              <w:rPr/>
            </w:pPr>
            <w:r>
              <w:rPr/>
              <w:t>Pre-commencement communications pursuant to Rule 14d-2(b) under the Exchange Act (17 CFR 240.14d-2(b))</w:t>
            </w:r>
          </w:p>
        </w:tc>
      </w:tr>
      <w:tr>
        <w:trPr/>
        <w:tc>
          <w:tcPr>
            <w:tcW w:w="203"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9391" w:type="dxa"/>
            <w:tcBorders/>
            <w:shd w:fill="auto" w:val="clear"/>
          </w:tcPr>
          <w:p>
            <w:pPr>
              <w:pStyle w:val="TableContents"/>
              <w:spacing w:before="0" w:after="283"/>
              <w:jc w:val="left"/>
              <w:rPr/>
            </w:pPr>
            <w:r>
              <w:rPr/>
              <w:t> </w:t>
            </w:r>
          </w:p>
        </w:tc>
      </w:tr>
      <w:tr>
        <w:trPr/>
        <w:tc>
          <w:tcPr>
            <w:tcW w:w="203"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rFonts w:ascii="Wingdings" w:hAnsi="Wingdings"/>
              </w:rPr>
              <w:t>o</w:t>
            </w:r>
            <w:r>
              <w:rPr/>
              <w:t xml:space="preserve"> </w:t>
            </w:r>
          </w:p>
        </w:tc>
        <w:tc>
          <w:tcPr>
            <w:tcW w:w="101" w:type="dxa"/>
            <w:tcBorders/>
            <w:shd w:fill="auto" w:val="clear"/>
            <w:vAlign w:val="bottom"/>
          </w:tcPr>
          <w:p>
            <w:pPr>
              <w:pStyle w:val="TableContents"/>
              <w:spacing w:before="0" w:after="283"/>
              <w:rPr/>
            </w:pPr>
            <w:r>
              <w:rPr/>
              <w:t> </w:t>
            </w:r>
          </w:p>
        </w:tc>
        <w:tc>
          <w:tcPr>
            <w:tcW w:w="9391" w:type="dxa"/>
            <w:tcBorders/>
            <w:shd w:fill="auto" w:val="clear"/>
          </w:tcPr>
          <w:p>
            <w:pPr>
              <w:pStyle w:val="TableContents"/>
              <w:spacing w:before="0" w:after="283"/>
              <w:jc w:val="left"/>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2.02. Results of Operations and Financial Condition.</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On March 8, 2006, we issued a press release containing our financial results for the quarter ended January 31, 2006. A copy of our press release is attached hereto as Exhibit 99.1 and is incorporated by reference.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Exhibits</w:t>
            </w:r>
          </w:p>
        </w:tc>
      </w:tr>
    </w:tbl>
    <w:tbl>
      <w:tblPr>
        <w:tblW w:w="5000" w:type="pct"/>
        <w:jc w:val="center"/>
        <w:tblInd w:w="0" w:type="dxa"/>
        <w:tblCellMar>
          <w:top w:w="0" w:type="dxa"/>
          <w:left w:w="0" w:type="dxa"/>
          <w:bottom w:w="0" w:type="dxa"/>
          <w:right w:w="0" w:type="dxa"/>
        </w:tblCellMar>
      </w:tblPr>
      <w:tblGrid>
        <w:gridCol w:w="310"/>
        <w:gridCol w:w="311"/>
        <w:gridCol w:w="135"/>
        <w:gridCol w:w="440"/>
        <w:gridCol w:w="135"/>
        <w:gridCol w:w="486"/>
        <w:gridCol w:w="8388"/>
      </w:tblGrid>
      <w:tr>
        <w:trPr/>
        <w:tc>
          <w:tcPr>
            <w:tcW w:w="31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8388" w:type="dxa"/>
            <w:tcBorders/>
            <w:shd w:fill="auto" w:val="clear"/>
            <w:vAlign w:val="bottom"/>
          </w:tcPr>
          <w:p>
            <w:pPr>
              <w:pStyle w:val="TableContents"/>
              <w:spacing w:before="0" w:after="283"/>
              <w:rPr/>
            </w:pPr>
            <w:r>
              <w:rPr/>
              <w:t> </w:t>
            </w:r>
          </w:p>
        </w:tc>
      </w:tr>
      <w:tr>
        <w:trPr/>
        <w:tc>
          <w:tcPr>
            <w:tcW w:w="310" w:type="dxa"/>
            <w:tcBorders/>
            <w:shd w:fill="auto" w:val="clear"/>
          </w:tcPr>
          <w:p>
            <w:pPr>
              <w:pStyle w:val="TableContents"/>
              <w:spacing w:before="0" w:after="0"/>
              <w:ind w:left="0" w:right="0" w:hanging="0"/>
              <w:rPr/>
            </w:pPr>
            <w:r>
              <w:rPr/>
              <w:t xml:space="preserve">  </w:t>
            </w:r>
          </w:p>
        </w:tc>
        <w:tc>
          <w:tcPr>
            <w:tcW w:w="311" w:type="dxa"/>
            <w:tcBorders/>
            <w:shd w:fill="auto" w:val="clear"/>
            <w:vAlign w:val="bottom"/>
          </w:tcPr>
          <w:p>
            <w:pPr>
              <w:pStyle w:val="TableContents"/>
              <w:spacing w:before="0" w:after="283"/>
              <w:rPr/>
            </w:pPr>
            <w:r>
              <w:rPr/>
              <w:t> </w:t>
            </w:r>
          </w:p>
        </w:tc>
        <w:tc>
          <w:tcPr>
            <w:tcW w:w="13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jc w:val="right"/>
              <w:rPr/>
            </w:pPr>
            <w:r>
              <w:rPr/>
              <w:t>99.1</w:t>
            </w:r>
          </w:p>
        </w:tc>
        <w:tc>
          <w:tcPr>
            <w:tcW w:w="135" w:type="dxa"/>
            <w:tcBorders/>
            <w:shd w:fill="auto" w:val="clear"/>
          </w:tcPr>
          <w:p>
            <w:pPr>
              <w:pStyle w:val="TableContents"/>
              <w:spacing w:before="0" w:after="283"/>
              <w:rPr/>
            </w:pPr>
            <w:r>
              <w:rPr/>
              <w:t> </w:t>
            </w:r>
          </w:p>
        </w:tc>
        <w:tc>
          <w:tcPr>
            <w:tcW w:w="486" w:type="dxa"/>
            <w:tcBorders/>
            <w:shd w:fill="auto" w:val="clear"/>
            <w:vAlign w:val="bottom"/>
          </w:tcPr>
          <w:p>
            <w:pPr>
              <w:pStyle w:val="TableContents"/>
              <w:spacing w:before="0" w:after="283"/>
              <w:rPr/>
            </w:pPr>
            <w:r>
              <w:rPr/>
              <w:t> </w:t>
            </w:r>
          </w:p>
        </w:tc>
        <w:tc>
          <w:tcPr>
            <w:tcW w:w="8388" w:type="dxa"/>
            <w:tcBorders/>
            <w:shd w:fill="auto" w:val="clear"/>
          </w:tcPr>
          <w:p>
            <w:pPr>
              <w:pStyle w:val="TableContents"/>
              <w:spacing w:before="0" w:after="283"/>
              <w:jc w:val="left"/>
              <w:rPr/>
            </w:pPr>
            <w:r>
              <w:rPr/>
              <w:t>Press Release dated March 8, 2006 of the Registrant.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457"/>
        <w:gridCol w:w="684"/>
        <w:gridCol w:w="809"/>
        <w:gridCol w:w="2988"/>
        <w:gridCol w:w="1267"/>
      </w:tblGrid>
      <w:tr>
        <w:trPr/>
        <w:tc>
          <w:tcPr>
            <w:tcW w:w="4457" w:type="dxa"/>
            <w:tcBorders/>
            <w:shd w:fill="auto" w:val="clear"/>
            <w:vAlign w:val="center"/>
          </w:tcPr>
          <w:p>
            <w:pPr>
              <w:pStyle w:val="TableContents"/>
              <w:spacing w:before="0" w:after="283"/>
              <w:rPr/>
            </w:pPr>
            <w:r>
              <w:rPr/>
              <w:t> </w:t>
            </w:r>
          </w:p>
        </w:tc>
        <w:tc>
          <w:tcPr>
            <w:tcW w:w="684" w:type="dxa"/>
            <w:tcBorders/>
            <w:shd w:fill="auto" w:val="clear"/>
            <w:vAlign w:val="center"/>
          </w:tcPr>
          <w:p>
            <w:pPr>
              <w:pStyle w:val="TableContents"/>
              <w:spacing w:before="0" w:after="283"/>
              <w:rPr/>
            </w:pPr>
            <w:r>
              <w:rPr/>
              <w:t> </w:t>
            </w:r>
          </w:p>
        </w:tc>
        <w:tc>
          <w:tcPr>
            <w:tcW w:w="809" w:type="dxa"/>
            <w:tcBorders/>
            <w:shd w:fill="auto" w:val="clear"/>
            <w:vAlign w:val="center"/>
          </w:tcPr>
          <w:p>
            <w:pPr>
              <w:pStyle w:val="TableContents"/>
              <w:spacing w:before="0" w:after="283"/>
              <w:rPr/>
            </w:pPr>
            <w:r>
              <w:rPr/>
              <w:t> </w:t>
            </w:r>
          </w:p>
        </w:tc>
        <w:tc>
          <w:tcPr>
            <w:tcW w:w="2988" w:type="dxa"/>
            <w:tcBorders/>
            <w:shd w:fill="auto" w:val="clear"/>
            <w:vAlign w:val="center"/>
          </w:tcPr>
          <w:p>
            <w:pPr>
              <w:pStyle w:val="TableContents"/>
              <w:spacing w:before="0" w:after="283"/>
              <w:rPr/>
            </w:pPr>
            <w:r>
              <w:rPr/>
              <w:t> </w:t>
            </w:r>
          </w:p>
        </w:tc>
        <w:tc>
          <w:tcPr>
            <w:tcW w:w="1267" w:type="dxa"/>
            <w:tcBorders/>
            <w:shd w:fill="auto" w:val="clear"/>
            <w:vAlign w:val="center"/>
          </w:tcPr>
          <w:p>
            <w:pPr>
              <w:pStyle w:val="TableContents"/>
              <w:spacing w:before="0" w:after="283"/>
              <w:rPr/>
            </w:pPr>
            <w:r>
              <w:rPr/>
              <w:t> </w:t>
            </w:r>
          </w:p>
        </w:tc>
      </w:tr>
      <w:tr>
        <w:trPr/>
        <w:tc>
          <w:tcPr>
            <w:tcW w:w="4457" w:type="dxa"/>
            <w:tcBorders/>
            <w:shd w:fill="auto" w:val="clear"/>
          </w:tcPr>
          <w:p>
            <w:pPr>
              <w:pStyle w:val="TableContents"/>
              <w:spacing w:before="0" w:after="283"/>
              <w:jc w:val="left"/>
              <w:rPr/>
            </w:pPr>
            <w:r>
              <w:rPr/>
              <w:t> </w:t>
            </w:r>
          </w:p>
        </w:tc>
        <w:tc>
          <w:tcPr>
            <w:tcW w:w="4481" w:type="dxa"/>
            <w:gridSpan w:val="3"/>
            <w:tcBorders/>
            <w:shd w:fill="auto" w:val="clear"/>
            <w:vAlign w:val="center"/>
          </w:tcPr>
          <w:p>
            <w:pPr>
              <w:pStyle w:val="TableContents"/>
              <w:spacing w:before="0" w:after="283"/>
              <w:jc w:val="left"/>
              <w:rPr/>
            </w:pPr>
            <w:r>
              <w:rPr/>
              <w:t>Calavo Growers, Inc.</w:t>
              <w:br/>
              <w:t> </w:t>
            </w:r>
          </w:p>
        </w:tc>
        <w:tc>
          <w:tcPr>
            <w:tcW w:w="1267" w:type="dxa"/>
            <w:tcBorders/>
            <w:shd w:fill="auto" w:val="clear"/>
            <w:vAlign w:val="center"/>
          </w:tcPr>
          <w:p>
            <w:pPr>
              <w:pStyle w:val="TableContents"/>
              <w:spacing w:before="0" w:after="283"/>
              <w:rPr/>
            </w:pPr>
            <w:r>
              <w:rPr/>
              <w:t> </w:t>
            </w:r>
          </w:p>
        </w:tc>
      </w:tr>
      <w:tr>
        <w:trPr/>
        <w:tc>
          <w:tcPr>
            <w:tcW w:w="4457" w:type="dxa"/>
            <w:tcBorders/>
            <w:shd w:fill="auto" w:val="clear"/>
            <w:vAlign w:val="center"/>
          </w:tcPr>
          <w:p>
            <w:pPr>
              <w:pStyle w:val="TableContents"/>
              <w:spacing w:before="0" w:after="283"/>
              <w:jc w:val="left"/>
              <w:rPr/>
            </w:pPr>
            <w:r>
              <w:rPr/>
              <w:t>March 15, 2006 </w:t>
            </w:r>
          </w:p>
        </w:tc>
        <w:tc>
          <w:tcPr>
            <w:tcW w:w="684" w:type="dxa"/>
            <w:tcBorders/>
            <w:shd w:fill="auto" w:val="clear"/>
          </w:tcPr>
          <w:p>
            <w:pPr>
              <w:pStyle w:val="TableContents"/>
              <w:spacing w:before="0" w:after="283"/>
              <w:rPr/>
            </w:pPr>
            <w:r>
              <w:rPr/>
              <w:t>By:  </w:t>
            </w:r>
          </w:p>
        </w:tc>
        <w:tc>
          <w:tcPr>
            <w:tcW w:w="3797"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267" w:type="dxa"/>
            <w:tcBorders/>
            <w:shd w:fill="auto" w:val="clear"/>
            <w:vAlign w:val="center"/>
          </w:tcPr>
          <w:p>
            <w:pPr>
              <w:pStyle w:val="TableContents"/>
              <w:spacing w:before="0" w:after="283"/>
              <w:rPr/>
            </w:pPr>
            <w:r>
              <w:rPr/>
              <w:t> </w:t>
            </w:r>
          </w:p>
        </w:tc>
      </w:tr>
      <w:tr>
        <w:trPr/>
        <w:tc>
          <w:tcPr>
            <w:tcW w:w="4457" w:type="dxa"/>
            <w:tcBorders/>
            <w:shd w:fill="auto" w:val="clear"/>
            <w:vAlign w:val="center"/>
          </w:tcPr>
          <w:p>
            <w:pPr>
              <w:pStyle w:val="TableContents"/>
              <w:spacing w:before="0" w:after="283"/>
              <w:jc w:val="left"/>
              <w:rPr/>
            </w:pPr>
            <w:r>
              <w:rPr/>
              <w:t> </w:t>
            </w:r>
          </w:p>
        </w:tc>
        <w:tc>
          <w:tcPr>
            <w:tcW w:w="684" w:type="dxa"/>
            <w:tcBorders/>
            <w:shd w:fill="auto" w:val="clear"/>
            <w:vAlign w:val="center"/>
          </w:tcPr>
          <w:p>
            <w:pPr>
              <w:pStyle w:val="TableContents"/>
              <w:spacing w:before="0" w:after="283"/>
              <w:rPr/>
            </w:pPr>
            <w:r>
              <w:rPr/>
              <w:t> </w:t>
            </w:r>
          </w:p>
        </w:tc>
        <w:tc>
          <w:tcPr>
            <w:tcW w:w="3797" w:type="dxa"/>
            <w:gridSpan w:val="2"/>
            <w:tcBorders/>
            <w:shd w:fill="auto" w:val="clear"/>
            <w:vAlign w:val="center"/>
          </w:tcPr>
          <w:p>
            <w:pPr>
              <w:pStyle w:val="TableContents"/>
              <w:spacing w:before="0" w:after="283"/>
              <w:jc w:val="left"/>
              <w:rPr/>
            </w:pPr>
            <w:r>
              <w:rPr/>
              <w:t>Lecil E. Cole </w:t>
            </w:r>
          </w:p>
        </w:tc>
        <w:tc>
          <w:tcPr>
            <w:tcW w:w="1267" w:type="dxa"/>
            <w:tcBorders/>
            <w:shd w:fill="auto" w:val="clear"/>
            <w:vAlign w:val="center"/>
          </w:tcPr>
          <w:p>
            <w:pPr>
              <w:pStyle w:val="TableContents"/>
              <w:spacing w:before="0" w:after="283"/>
              <w:rPr/>
            </w:pPr>
            <w:r>
              <w:rPr/>
              <w:t> </w:t>
            </w:r>
          </w:p>
        </w:tc>
      </w:tr>
      <w:tr>
        <w:trPr/>
        <w:tc>
          <w:tcPr>
            <w:tcW w:w="4457" w:type="dxa"/>
            <w:tcBorders/>
            <w:shd w:fill="auto" w:val="clear"/>
            <w:vAlign w:val="center"/>
          </w:tcPr>
          <w:p>
            <w:pPr>
              <w:pStyle w:val="TableContents"/>
              <w:spacing w:before="0" w:after="283"/>
              <w:jc w:val="left"/>
              <w:rPr/>
            </w:pPr>
            <w:r>
              <w:rPr/>
              <w:t> </w:t>
            </w:r>
          </w:p>
        </w:tc>
        <w:tc>
          <w:tcPr>
            <w:tcW w:w="684" w:type="dxa"/>
            <w:tcBorders/>
            <w:shd w:fill="auto" w:val="clear"/>
            <w:vAlign w:val="center"/>
          </w:tcPr>
          <w:p>
            <w:pPr>
              <w:pStyle w:val="TableContents"/>
              <w:spacing w:before="0" w:after="283"/>
              <w:rPr/>
            </w:pPr>
            <w:r>
              <w:rPr/>
              <w:t> </w:t>
            </w:r>
          </w:p>
        </w:tc>
        <w:tc>
          <w:tcPr>
            <w:tcW w:w="3797" w:type="dxa"/>
            <w:gridSpan w:val="2"/>
            <w:tcBorders/>
            <w:shd w:fill="auto" w:val="clear"/>
            <w:vAlign w:val="center"/>
          </w:tcPr>
          <w:p>
            <w:pPr>
              <w:pStyle w:val="TableContents"/>
              <w:spacing w:before="0" w:after="283"/>
              <w:jc w:val="left"/>
              <w:rPr/>
            </w:pPr>
            <w:r>
              <w:rPr/>
              <w:t>Chairman of the Board of Directors, Chief Executive Officer and President</w:t>
              <w:br/>
              <w:t>(Principal Executive Officer) </w:t>
            </w:r>
          </w:p>
        </w:tc>
        <w:tc>
          <w:tcPr>
            <w:tcW w:w="1267"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2" w:name="v18696exv99w1.htm"/>
      <w:bookmarkStart w:id="3" w:name="ksv18696exv99w1"/>
      <w:bookmarkEnd w:id="2"/>
      <w:bookmarkEnd w:id="3"/>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Calavo Growers,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Lee Cole, Calavo Growers, Inc., (805) 525-1245</w:t>
        <w:br/>
        <w:t>or</w:t>
        <w:br/>
        <w:t xml:space="preserve">Jerry Freisleben, Foley/Freisleben LLC, (213) 955-0020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CALAVO GROWERS ANNOUNCES IMPROVED</w:t>
        <w:br/>
        <w:t>FISCAL 2006 FIRST QUARTER OPERATING RESULTS</w:t>
      </w:r>
    </w:p>
    <w:p>
      <w:pPr>
        <w:pStyle w:val="TextBody"/>
        <w:spacing w:before="32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Quarterly Highlights Include: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b/>
              </w:rPr>
            </w:pPr>
            <w:r>
              <w:rPr>
                <w:b/>
              </w:rPr>
              <w:t></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Net Revenues Rise Six Percent or Nearly $3.0 Million</w:t>
            </w:r>
          </w:p>
        </w:tc>
      </w:tr>
    </w:tbl>
    <w:tbl>
      <w:tblPr>
        <w:tblW w:w="5000" w:type="pct"/>
        <w:jc w:val="left"/>
        <w:tblInd w:w="0" w:type="dxa"/>
        <w:tblCellMar>
          <w:top w:w="0" w:type="dxa"/>
          <w:left w:w="0" w:type="dxa"/>
          <w:bottom w:w="0" w:type="dxa"/>
          <w:right w:w="0" w:type="dxa"/>
        </w:tblCellMar>
      </w:tblPr>
      <w:tblGrid>
        <w:gridCol w:w="200"/>
        <w:gridCol w:w="127"/>
        <w:gridCol w:w="9878"/>
      </w:tblGrid>
      <w:tr>
        <w:trPr/>
        <w:tc>
          <w:tcPr>
            <w:tcW w:w="200" w:type="dxa"/>
            <w:tcBorders/>
            <w:shd w:fill="auto" w:val="clear"/>
          </w:tcPr>
          <w:p>
            <w:pPr>
              <w:pStyle w:val="TableContents"/>
              <w:spacing w:before="0" w:after="283"/>
              <w:jc w:val="left"/>
              <w:rPr>
                <w:b/>
              </w:rPr>
            </w:pPr>
            <w:r>
              <w:rPr>
                <w:b/>
              </w:rPr>
              <w:t></w:t>
            </w:r>
          </w:p>
        </w:tc>
        <w:tc>
          <w:tcPr>
            <w:tcW w:w="127"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California Sales Volume Jumps by 5.5 Million Pounds</w:t>
            </w:r>
          </w:p>
        </w:tc>
      </w:tr>
    </w:tbl>
    <w:tbl>
      <w:tblPr>
        <w:tblW w:w="5000" w:type="pct"/>
        <w:jc w:val="left"/>
        <w:tblInd w:w="0" w:type="dxa"/>
        <w:tblCellMar>
          <w:top w:w="0" w:type="dxa"/>
          <w:left w:w="0" w:type="dxa"/>
          <w:bottom w:w="0" w:type="dxa"/>
          <w:right w:w="0" w:type="dxa"/>
        </w:tblCellMar>
      </w:tblPr>
      <w:tblGrid>
        <w:gridCol w:w="200"/>
        <w:gridCol w:w="127"/>
        <w:gridCol w:w="9878"/>
      </w:tblGrid>
      <w:tr>
        <w:trPr/>
        <w:tc>
          <w:tcPr>
            <w:tcW w:w="200" w:type="dxa"/>
            <w:tcBorders/>
            <w:shd w:fill="auto" w:val="clear"/>
          </w:tcPr>
          <w:p>
            <w:pPr>
              <w:pStyle w:val="TableContents"/>
              <w:spacing w:before="0" w:after="283"/>
              <w:jc w:val="left"/>
              <w:rPr>
                <w:b/>
              </w:rPr>
            </w:pPr>
            <w:r>
              <w:rPr>
                <w:b/>
              </w:rPr>
              <w:t></w:t>
            </w:r>
          </w:p>
        </w:tc>
        <w:tc>
          <w:tcPr>
            <w:tcW w:w="127"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t>Processed Products Unit Ships 1.2 Million More Pounds</w:t>
            </w:r>
          </w:p>
        </w:tc>
      </w:tr>
    </w:tbl>
    <w:tbl>
      <w:tblPr>
        <w:tblW w:w="5000" w:type="pct"/>
        <w:jc w:val="left"/>
        <w:tblInd w:w="0" w:type="dxa"/>
        <w:tblCellMar>
          <w:top w:w="0" w:type="dxa"/>
          <w:left w:w="0" w:type="dxa"/>
          <w:bottom w:w="0" w:type="dxa"/>
          <w:right w:w="0" w:type="dxa"/>
        </w:tblCellMar>
      </w:tblPr>
      <w:tblGrid>
        <w:gridCol w:w="208"/>
        <w:gridCol w:w="129"/>
        <w:gridCol w:w="9868"/>
      </w:tblGrid>
      <w:tr>
        <w:trPr/>
        <w:tc>
          <w:tcPr>
            <w:tcW w:w="208" w:type="dxa"/>
            <w:tcBorders/>
            <w:shd w:fill="auto" w:val="clear"/>
          </w:tcPr>
          <w:p>
            <w:pPr>
              <w:pStyle w:val="TableContents"/>
              <w:spacing w:before="0" w:after="283"/>
              <w:jc w:val="left"/>
              <w:rPr>
                <w:b/>
              </w:rPr>
            </w:pPr>
            <w:r>
              <w:rPr>
                <w:b/>
              </w:rPr>
              <w:t></w:t>
            </w:r>
          </w:p>
        </w:tc>
        <w:tc>
          <w:tcPr>
            <w:tcW w:w="129" w:type="dxa"/>
            <w:tcBorders/>
            <w:shd w:fill="auto" w:val="clear"/>
          </w:tcPr>
          <w:p>
            <w:pPr>
              <w:pStyle w:val="TableContents"/>
              <w:spacing w:before="0" w:after="283"/>
              <w:rPr/>
            </w:pPr>
            <w:r>
              <w:rPr/>
              <w:t> </w:t>
            </w:r>
          </w:p>
        </w:tc>
        <w:tc>
          <w:tcPr>
            <w:tcW w:w="9868" w:type="dxa"/>
            <w:tcBorders/>
            <w:shd w:fill="auto" w:val="clear"/>
          </w:tcPr>
          <w:p>
            <w:pPr>
              <w:pStyle w:val="TableContents"/>
              <w:spacing w:before="0" w:after="283"/>
              <w:rPr/>
            </w:pPr>
            <w:r>
              <w:rPr/>
              <w:t>Mexican Fruit Leaps by 8.2 Million Pounds</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b/>
              </w:rPr>
            </w:pPr>
            <w:r>
              <w:rPr>
                <w:b/>
              </w:rPr>
              <w:t></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First-Period Net Loss Narrows by $882,000</w:t>
            </w:r>
          </w:p>
        </w:tc>
      </w:tr>
    </w:tbl>
    <w:p>
      <w:pPr>
        <w:pStyle w:val="TextBody"/>
        <w:spacing w:before="120" w:after="283"/>
        <w:jc w:val="left"/>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SANTA PAULA, Calif. (March 8, 2006)Calavo Growers, Inc. (Nasdaq-NM: CVGW), a global leader in packing and marketing fresh and processed avocados and other perishable food products, today reported improved operating results for the fiscal 2006 first quarter. </w:t>
      </w:r>
    </w:p>
    <w:p>
      <w:pPr>
        <w:pStyle w:val="TextBody"/>
        <w:spacing w:before="120" w:after="283"/>
        <w:jc w:val="left"/>
        <w:rPr/>
      </w:pPr>
      <w:r>
        <w:rPr/>
        <w:t>     </w:t>
      </w:r>
      <w:r>
        <w:rPr>
          <w:rFonts w:ascii="Times New Roman;Times;serif" w:hAnsi="Times New Roman;Times;serif"/>
          <w:sz w:val="17"/>
        </w:rPr>
        <w:t xml:space="preserve">Net revenues for the three months ended January 31, 2006 climbed nearly $3 million, or six percent, to $50.6 million from $47.7 million in the corresponding period last year, propelled primarily by higher sales in the companys California avocados and processed products business segments. The companys first-period net loss was reduced by $882,000 to $(665,000), equal to $(0.05) per share, from a net loss of $(1.5 million), or $(0.11) per share, in the like quarter of fiscal 2005. </w:t>
      </w:r>
    </w:p>
    <w:p>
      <w:pPr>
        <w:pStyle w:val="TextBody"/>
        <w:spacing w:before="120" w:after="283"/>
        <w:jc w:val="left"/>
        <w:rPr/>
      </w:pPr>
      <w:r>
        <w:rPr/>
        <w:t>     </w:t>
      </w:r>
      <w:r>
        <w:rPr>
          <w:rFonts w:ascii="Times New Roman;Times;serif" w:hAnsi="Times New Roman;Times;serif"/>
          <w:sz w:val="17"/>
        </w:rPr>
        <w:t xml:space="preserve">Lee E. Cole, chairman, president and CEO, commented: I am pleased with Calavos progress in the first quarter, which is historically our smallest quarter and during which we receive the fewest pounds of California avocados. Despite this seasonality, we packed and sold 5.5 million more pounds of California fruit in the most recent quarter than in last years first periodan indicator of the anticipated record domestic crop to come in 2006while, most notably, momentum of avocado deliveries to our packinghouses accelerated throughout the quarter. As a result, California avocado segment net sales rose by approximately 32 percent from last years first quarter. </w:t>
      </w:r>
    </w:p>
    <w:p>
      <w:pPr>
        <w:pStyle w:val="TextBody"/>
        <w:spacing w:before="120" w:after="283"/>
        <w:jc w:val="left"/>
        <w:rPr/>
      </w:pPr>
      <w:r>
        <w:rPr/>
        <w:t>     </w:t>
      </w:r>
      <w:r>
        <w:rPr>
          <w:rFonts w:ascii="Times New Roman;Times;serif" w:hAnsi="Times New Roman;Times;serif"/>
          <w:sz w:val="17"/>
        </w:rPr>
        <w:t xml:space="preserve">CEO Cole also cited continued robust performance in the processed products operating unit as another factor contributing to Calavos significantly improved financial results.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Our processed operations continue to advance in nearly every respect, Cole said. First-period revenues climbed $2.2 million, or 38 percent, from last year, as the segment sold an additional 1.2 million pounds of processed avocados, principally our great tasting ultra-high-pressure guacamole. He added that the increased sales volume resulted in additional manufacturing and production efficiencies, which along with lower fruit prices, favorably benefited gross margins. </w:t>
      </w:r>
    </w:p>
    <w:p>
      <w:pPr>
        <w:pStyle w:val="TextBody"/>
        <w:spacing w:before="120" w:after="283"/>
        <w:jc w:val="left"/>
        <w:rPr/>
      </w:pPr>
      <w:r>
        <w:rPr/>
        <w:t>     </w:t>
      </w:r>
      <w:r>
        <w:rPr>
          <w:rFonts w:ascii="Times New Roman;Times;serif" w:hAnsi="Times New Roman;Times;serif"/>
          <w:sz w:val="17"/>
        </w:rPr>
        <w:t xml:space="preserve">International and perishable products segment revenues were paced by an increase of 8.2 million pounds, or 52 percent, in Mexican-grown avocados, Cole stated, primarily reflecting the removal of import limits by the U.S. Department of Agriculture in February 2005. Despite this higher volume of Mexican fruit, it was not sufficient to offset substantially lower quarterly sales related to avocados sourced from Chile (resulting principally from that countrys cyclically smaller crop) and The Dominican Republic, as well as lower papaya sales. These reductions dragged down the units top line about $1.8 million year-to-year. </w:t>
      </w:r>
    </w:p>
    <w:p>
      <w:pPr>
        <w:pStyle w:val="TextBody"/>
        <w:spacing w:before="120" w:after="283"/>
        <w:jc w:val="left"/>
        <w:rPr/>
      </w:pPr>
      <w:r>
        <w:rPr/>
        <w:t>     </w:t>
      </w:r>
      <w:r>
        <w:rPr>
          <w:rFonts w:ascii="Times New Roman;Times;serif" w:hAnsi="Times New Roman;Times;serif"/>
          <w:sz w:val="17"/>
        </w:rPr>
        <w:t xml:space="preserve">Further analyzing the companys first-quarter income statement, Cole said that gross margin increased 75 percent to $3.4 million from $2.0 million in the comparable period of 2005, owing principally to the aforementioned gains in the processed unit. He went on to state that sales, general and administrative expense dipped modestly in the first period as a result of lower corporate expenses. SG&amp;A as a percentage of total revenue eased slightly to 8.8 percent from 9.5 percent in the fiscal 2005 first quarter. </w:t>
      </w:r>
    </w:p>
    <w:p>
      <w:pPr>
        <w:pStyle w:val="TextBody"/>
        <w:spacing w:before="120" w:after="283"/>
        <w:jc w:val="left"/>
        <w:rPr/>
      </w:pPr>
      <w:r>
        <w:rPr/>
        <w:t>     </w:t>
      </w:r>
      <w:r>
        <w:rPr>
          <w:rFonts w:ascii="Times New Roman;Times;serif" w:hAnsi="Times New Roman;Times;serif"/>
          <w:sz w:val="17"/>
        </w:rPr>
        <w:t xml:space="preserve">As always, we are keeping the collective Calavo eye trained squarely on cost containment, Cole stated.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Outlook: The Picture Ahead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view the second quarter of fiscal 2006 and beyond with great anticipation, Cole said. By all indications, the volume of avocados arriving already into our California packinghouses points to a noteworthy year ahead. Further, we expect to leverage these growing volumes and our industry leadership position through marketing programs that favorably position Calavo avocados with its customers. Specifically, our value-added initiatives, such as bagging and ProRipeVIP avocado preconditioning, are key components of this strategy. These programs play a vital role in sustaining healthy selling prices for our fruit, particularly with the anticipated large current-year harvest. </w:t>
      </w:r>
    </w:p>
    <w:p>
      <w:pPr>
        <w:pStyle w:val="TextBody"/>
        <w:spacing w:before="120" w:after="283"/>
        <w:jc w:val="left"/>
        <w:rPr/>
      </w:pPr>
      <w:r>
        <w:rPr/>
        <w:t>     </w:t>
      </w:r>
      <w:r>
        <w:rPr>
          <w:rFonts w:ascii="Times New Roman;Times;serif" w:hAnsi="Times New Roman;Times;serif"/>
          <w:sz w:val="17"/>
        </w:rPr>
        <w:t xml:space="preserve">I fully expect that the strong showing in processed products will continue its upward trendboth in sales, gross profit margins and net income. We will benefit from both strong customer demand and favorable fruit pricesmarket acceptance continues to grow and Calavo is realizing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processed production efficiencies at the Uruapan, Mexico plant that are even better than initially projected, Cole stated. </w:t>
      </w:r>
    </w:p>
    <w:p>
      <w:pPr>
        <w:pStyle w:val="TextBody"/>
        <w:spacing w:before="120" w:after="283"/>
        <w:jc w:val="left"/>
        <w:rPr/>
      </w:pPr>
      <w:r>
        <w:rPr/>
        <w:t>     </w:t>
      </w:r>
      <w:r>
        <w:rPr>
          <w:rFonts w:ascii="Times New Roman;Times;serif" w:hAnsi="Times New Roman;Times;serif"/>
          <w:sz w:val="17"/>
        </w:rPr>
        <w:t xml:space="preserve">Calavo will continue to execute its focused strategic business agenda and I look forward to reporting a very successful fiscal 2006, the CEO concluded.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Calavo</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is a worldwide leader in the procurement and marketing of fresh avocados and other perishable foods, as well as the manufacturing and distribution of processed avocado products. Founded in 1924, Calavos expertise in marketing and distributing avocados, processed avocados, and other perishable foods allows the company to deliver a wide array of fresh and processed food products to food distributors, produce wholesalers, supermarkets, and restaurants on a global basis.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Safe Harbor Statement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news release contains statements relating to future events and results of Calavo (including certain projections and business trends) that are forward-looking statements as defined in the Private Securities Litigation Reform Act of 1995. Actual results and events may differ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detailed from time to time in the companys Securities and Exchange Commission filings, including, without limitation, the companys Report on Form 10-K for the year ended October 31, 2005. These forward-looking statements are made only as of the date hereof, and the company undertakes no obligation to update or revise the forward-looking statements, whether as a result of new information, future events or otherwise.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 #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CONSOLIDATED CONDENSED BALANCE SHEETS (UNAUDITED)</w:t>
        <w:br/>
        <w:t>(in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623"/>
        <w:gridCol w:w="420"/>
        <w:gridCol w:w="195"/>
        <w:gridCol w:w="1068"/>
        <w:gridCol w:w="115"/>
        <w:gridCol w:w="420"/>
        <w:gridCol w:w="193"/>
        <w:gridCol w:w="1051"/>
        <w:gridCol w:w="120"/>
      </w:tblGrid>
      <w:tr>
        <w:trPr/>
        <w:tc>
          <w:tcPr>
            <w:tcW w:w="662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63" w:type="dxa"/>
            <w:gridSpan w:val="2"/>
            <w:tcBorders/>
            <w:shd w:fill="auto" w:val="clear"/>
            <w:vAlign w:val="bottom"/>
          </w:tcPr>
          <w:p>
            <w:pPr>
              <w:pStyle w:val="TableContents"/>
              <w:spacing w:before="0" w:after="283"/>
              <w:jc w:val="center"/>
              <w:rPr>
                <w:b/>
              </w:rPr>
            </w:pPr>
            <w:r>
              <w:rPr>
                <w:b/>
              </w:rPr>
              <w:t>January 31,</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b/>
              </w:rPr>
            </w:pPr>
            <w:r>
              <w:rPr>
                <w:b/>
              </w:rPr>
              <w:t>October 31,</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b/>
              </w:rPr>
            </w:pPr>
            <w:r>
              <w:rPr>
                <w:b/>
              </w:rPr>
              <w:t>Assets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Current assets: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Cash and cash equivalents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68" w:type="dxa"/>
            <w:tcBorders/>
            <w:shd w:fill="CCEEFF" w:val="clear"/>
            <w:vAlign w:val="bottom"/>
          </w:tcPr>
          <w:p>
            <w:pPr>
              <w:pStyle w:val="TableContents"/>
              <w:spacing w:before="0" w:after="283"/>
              <w:jc w:val="right"/>
              <w:rPr/>
            </w:pPr>
            <w:r>
              <w:rPr/>
              <w:t>238</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1,133</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Accounts receivable, net of allowances of $2,871 (2006) and $2,688 (2005)</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23,568</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19,253</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Inventories, net</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11,276</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10,096</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Prepaid expenses and other current assets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5,931</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5,879</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Advances to suppliers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588</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1,141</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Income taxes receivable</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1,368</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893</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Deferred income taxes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2,651</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2,651</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auto" w:val="clear"/>
            <w:vAlign w:val="bottom"/>
          </w:tcPr>
          <w:p>
            <w:pPr>
              <w:pStyle w:val="TableContents"/>
              <w:spacing w:before="0" w:after="0"/>
              <w:ind w:left="675" w:right="0" w:hanging="225"/>
              <w:rPr/>
            </w:pPr>
            <w:r>
              <w:rPr/>
              <w:t>Total current assets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45,620</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41,046</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Property, plant, and equipment, net</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17,273</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16,897</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Investment in Limoneira</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39,584</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45,634</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Goodwill</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3,591</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3,591</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Other assets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1,902</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1,314</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 </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68" w:type="dxa"/>
            <w:tcBorders/>
            <w:shd w:fill="CCEEFF" w:val="clear"/>
            <w:vAlign w:val="bottom"/>
          </w:tcPr>
          <w:p>
            <w:pPr>
              <w:pStyle w:val="TableContents"/>
              <w:spacing w:before="0" w:after="283"/>
              <w:jc w:val="right"/>
              <w:rPr/>
            </w:pPr>
            <w:r>
              <w:rPr/>
              <w:t>107,970</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108,842</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225" w:right="0" w:hanging="225"/>
              <w:rPr>
                <w:b/>
              </w:rPr>
            </w:pPr>
            <w:r>
              <w:rPr>
                <w:b/>
              </w:rPr>
              <w:t>Liabilities and shareholders equity</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Current liabilities: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Payable to growers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1068" w:type="dxa"/>
            <w:tcBorders/>
            <w:shd w:fill="auto" w:val="clear"/>
            <w:vAlign w:val="bottom"/>
          </w:tcPr>
          <w:p>
            <w:pPr>
              <w:pStyle w:val="TableContents"/>
              <w:spacing w:before="0" w:after="283"/>
              <w:jc w:val="right"/>
              <w:rPr/>
            </w:pPr>
            <w:r>
              <w:rPr/>
              <w:t>6,740</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1" w:type="dxa"/>
            <w:tcBorders/>
            <w:shd w:fill="auto" w:val="clear"/>
            <w:vAlign w:val="bottom"/>
          </w:tcPr>
          <w:p>
            <w:pPr>
              <w:pStyle w:val="TableContents"/>
              <w:spacing w:before="0" w:after="283"/>
              <w:jc w:val="right"/>
              <w:rPr/>
            </w:pPr>
            <w:r>
              <w:rPr/>
              <w:t>1,753</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Trade accounts payable</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3,372</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1,892</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Accrued expenses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11,330</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12,482</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Short-term borrowings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7,841</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1,424</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Dividend payable</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4,564</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Current portion of long-term obligations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1,312</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1,313</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auto" w:val="clear"/>
            <w:vAlign w:val="bottom"/>
          </w:tcPr>
          <w:p>
            <w:pPr>
              <w:pStyle w:val="TableContents"/>
              <w:spacing w:before="0" w:after="0"/>
              <w:ind w:left="675" w:right="0" w:hanging="225"/>
              <w:rPr/>
            </w:pPr>
            <w:r>
              <w:rPr/>
              <w:t>Total current liabilities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30,595</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23,428</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Long-term liabilities: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450" w:right="0" w:hanging="225"/>
              <w:rPr/>
            </w:pPr>
            <w:r>
              <w:rPr/>
              <w:t>Long-term obligations, less current portion</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11,717</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11,719</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450" w:right="0" w:hanging="225"/>
              <w:rPr/>
            </w:pPr>
            <w:r>
              <w:rPr/>
              <w:t>Deferred income taxes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6,190</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8,589</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auto" w:val="clear"/>
            <w:vAlign w:val="bottom"/>
          </w:tcPr>
          <w:p>
            <w:pPr>
              <w:pStyle w:val="TableContents"/>
              <w:spacing w:before="0" w:after="0"/>
              <w:ind w:left="675" w:right="0" w:hanging="225"/>
              <w:rPr/>
            </w:pPr>
            <w:r>
              <w:rPr/>
              <w:t>Total long-term liabilities</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17,907</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20,308</w:t>
            </w:r>
          </w:p>
        </w:tc>
        <w:tc>
          <w:tcPr>
            <w:tcW w:w="120" w:type="dxa"/>
            <w:tcBorders/>
            <w:shd w:fill="auto" w:val="clear"/>
            <w:vAlign w:val="bottom"/>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Commitments and contingencies</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bottom"/>
          </w:tcPr>
          <w:p>
            <w:pPr>
              <w:pStyle w:val="TableContents"/>
              <w:spacing w:before="0" w:after="0"/>
              <w:ind w:left="675" w:right="0" w:hanging="225"/>
              <w:rPr/>
            </w:pPr>
            <w:r>
              <w:rPr/>
              <w:t>Total shareholders equity</w:t>
            </w:r>
          </w:p>
        </w:tc>
        <w:tc>
          <w:tcPr>
            <w:tcW w:w="42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59,468</w:t>
            </w:r>
          </w:p>
        </w:tc>
        <w:tc>
          <w:tcPr>
            <w:tcW w:w="11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64,746</w:t>
            </w:r>
          </w:p>
        </w:tc>
        <w:tc>
          <w:tcPr>
            <w:tcW w:w="120" w:type="dxa"/>
            <w:tcBorders/>
            <w:shd w:fill="auto"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r>
        <w:trPr/>
        <w:tc>
          <w:tcPr>
            <w:tcW w:w="6623" w:type="dxa"/>
            <w:tcBorders/>
            <w:shd w:fill="CCEEFF" w:val="clear"/>
            <w:vAlign w:val="bottom"/>
          </w:tcPr>
          <w:p>
            <w:pPr>
              <w:pStyle w:val="TableContents"/>
              <w:spacing w:before="0" w:after="0"/>
              <w:ind w:left="225" w:right="0" w:hanging="225"/>
              <w:rPr/>
            </w:pPr>
            <w:r>
              <w:rPr/>
              <w:t> </w:t>
            </w:r>
          </w:p>
        </w:tc>
        <w:tc>
          <w:tcPr>
            <w:tcW w:w="42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1068" w:type="dxa"/>
            <w:tcBorders/>
            <w:shd w:fill="CCEEFF" w:val="clear"/>
            <w:vAlign w:val="bottom"/>
          </w:tcPr>
          <w:p>
            <w:pPr>
              <w:pStyle w:val="TableContents"/>
              <w:spacing w:before="0" w:after="283"/>
              <w:jc w:val="right"/>
              <w:rPr/>
            </w:pPr>
            <w:r>
              <w:rPr/>
              <w:t>107,970</w:t>
            </w:r>
          </w:p>
        </w:tc>
        <w:tc>
          <w:tcPr>
            <w:tcW w:w="11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1" w:type="dxa"/>
            <w:tcBorders/>
            <w:shd w:fill="CCEEFF" w:val="clear"/>
            <w:vAlign w:val="bottom"/>
          </w:tcPr>
          <w:p>
            <w:pPr>
              <w:pStyle w:val="TableContents"/>
              <w:spacing w:before="0" w:after="283"/>
              <w:jc w:val="right"/>
              <w:rPr/>
            </w:pPr>
            <w:r>
              <w:rPr/>
              <w:t>108,842</w:t>
            </w:r>
          </w:p>
        </w:tc>
        <w:tc>
          <w:tcPr>
            <w:tcW w:w="120" w:type="dxa"/>
            <w:tcBorders/>
            <w:shd w:fill="CCEEFF" w:val="clear"/>
            <w:vAlign w:val="bottom"/>
          </w:tcPr>
          <w:p>
            <w:pPr>
              <w:pStyle w:val="TableContents"/>
              <w:spacing w:before="0" w:after="283"/>
              <w:rPr/>
            </w:pPr>
            <w:r>
              <w:rPr/>
              <w:t> </w:t>
            </w:r>
          </w:p>
        </w:tc>
      </w:tr>
      <w:tr>
        <w:trPr/>
        <w:tc>
          <w:tcPr>
            <w:tcW w:w="662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CONSOLIDATED CONDENSED STATEMENTS OF OPERATIONS (UNAUDITED)</w:t>
        <w:br/>
        <w:t>(in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017"/>
        <w:gridCol w:w="452"/>
        <w:gridCol w:w="168"/>
        <w:gridCol w:w="831"/>
        <w:gridCol w:w="141"/>
        <w:gridCol w:w="457"/>
        <w:gridCol w:w="168"/>
        <w:gridCol w:w="832"/>
        <w:gridCol w:w="139"/>
      </w:tblGrid>
      <w:tr>
        <w:trPr/>
        <w:tc>
          <w:tcPr>
            <w:tcW w:w="7017"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7017"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2597" w:type="dxa"/>
            <w:gridSpan w:val="6"/>
            <w:tcBorders/>
            <w:shd w:fill="auto" w:val="clear"/>
            <w:vAlign w:val="bottom"/>
          </w:tcPr>
          <w:p>
            <w:pPr>
              <w:pStyle w:val="TableContents"/>
              <w:spacing w:before="0" w:after="283"/>
              <w:jc w:val="center"/>
              <w:rPr>
                <w:b/>
              </w:rPr>
            </w:pPr>
            <w:r>
              <w:rPr>
                <w:b/>
              </w:rPr>
              <w:t>Three months ended</w:t>
            </w:r>
          </w:p>
        </w:tc>
        <w:tc>
          <w:tcPr>
            <w:tcW w:w="139" w:type="dxa"/>
            <w:tcBorders/>
            <w:shd w:fill="auto" w:val="clear"/>
            <w:vAlign w:val="bottom"/>
          </w:tcPr>
          <w:p>
            <w:pPr>
              <w:pStyle w:val="TableContents"/>
              <w:spacing w:before="0" w:after="283"/>
              <w:rPr/>
            </w:pPr>
            <w:r>
              <w:rPr/>
              <w:t> </w:t>
            </w:r>
          </w:p>
        </w:tc>
      </w:tr>
      <w:tr>
        <w:trPr/>
        <w:tc>
          <w:tcPr>
            <w:tcW w:w="7017"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259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January 31,</w:t>
            </w:r>
          </w:p>
        </w:tc>
        <w:tc>
          <w:tcPr>
            <w:tcW w:w="139" w:type="dxa"/>
            <w:tcBorders/>
            <w:shd w:fill="auto" w:val="clear"/>
            <w:vAlign w:val="bottom"/>
          </w:tcPr>
          <w:p>
            <w:pPr>
              <w:pStyle w:val="TableContents"/>
              <w:spacing w:before="0" w:after="283"/>
              <w:rPr/>
            </w:pPr>
            <w:r>
              <w:rPr/>
              <w:t> </w:t>
            </w:r>
          </w:p>
        </w:tc>
      </w:tr>
      <w:tr>
        <w:trPr/>
        <w:tc>
          <w:tcPr>
            <w:tcW w:w="7017"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0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9" w:type="dxa"/>
            <w:tcBorders/>
            <w:shd w:fill="auto" w:val="clear"/>
            <w:vAlign w:val="bottom"/>
          </w:tcPr>
          <w:p>
            <w:pPr>
              <w:pStyle w:val="TableContents"/>
              <w:spacing w:before="0" w:after="283"/>
              <w:rPr/>
            </w:pPr>
            <w:r>
              <w:rPr/>
              <w:t> </w:t>
            </w:r>
          </w:p>
        </w:tc>
      </w:tr>
      <w:tr>
        <w:trPr/>
        <w:tc>
          <w:tcPr>
            <w:tcW w:w="7017" w:type="dxa"/>
            <w:tcBorders/>
            <w:shd w:fill="CCEEFF" w:val="clear"/>
            <w:vAlign w:val="bottom"/>
          </w:tcPr>
          <w:p>
            <w:pPr>
              <w:pStyle w:val="TableContents"/>
              <w:spacing w:before="0" w:after="0"/>
              <w:ind w:left="225" w:right="0" w:hanging="225"/>
              <w:rPr/>
            </w:pPr>
            <w:r>
              <w:rPr/>
              <w:t>Net sales</w:t>
            </w:r>
          </w:p>
        </w:tc>
        <w:tc>
          <w:tcPr>
            <w:tcW w:w="45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50,647</w:t>
            </w:r>
          </w:p>
        </w:tc>
        <w:tc>
          <w:tcPr>
            <w:tcW w:w="141"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32" w:type="dxa"/>
            <w:tcBorders/>
            <w:shd w:fill="CCEEFF" w:val="clear"/>
            <w:vAlign w:val="bottom"/>
          </w:tcPr>
          <w:p>
            <w:pPr>
              <w:pStyle w:val="TableContents"/>
              <w:spacing w:before="0" w:after="283"/>
              <w:jc w:val="right"/>
              <w:rPr/>
            </w:pPr>
            <w:r>
              <w:rPr/>
              <w:t>47,671</w:t>
            </w:r>
          </w:p>
        </w:tc>
        <w:tc>
          <w:tcPr>
            <w:tcW w:w="139" w:type="dxa"/>
            <w:tcBorders/>
            <w:shd w:fill="CCEEFF" w:val="clear"/>
            <w:vAlign w:val="bottom"/>
          </w:tcPr>
          <w:p>
            <w:pPr>
              <w:pStyle w:val="TableContents"/>
              <w:spacing w:before="0" w:after="283"/>
              <w:rPr/>
            </w:pPr>
            <w:r>
              <w:rPr/>
              <w:t> </w:t>
            </w:r>
          </w:p>
        </w:tc>
      </w:tr>
      <w:tr>
        <w:trPr/>
        <w:tc>
          <w:tcPr>
            <w:tcW w:w="7017" w:type="dxa"/>
            <w:tcBorders/>
            <w:shd w:fill="auto" w:val="clear"/>
            <w:vAlign w:val="bottom"/>
          </w:tcPr>
          <w:p>
            <w:pPr>
              <w:pStyle w:val="TableContents"/>
              <w:spacing w:before="0" w:after="0"/>
              <w:ind w:left="225" w:right="0" w:hanging="225"/>
              <w:rPr/>
            </w:pPr>
            <w:r>
              <w:rPr/>
              <w:t>Cost of sales</w:t>
            </w:r>
          </w:p>
        </w:tc>
        <w:tc>
          <w:tcPr>
            <w:tcW w:w="45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47,237</w:t>
            </w:r>
          </w:p>
        </w:tc>
        <w:tc>
          <w:tcPr>
            <w:tcW w:w="14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45,719</w:t>
            </w:r>
          </w:p>
        </w:tc>
        <w:tc>
          <w:tcPr>
            <w:tcW w:w="139" w:type="dxa"/>
            <w:tcBorders/>
            <w:shd w:fill="auto" w:val="clear"/>
            <w:vAlign w:val="bottom"/>
          </w:tcPr>
          <w:p>
            <w:pPr>
              <w:pStyle w:val="TableContents"/>
              <w:spacing w:before="0" w:after="283"/>
              <w:rPr/>
            </w:pPr>
            <w:r>
              <w:rPr/>
              <w:t> </w:t>
            </w:r>
          </w:p>
        </w:tc>
      </w:tr>
      <w:tr>
        <w:trPr/>
        <w:tc>
          <w:tcPr>
            <w:tcW w:w="7017"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17" w:type="dxa"/>
            <w:tcBorders/>
            <w:shd w:fill="CCEEFF" w:val="clear"/>
            <w:vAlign w:val="bottom"/>
          </w:tcPr>
          <w:p>
            <w:pPr>
              <w:pStyle w:val="TableContents"/>
              <w:spacing w:before="0" w:after="0"/>
              <w:ind w:left="225" w:right="0" w:hanging="225"/>
              <w:rPr/>
            </w:pPr>
            <w:r>
              <w:rPr/>
              <w:t>Gross margin</w:t>
            </w:r>
          </w:p>
        </w:tc>
        <w:tc>
          <w:tcPr>
            <w:tcW w:w="45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3,410</w:t>
            </w:r>
          </w:p>
        </w:tc>
        <w:tc>
          <w:tcPr>
            <w:tcW w:w="141"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jc w:val="right"/>
              <w:rPr/>
            </w:pPr>
            <w:r>
              <w:rPr/>
              <w:t>1,952</w:t>
            </w:r>
          </w:p>
        </w:tc>
        <w:tc>
          <w:tcPr>
            <w:tcW w:w="139" w:type="dxa"/>
            <w:tcBorders/>
            <w:shd w:fill="CCEEFF" w:val="clear"/>
            <w:vAlign w:val="bottom"/>
          </w:tcPr>
          <w:p>
            <w:pPr>
              <w:pStyle w:val="TableContents"/>
              <w:spacing w:before="0" w:after="283"/>
              <w:rPr/>
            </w:pPr>
            <w:r>
              <w:rPr/>
              <w:t> </w:t>
            </w:r>
          </w:p>
        </w:tc>
      </w:tr>
      <w:tr>
        <w:trPr/>
        <w:tc>
          <w:tcPr>
            <w:tcW w:w="7017" w:type="dxa"/>
            <w:tcBorders/>
            <w:shd w:fill="auto" w:val="clear"/>
            <w:vAlign w:val="bottom"/>
          </w:tcPr>
          <w:p>
            <w:pPr>
              <w:pStyle w:val="TableContents"/>
              <w:spacing w:before="0" w:after="0"/>
              <w:ind w:left="225" w:right="0" w:hanging="225"/>
              <w:rPr/>
            </w:pPr>
            <w:r>
              <w:rPr/>
              <w:t>Selling, general and administrative.</w:t>
            </w:r>
          </w:p>
        </w:tc>
        <w:tc>
          <w:tcPr>
            <w:tcW w:w="45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4,444</w:t>
            </w:r>
          </w:p>
        </w:tc>
        <w:tc>
          <w:tcPr>
            <w:tcW w:w="14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4,513</w:t>
            </w:r>
          </w:p>
        </w:tc>
        <w:tc>
          <w:tcPr>
            <w:tcW w:w="139" w:type="dxa"/>
            <w:tcBorders/>
            <w:shd w:fill="auto" w:val="clear"/>
            <w:vAlign w:val="bottom"/>
          </w:tcPr>
          <w:p>
            <w:pPr>
              <w:pStyle w:val="TableContents"/>
              <w:spacing w:before="0" w:after="283"/>
              <w:rPr/>
            </w:pPr>
            <w:r>
              <w:rPr/>
              <w:t> </w:t>
            </w:r>
          </w:p>
        </w:tc>
      </w:tr>
      <w:tr>
        <w:trPr/>
        <w:tc>
          <w:tcPr>
            <w:tcW w:w="7017"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17" w:type="dxa"/>
            <w:tcBorders/>
            <w:shd w:fill="CCEEFF" w:val="clear"/>
            <w:vAlign w:val="bottom"/>
          </w:tcPr>
          <w:p>
            <w:pPr>
              <w:pStyle w:val="TableContents"/>
              <w:spacing w:before="0" w:after="0"/>
              <w:ind w:left="225" w:right="0" w:hanging="225"/>
              <w:rPr/>
            </w:pPr>
            <w:r>
              <w:rPr/>
              <w:t>Operating loss</w:t>
            </w:r>
          </w:p>
        </w:tc>
        <w:tc>
          <w:tcPr>
            <w:tcW w:w="45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831" w:type="dxa"/>
            <w:tcBorders/>
            <w:shd w:fill="CCEEFF" w:val="clear"/>
            <w:vAlign w:val="bottom"/>
          </w:tcPr>
          <w:p>
            <w:pPr>
              <w:pStyle w:val="TableContents"/>
              <w:spacing w:before="0" w:after="283"/>
              <w:jc w:val="right"/>
              <w:rPr/>
            </w:pPr>
            <w:r>
              <w:rPr/>
              <w:t>(1,034</w:t>
            </w:r>
          </w:p>
        </w:tc>
        <w:tc>
          <w:tcPr>
            <w:tcW w:w="141"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832" w:type="dxa"/>
            <w:tcBorders/>
            <w:shd w:fill="CCEEFF" w:val="clear"/>
            <w:vAlign w:val="bottom"/>
          </w:tcPr>
          <w:p>
            <w:pPr>
              <w:pStyle w:val="TableContents"/>
              <w:spacing w:before="0" w:after="283"/>
              <w:jc w:val="right"/>
              <w:rPr/>
            </w:pPr>
            <w:r>
              <w:rPr/>
              <w:t>(2,561</w:t>
            </w:r>
          </w:p>
        </w:tc>
        <w:tc>
          <w:tcPr>
            <w:tcW w:w="139" w:type="dxa"/>
            <w:tcBorders/>
            <w:shd w:fill="CCEEFF" w:val="clear"/>
            <w:vAlign w:val="bottom"/>
          </w:tcPr>
          <w:p>
            <w:pPr>
              <w:pStyle w:val="TableContents"/>
              <w:spacing w:before="0" w:after="283"/>
              <w:rPr/>
            </w:pPr>
            <w:r>
              <w:rPr/>
              <w:t>)</w:t>
            </w:r>
          </w:p>
        </w:tc>
      </w:tr>
      <w:tr>
        <w:trPr/>
        <w:tc>
          <w:tcPr>
            <w:tcW w:w="7017" w:type="dxa"/>
            <w:tcBorders/>
            <w:shd w:fill="auto" w:val="clear"/>
            <w:vAlign w:val="bottom"/>
          </w:tcPr>
          <w:p>
            <w:pPr>
              <w:pStyle w:val="TableContents"/>
              <w:spacing w:before="0" w:after="0"/>
              <w:ind w:left="225" w:right="0" w:hanging="225"/>
              <w:rPr/>
            </w:pPr>
            <w:r>
              <w:rPr/>
              <w:t>Other income/(expense), net</w:t>
            </w:r>
          </w:p>
        </w:tc>
        <w:tc>
          <w:tcPr>
            <w:tcW w:w="45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831" w:type="dxa"/>
            <w:tcBorders/>
            <w:shd w:fill="auto" w:val="clear"/>
            <w:vAlign w:val="bottom"/>
          </w:tcPr>
          <w:p>
            <w:pPr>
              <w:pStyle w:val="TableContents"/>
              <w:spacing w:before="0" w:after="283"/>
              <w:jc w:val="right"/>
              <w:rPr/>
            </w:pPr>
            <w:r>
              <w:rPr/>
              <w:t>(75</w:t>
            </w:r>
          </w:p>
        </w:tc>
        <w:tc>
          <w:tcPr>
            <w:tcW w:w="141"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82</w:t>
            </w:r>
          </w:p>
        </w:tc>
        <w:tc>
          <w:tcPr>
            <w:tcW w:w="139" w:type="dxa"/>
            <w:tcBorders/>
            <w:shd w:fill="auto" w:val="clear"/>
            <w:vAlign w:val="bottom"/>
          </w:tcPr>
          <w:p>
            <w:pPr>
              <w:pStyle w:val="TableContents"/>
              <w:spacing w:before="0" w:after="283"/>
              <w:rPr/>
            </w:pPr>
            <w:r>
              <w:rPr/>
              <w:t> </w:t>
            </w:r>
          </w:p>
        </w:tc>
      </w:tr>
      <w:tr>
        <w:trPr/>
        <w:tc>
          <w:tcPr>
            <w:tcW w:w="7017"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17" w:type="dxa"/>
            <w:tcBorders/>
            <w:shd w:fill="CCEEFF" w:val="clear"/>
            <w:vAlign w:val="bottom"/>
          </w:tcPr>
          <w:p>
            <w:pPr>
              <w:pStyle w:val="TableContents"/>
              <w:spacing w:before="0" w:after="0"/>
              <w:ind w:left="225" w:right="0" w:hanging="225"/>
              <w:rPr/>
            </w:pPr>
            <w:r>
              <w:rPr/>
              <w:t>Loss before benefit for income taxes</w:t>
            </w:r>
          </w:p>
        </w:tc>
        <w:tc>
          <w:tcPr>
            <w:tcW w:w="45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831" w:type="dxa"/>
            <w:tcBorders/>
            <w:shd w:fill="CCEEFF" w:val="clear"/>
            <w:vAlign w:val="bottom"/>
          </w:tcPr>
          <w:p>
            <w:pPr>
              <w:pStyle w:val="TableContents"/>
              <w:spacing w:before="0" w:after="283"/>
              <w:jc w:val="right"/>
              <w:rPr/>
            </w:pPr>
            <w:r>
              <w:rPr/>
              <w:t>(1,109</w:t>
            </w:r>
          </w:p>
        </w:tc>
        <w:tc>
          <w:tcPr>
            <w:tcW w:w="141"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 </w:t>
            </w:r>
          </w:p>
        </w:tc>
        <w:tc>
          <w:tcPr>
            <w:tcW w:w="832" w:type="dxa"/>
            <w:tcBorders/>
            <w:shd w:fill="CCEEFF" w:val="clear"/>
            <w:vAlign w:val="bottom"/>
          </w:tcPr>
          <w:p>
            <w:pPr>
              <w:pStyle w:val="TableContents"/>
              <w:spacing w:before="0" w:after="283"/>
              <w:jc w:val="right"/>
              <w:rPr/>
            </w:pPr>
            <w:r>
              <w:rPr/>
              <w:t>(2,479</w:t>
            </w:r>
          </w:p>
        </w:tc>
        <w:tc>
          <w:tcPr>
            <w:tcW w:w="139" w:type="dxa"/>
            <w:tcBorders/>
            <w:shd w:fill="CCEEFF" w:val="clear"/>
            <w:vAlign w:val="bottom"/>
          </w:tcPr>
          <w:p>
            <w:pPr>
              <w:pStyle w:val="TableContents"/>
              <w:spacing w:before="0" w:after="283"/>
              <w:rPr/>
            </w:pPr>
            <w:r>
              <w:rPr/>
              <w:t>)</w:t>
            </w:r>
          </w:p>
        </w:tc>
      </w:tr>
      <w:tr>
        <w:trPr/>
        <w:tc>
          <w:tcPr>
            <w:tcW w:w="7017" w:type="dxa"/>
            <w:tcBorders/>
            <w:shd w:fill="auto" w:val="clear"/>
            <w:vAlign w:val="bottom"/>
          </w:tcPr>
          <w:p>
            <w:pPr>
              <w:pStyle w:val="TableContents"/>
              <w:spacing w:before="0" w:after="0"/>
              <w:ind w:left="225" w:right="0" w:hanging="225"/>
              <w:rPr/>
            </w:pPr>
            <w:r>
              <w:rPr/>
              <w:t>Benefit for income taxes</w:t>
            </w:r>
          </w:p>
        </w:tc>
        <w:tc>
          <w:tcPr>
            <w:tcW w:w="45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831" w:type="dxa"/>
            <w:tcBorders/>
            <w:shd w:fill="auto" w:val="clear"/>
            <w:vAlign w:val="bottom"/>
          </w:tcPr>
          <w:p>
            <w:pPr>
              <w:pStyle w:val="TableContents"/>
              <w:spacing w:before="0" w:after="283"/>
              <w:jc w:val="right"/>
              <w:rPr/>
            </w:pPr>
            <w:r>
              <w:rPr/>
              <w:t>(444</w:t>
            </w:r>
          </w:p>
        </w:tc>
        <w:tc>
          <w:tcPr>
            <w:tcW w:w="141"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 </w:t>
            </w:r>
          </w:p>
        </w:tc>
        <w:tc>
          <w:tcPr>
            <w:tcW w:w="832" w:type="dxa"/>
            <w:tcBorders/>
            <w:shd w:fill="auto" w:val="clear"/>
            <w:vAlign w:val="bottom"/>
          </w:tcPr>
          <w:p>
            <w:pPr>
              <w:pStyle w:val="TableContents"/>
              <w:spacing w:before="0" w:after="283"/>
              <w:jc w:val="right"/>
              <w:rPr/>
            </w:pPr>
            <w:r>
              <w:rPr/>
              <w:t>(932</w:t>
            </w:r>
          </w:p>
        </w:tc>
        <w:tc>
          <w:tcPr>
            <w:tcW w:w="139" w:type="dxa"/>
            <w:tcBorders/>
            <w:shd w:fill="auto" w:val="clear"/>
            <w:vAlign w:val="bottom"/>
          </w:tcPr>
          <w:p>
            <w:pPr>
              <w:pStyle w:val="TableContents"/>
              <w:spacing w:before="0" w:after="283"/>
              <w:rPr/>
            </w:pPr>
            <w:r>
              <w:rPr/>
              <w:t>)</w:t>
            </w:r>
          </w:p>
        </w:tc>
      </w:tr>
      <w:tr>
        <w:trPr/>
        <w:tc>
          <w:tcPr>
            <w:tcW w:w="7017"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17" w:type="dxa"/>
            <w:tcBorders/>
            <w:shd w:fill="CCEEFF" w:val="clear"/>
            <w:vAlign w:val="bottom"/>
          </w:tcPr>
          <w:p>
            <w:pPr>
              <w:pStyle w:val="TableContents"/>
              <w:spacing w:before="0" w:after="0"/>
              <w:ind w:left="225" w:right="0" w:hanging="225"/>
              <w:rPr/>
            </w:pPr>
            <w:r>
              <w:rPr/>
              <w:t>Net loss</w:t>
            </w:r>
          </w:p>
        </w:tc>
        <w:tc>
          <w:tcPr>
            <w:tcW w:w="45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(665</w:t>
            </w:r>
          </w:p>
        </w:tc>
        <w:tc>
          <w:tcPr>
            <w:tcW w:w="141"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32" w:type="dxa"/>
            <w:tcBorders/>
            <w:shd w:fill="CCEEFF" w:val="clear"/>
            <w:vAlign w:val="bottom"/>
          </w:tcPr>
          <w:p>
            <w:pPr>
              <w:pStyle w:val="TableContents"/>
              <w:spacing w:before="0" w:after="283"/>
              <w:jc w:val="right"/>
              <w:rPr/>
            </w:pPr>
            <w:r>
              <w:rPr/>
              <w:t>(1,547</w:t>
            </w:r>
          </w:p>
        </w:tc>
        <w:tc>
          <w:tcPr>
            <w:tcW w:w="139" w:type="dxa"/>
            <w:tcBorders/>
            <w:shd w:fill="CCEEFF" w:val="clear"/>
            <w:vAlign w:val="bottom"/>
          </w:tcPr>
          <w:p>
            <w:pPr>
              <w:pStyle w:val="TableContents"/>
              <w:spacing w:before="0" w:after="283"/>
              <w:rPr/>
            </w:pPr>
            <w:r>
              <w:rPr/>
              <w:t>)</w:t>
            </w:r>
          </w:p>
        </w:tc>
      </w:tr>
      <w:tr>
        <w:trPr/>
        <w:tc>
          <w:tcPr>
            <w:tcW w:w="7017"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17" w:type="dxa"/>
            <w:tcBorders/>
            <w:shd w:fill="auto" w:val="clear"/>
            <w:vAlign w:val="bottom"/>
          </w:tcPr>
          <w:p>
            <w:pPr>
              <w:pStyle w:val="TableContents"/>
              <w:spacing w:before="0" w:after="0"/>
              <w:ind w:left="225" w:right="0" w:hanging="225"/>
              <w:rPr/>
            </w:pPr>
            <w:r>
              <w:rPr/>
              <w:t>Net loss per share:</w:t>
            </w:r>
          </w:p>
        </w:tc>
        <w:tc>
          <w:tcPr>
            <w:tcW w:w="45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7017" w:type="dxa"/>
            <w:tcBorders/>
            <w:shd w:fill="CCEEFF" w:val="clear"/>
            <w:vAlign w:val="bottom"/>
          </w:tcPr>
          <w:p>
            <w:pPr>
              <w:pStyle w:val="TableContents"/>
              <w:spacing w:before="0" w:after="0"/>
              <w:ind w:left="450" w:right="0" w:hanging="225"/>
              <w:rPr/>
            </w:pPr>
            <w:r>
              <w:rPr/>
              <w:t>Basic</w:t>
            </w:r>
          </w:p>
        </w:tc>
        <w:tc>
          <w:tcPr>
            <w:tcW w:w="45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(0.05</w:t>
            </w:r>
          </w:p>
        </w:tc>
        <w:tc>
          <w:tcPr>
            <w:tcW w:w="141"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32" w:type="dxa"/>
            <w:tcBorders/>
            <w:shd w:fill="CCEEFF" w:val="clear"/>
            <w:vAlign w:val="bottom"/>
          </w:tcPr>
          <w:p>
            <w:pPr>
              <w:pStyle w:val="TableContents"/>
              <w:spacing w:before="0" w:after="283"/>
              <w:jc w:val="right"/>
              <w:rPr/>
            </w:pPr>
            <w:r>
              <w:rPr/>
              <w:t>(0.11</w:t>
            </w:r>
          </w:p>
        </w:tc>
        <w:tc>
          <w:tcPr>
            <w:tcW w:w="139" w:type="dxa"/>
            <w:tcBorders/>
            <w:shd w:fill="CCEEFF" w:val="clear"/>
            <w:vAlign w:val="bottom"/>
          </w:tcPr>
          <w:p>
            <w:pPr>
              <w:pStyle w:val="TableContents"/>
              <w:spacing w:before="0" w:after="283"/>
              <w:rPr/>
            </w:pPr>
            <w:r>
              <w:rPr/>
              <w:t>)</w:t>
            </w:r>
          </w:p>
        </w:tc>
      </w:tr>
      <w:tr>
        <w:trPr/>
        <w:tc>
          <w:tcPr>
            <w:tcW w:w="7017"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17" w:type="dxa"/>
            <w:tcBorders/>
            <w:shd w:fill="auto" w:val="clear"/>
            <w:vAlign w:val="bottom"/>
          </w:tcPr>
          <w:p>
            <w:pPr>
              <w:pStyle w:val="TableContents"/>
              <w:spacing w:before="0" w:after="0"/>
              <w:ind w:left="450" w:right="0" w:hanging="225"/>
              <w:rPr/>
            </w:pPr>
            <w:r>
              <w:rPr/>
              <w:t>Diluted</w:t>
            </w:r>
          </w:p>
        </w:tc>
        <w:tc>
          <w:tcPr>
            <w:tcW w:w="45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(0.05</w:t>
            </w:r>
          </w:p>
        </w:tc>
        <w:tc>
          <w:tcPr>
            <w:tcW w:w="141"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32" w:type="dxa"/>
            <w:tcBorders/>
            <w:shd w:fill="auto" w:val="clear"/>
            <w:vAlign w:val="bottom"/>
          </w:tcPr>
          <w:p>
            <w:pPr>
              <w:pStyle w:val="TableContents"/>
              <w:spacing w:before="0" w:after="283"/>
              <w:jc w:val="right"/>
              <w:rPr/>
            </w:pPr>
            <w:r>
              <w:rPr/>
              <w:t>(0.11</w:t>
            </w:r>
          </w:p>
        </w:tc>
        <w:tc>
          <w:tcPr>
            <w:tcW w:w="139" w:type="dxa"/>
            <w:tcBorders/>
            <w:shd w:fill="auto" w:val="clear"/>
            <w:vAlign w:val="bottom"/>
          </w:tcPr>
          <w:p>
            <w:pPr>
              <w:pStyle w:val="TableContents"/>
              <w:spacing w:before="0" w:after="283"/>
              <w:rPr/>
            </w:pPr>
            <w:r>
              <w:rPr/>
              <w:t>)</w:t>
            </w:r>
          </w:p>
        </w:tc>
      </w:tr>
      <w:tr>
        <w:trPr/>
        <w:tc>
          <w:tcPr>
            <w:tcW w:w="7017"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17" w:type="dxa"/>
            <w:tcBorders/>
            <w:shd w:fill="CCEEFF" w:val="clear"/>
            <w:vAlign w:val="bottom"/>
          </w:tcPr>
          <w:p>
            <w:pPr>
              <w:pStyle w:val="TableContents"/>
              <w:spacing w:before="0" w:after="0"/>
              <w:ind w:left="225" w:right="0" w:hanging="225"/>
              <w:rPr/>
            </w:pPr>
            <w:r>
              <w:rPr/>
              <w:t>Number of shares used in per share computation:</w:t>
            </w:r>
          </w:p>
        </w:tc>
        <w:tc>
          <w:tcPr>
            <w:tcW w:w="45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7017" w:type="dxa"/>
            <w:tcBorders/>
            <w:shd w:fill="auto" w:val="clear"/>
            <w:vAlign w:val="bottom"/>
          </w:tcPr>
          <w:p>
            <w:pPr>
              <w:pStyle w:val="TableContents"/>
              <w:spacing w:before="0" w:after="0"/>
              <w:ind w:left="450" w:right="0" w:hanging="225"/>
              <w:rPr/>
            </w:pPr>
            <w:r>
              <w:rPr/>
              <w:t>Basic</w:t>
            </w:r>
          </w:p>
        </w:tc>
        <w:tc>
          <w:tcPr>
            <w:tcW w:w="45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pPr>
            <w:r>
              <w:rPr/>
              <w:t>14,352</w:t>
            </w:r>
          </w:p>
        </w:tc>
        <w:tc>
          <w:tcPr>
            <w:tcW w:w="141"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32" w:type="dxa"/>
            <w:tcBorders/>
            <w:shd w:fill="auto" w:val="clear"/>
            <w:vAlign w:val="bottom"/>
          </w:tcPr>
          <w:p>
            <w:pPr>
              <w:pStyle w:val="TableContents"/>
              <w:spacing w:before="0" w:after="283"/>
              <w:jc w:val="right"/>
              <w:rPr/>
            </w:pPr>
            <w:r>
              <w:rPr/>
              <w:t>13,507</w:t>
            </w:r>
          </w:p>
        </w:tc>
        <w:tc>
          <w:tcPr>
            <w:tcW w:w="139" w:type="dxa"/>
            <w:tcBorders/>
            <w:shd w:fill="auto" w:val="clear"/>
            <w:vAlign w:val="bottom"/>
          </w:tcPr>
          <w:p>
            <w:pPr>
              <w:pStyle w:val="TableContents"/>
              <w:spacing w:before="0" w:after="283"/>
              <w:rPr/>
            </w:pPr>
            <w:r>
              <w:rPr/>
              <w:t> </w:t>
            </w:r>
          </w:p>
        </w:tc>
      </w:tr>
      <w:tr>
        <w:trPr/>
        <w:tc>
          <w:tcPr>
            <w:tcW w:w="7017"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7017" w:type="dxa"/>
            <w:tcBorders/>
            <w:shd w:fill="CCEEFF" w:val="clear"/>
            <w:vAlign w:val="bottom"/>
          </w:tcPr>
          <w:p>
            <w:pPr>
              <w:pStyle w:val="TableContents"/>
              <w:spacing w:before="0" w:after="0"/>
              <w:ind w:left="450" w:right="0" w:hanging="225"/>
              <w:rPr/>
            </w:pPr>
            <w:r>
              <w:rPr/>
              <w:t>Diluted</w:t>
            </w:r>
          </w:p>
        </w:tc>
        <w:tc>
          <w:tcPr>
            <w:tcW w:w="45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14,352</w:t>
            </w:r>
          </w:p>
        </w:tc>
        <w:tc>
          <w:tcPr>
            <w:tcW w:w="141"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32" w:type="dxa"/>
            <w:tcBorders/>
            <w:shd w:fill="CCEEFF" w:val="clear"/>
            <w:vAlign w:val="bottom"/>
          </w:tcPr>
          <w:p>
            <w:pPr>
              <w:pStyle w:val="TableContents"/>
              <w:spacing w:before="0" w:after="283"/>
              <w:jc w:val="right"/>
              <w:rPr/>
            </w:pPr>
            <w:r>
              <w:rPr/>
              <w:t>13,507</w:t>
            </w:r>
          </w:p>
        </w:tc>
        <w:tc>
          <w:tcPr>
            <w:tcW w:w="139" w:type="dxa"/>
            <w:tcBorders/>
            <w:shd w:fill="CCEEFF" w:val="clear"/>
            <w:vAlign w:val="bottom"/>
          </w:tcPr>
          <w:p>
            <w:pPr>
              <w:pStyle w:val="TableContents"/>
              <w:spacing w:before="0" w:after="283"/>
              <w:rPr/>
            </w:pPr>
            <w:r>
              <w:rPr/>
              <w:t> </w:t>
            </w:r>
          </w:p>
        </w:tc>
      </w:tr>
      <w:tr>
        <w:trPr/>
        <w:tc>
          <w:tcPr>
            <w:tcW w:w="7017" w:type="dxa"/>
            <w:tcBorders/>
            <w:shd w:fill="auto" w:val="clear"/>
            <w:vAlign w:val="center"/>
          </w:tcPr>
          <w:p>
            <w:pPr>
              <w:pStyle w:val="TableContents"/>
              <w:spacing w:before="0" w:after="0"/>
              <w:ind w:left="225" w:right="0" w:hanging="225"/>
              <w:rPr/>
            </w:pPr>
            <w:r>
              <w:rPr/>
              <w:t> </w:t>
            </w:r>
          </w:p>
        </w:tc>
        <w:tc>
          <w:tcPr>
            <w:tcW w:w="452" w:type="dxa"/>
            <w:tcBorders/>
            <w:shd w:fill="auto" w:val="clear"/>
            <w:vAlign w:val="center"/>
          </w:tcPr>
          <w:p>
            <w:pPr>
              <w:pStyle w:val="TableContents"/>
              <w:spacing w:before="0" w:after="283"/>
              <w:rPr/>
            </w:pPr>
            <w:r>
              <w:rPr/>
              <w:t> </w:t>
            </w:r>
          </w:p>
        </w:tc>
        <w:tc>
          <w:tcPr>
            <w:tcW w:w="9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5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1645</Words>
  <CharactersWithSpaces>11039</CharactersWithSpaces>
  <Paragraphs>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