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3</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-12065</wp:posOffset>
            </wp:positionV>
            <wp:extent cx="342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CALAVO GROWERS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128246105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128246105</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127921</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128931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128931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0.73%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128246105</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127921</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128931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128931</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0.73%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128246105</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Equity Funds</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94949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94949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7"/>
        </w:numPr>
        <w:rPr>
          <w:rFonts w:ascii="Arial" w:cs="Arial" w:eastAsia="Arial" w:hAnsi="Arial"/>
          <w:sz w:val="32"/>
          <w:szCs w:val="32"/>
          <w:b w:val="1"/>
          <w:bCs w:val="1"/>
          <w:color w:val="auto"/>
        </w:rPr>
      </w:pPr>
      <w:r>
        <w:rPr>
          <w:rFonts w:ascii="Arial" w:cs="Arial" w:eastAsia="Arial" w:hAnsi="Arial"/>
          <w:sz w:val="18"/>
          <w:szCs w:val="18"/>
          <w:color w:val="auto"/>
        </w:rPr>
        <w:t>94949</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0.54%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IV</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jc w:val="right"/>
              <w:ind w:right="70"/>
              <w:spacing w:after="0"/>
              <w:rPr>
                <w:sz w:val="20"/>
                <w:szCs w:val="20"/>
                <w:color w:val="auto"/>
              </w:rPr>
            </w:pPr>
            <w:r>
              <w:rPr>
                <w:rFonts w:ascii="Arial" w:cs="Arial" w:eastAsia="Arial" w:hAnsi="Arial"/>
                <w:sz w:val="18"/>
                <w:szCs w:val="18"/>
                <w:color w:val="auto"/>
              </w:rPr>
              <w:t>128246105</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Genesis Fund</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94949</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94949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94949</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0.54%</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IV</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CALAVO GROWERS INC</w:t>
      </w:r>
    </w:p>
    <w:p>
      <w:pPr>
        <w:spacing w:after="0" w:line="237"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 of Issuer’s Principal Executive Offices 1141A CUMMINGS ROAD</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SANTA PAULA, CA 93060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91"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 of Person Filing Neuberger Berman Group LLC</w:t>
      </w:r>
    </w:p>
    <w:p>
      <w:pPr>
        <w:ind w:left="1300" w:right="6600"/>
        <w:spacing w:after="0" w:line="255" w:lineRule="auto"/>
        <w:rPr>
          <w:rFonts w:ascii="Arial" w:cs="Arial" w:eastAsia="Arial" w:hAnsi="Arial"/>
          <w:sz w:val="16"/>
          <w:szCs w:val="16"/>
          <w:color w:val="auto"/>
        </w:rPr>
      </w:pPr>
      <w:r>
        <w:rPr>
          <w:rFonts w:ascii="Arial" w:cs="Arial" w:eastAsia="Arial" w:hAnsi="Arial"/>
          <w:sz w:val="18"/>
          <w:szCs w:val="18"/>
          <w:color w:val="auto"/>
        </w:rPr>
        <w:t>Neuberger Berman Investment Advisers LLC Neuberger Berman Equity Funds Neuberger Berman Genesis Fund</w:t>
      </w:r>
    </w:p>
    <w:p>
      <w:pPr>
        <w:spacing w:after="0" w:line="217"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1290 Avenue of the Americas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10104</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CUSIP Number 128246105</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128,931</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0.73%</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127,921</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128,931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7" w:name="page8"/>
    <w:bookmarkEnd w:id="7"/>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360"/>
          </w:cols>
          <w:pgMar w:left="240" w:top="756" w:right="299" w:bottom="806"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12, 2020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40"/>
          </w:cols>
          <w:pgMar w:left="240" w:top="756" w:right="299" w:bottom="80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Investment Advisers LLC</w:t>
      </w:r>
    </w:p>
    <w:p>
      <w:pPr>
        <w:sectPr>
          <w:pgSz w:w="11900" w:h="16838" w:orient="portrait"/>
          <w:cols w:equalWidth="0" w:num="1">
            <w:col w:w="11360"/>
          </w:cols>
          <w:pgMar w:left="240" w:top="756" w:right="299" w:bottom="806"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12, 2020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40"/>
          </w:cols>
          <w:pgMar w:left="240" w:top="756" w:right="299" w:bottom="80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Equity Funds</w:t>
      </w:r>
    </w:p>
    <w:p>
      <w:pPr>
        <w:sectPr>
          <w:pgSz w:w="11900" w:h="16838" w:orient="portrait"/>
          <w:cols w:equalWidth="0" w:num="1">
            <w:col w:w="11360"/>
          </w:cols>
          <w:pgMar w:left="240" w:top="756" w:right="299" w:bottom="806"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12, 2020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Brian Kerrane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Brian Kerrane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Title: Chief Operating Officer</w:t>
      </w:r>
    </w:p>
    <w:p>
      <w:pPr>
        <w:spacing w:after="0" w:line="200" w:lineRule="exact"/>
        <w:rPr>
          <w:sz w:val="20"/>
          <w:szCs w:val="20"/>
          <w:color w:val="auto"/>
        </w:rPr>
      </w:pPr>
    </w:p>
    <w:p>
      <w:pPr>
        <w:sectPr>
          <w:pgSz w:w="11900" w:h="16838" w:orient="portrait"/>
          <w:cols w:equalWidth="0" w:num="2">
            <w:col w:w="5000" w:space="720"/>
            <w:col w:w="5640"/>
          </w:cols>
          <w:pgMar w:left="240" w:top="756" w:right="299" w:bottom="80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Genesis Fund</w:t>
      </w:r>
    </w:p>
    <w:p>
      <w:pPr>
        <w:sectPr>
          <w:pgSz w:w="11900" w:h="16838" w:orient="portrait"/>
          <w:cols w:equalWidth="0" w:num="1">
            <w:col w:w="11360"/>
          </w:cols>
          <w:pgMar w:left="240" w:top="756" w:right="299" w:bottom="806"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12, 2020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Brian Kerrane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Brian Kerrane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Chief Operating Officer</w:t>
      </w:r>
    </w:p>
    <w:p>
      <w:pPr>
        <w:spacing w:after="0" w:line="200" w:lineRule="exact"/>
        <w:rPr>
          <w:sz w:val="20"/>
          <w:szCs w:val="20"/>
          <w:color w:val="auto"/>
        </w:rPr>
      </w:pPr>
    </w:p>
    <w:p>
      <w:pPr>
        <w:sectPr>
          <w:pgSz w:w="11900" w:h="16838" w:orient="portrait"/>
          <w:cols w:equalWidth="0" w:num="3">
            <w:col w:w="5000" w:space="720"/>
            <w:col w:w="260" w:space="100"/>
            <w:col w:w="5280"/>
          </w:cols>
          <w:pgMar w:left="240" w:top="756" w:right="299" w:bottom="806" w:gutter="0" w:footer="0" w:header="0"/>
          <w:type w:val="continuous"/>
        </w:sect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spacing w:after="0" w:line="252" w:lineRule="auto"/>
        <w:rPr>
          <w:sz w:val="20"/>
          <w:szCs w:val="20"/>
          <w:color w:val="auto"/>
        </w:rPr>
      </w:pPr>
      <w:r>
        <w:rPr>
          <w:rFonts w:ascii="Arial" w:cs="Arial" w:eastAsia="Arial" w:hAnsi="Arial"/>
          <w:sz w:val="18"/>
          <w:szCs w:val="18"/>
          <w:color w:val="auto"/>
        </w:rPr>
        <w:t>Neuberger Berman Trust Co N.A., Neuberger Berman Trust Co of Delaware N.A., Neuberger Berman Asia Ltd., Neuberger Berman Breton Hill ULC, NB Alternatives Advisers LLC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NB Alternatives Holdings LLC and Neuberger Trust Holdings LLC controls Neuberger Berman Trust Co N.A., Neuberger Berman Asia Ltd., Neuberger Berman Breton Hill ULC, Neuberger Berman Trust Co of Delaware N.A., NB Alternatives Advisers LLC and Neuberger Berman Investment Advisers LLC and certain affiliated persons.</w:t>
      </w:r>
    </w:p>
    <w:p>
      <w:pPr>
        <w:spacing w:after="0" w:line="193" w:lineRule="exact"/>
        <w:rPr>
          <w:sz w:val="20"/>
          <w:szCs w:val="20"/>
          <w:color w:val="auto"/>
        </w:rPr>
      </w:pPr>
    </w:p>
    <w:p>
      <w:pPr>
        <w:ind w:left="860" w:right="100"/>
        <w:spacing w:after="0" w:line="276" w:lineRule="auto"/>
        <w:rPr>
          <w:sz w:val="20"/>
          <w:szCs w:val="20"/>
          <w:color w:val="auto"/>
        </w:rPr>
      </w:pPr>
      <w:r>
        <w:rPr>
          <w:rFonts w:ascii="Arial" w:cs="Arial" w:eastAsia="Arial" w:hAnsi="Arial"/>
          <w:sz w:val="17"/>
          <w:szCs w:val="17"/>
          <w:color w:val="auto"/>
        </w:rPr>
        <w:t>This report is not an admission that any of these entities are the beneficial owner of the securities covered by this report and each of Neuberger Berman Group LLC, Neuberger Berman Investment Advisers Holdings LLC, NB Alternatives Holdings LLC, Neuberger Trust Holdings LLC, Neuberger Berman Trust Co N.A., Neuberger Berman Asia Ltd., Neuberger Berman Breton Hill ULC,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60"/>
      </w:cols>
      <w:pgMar w:left="240" w:top="756" w:right="299" w:bottom="80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x"/>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9"/>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9"/>
      <w:numFmt w:val="bullet"/>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2020-02-12T13:49:49Z</dcterms:created>
  <dcterms:modified xsi:type="dcterms:W3CDTF">2020-02-12T13:49:49Z</dcterms:modified>
</cp:coreProperties>
</file>