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8,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60" w:hanging="21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21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1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6" w:lineRule="exact"/>
        <w:rPr>
          <w:rFonts w:ascii="MS PGothic" w:cs="MS PGothic" w:eastAsia="MS PGothic" w:hAnsi="MS PGothic"/>
          <w:sz w:val="17"/>
          <w:szCs w:val="17"/>
          <w:color w:val="auto"/>
        </w:rPr>
      </w:pPr>
    </w:p>
    <w:p>
      <w:pPr>
        <w:ind w:left="460" w:hanging="21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41"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4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476885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On June 8, 2021, Calavo Growers, Inc. (Calavo) issued a press release containing our financial results for the three-and six-month periods ended April 30, 2021. A copy of our press release is attached hereto as Exhibit 99.1 and is incorporated by reference herein.</w:t>
      </w:r>
    </w:p>
    <w:p>
      <w:pPr>
        <w:spacing w:after="0" w:line="184"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June 8, 2021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8, 2021</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5715</wp:posOffset>
            </wp:positionV>
            <wp:extent cx="258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151130</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Announces Second Quarter 2021 Financial Results</w:t>
      </w:r>
    </w:p>
    <w:p>
      <w:pPr>
        <w:spacing w:after="0" w:line="221" w:lineRule="exact"/>
        <w:rPr>
          <w:sz w:val="20"/>
          <w:szCs w:val="20"/>
          <w:color w:val="auto"/>
        </w:rPr>
      </w:pPr>
    </w:p>
    <w:p>
      <w:pPr>
        <w:ind w:right="200"/>
        <w:spacing w:after="0" w:line="243" w:lineRule="auto"/>
        <w:rPr>
          <w:sz w:val="20"/>
          <w:szCs w:val="20"/>
          <w:color w:val="auto"/>
        </w:rPr>
      </w:pPr>
      <w:r>
        <w:rPr>
          <w:rFonts w:ascii="Arial" w:cs="Arial" w:eastAsia="Arial" w:hAnsi="Arial"/>
          <w:sz w:val="22"/>
          <w:szCs w:val="22"/>
          <w:b w:val="1"/>
          <w:bCs w:val="1"/>
          <w:color w:val="auto"/>
        </w:rPr>
        <w:t xml:space="preserve">SANTA PAULA, Calif., June 8, 2021—Calavo Growers, Inc. (Nasdaq-GS: CVGW), </w:t>
      </w:r>
      <w:r>
        <w:rPr>
          <w:rFonts w:ascii="Arial" w:cs="Arial" w:eastAsia="Arial" w:hAnsi="Arial"/>
          <w:sz w:val="22"/>
          <w:szCs w:val="22"/>
          <w:color w:val="auto"/>
        </w:rPr>
        <w:t>a global avocado-industry leader and provider of value-added fresh food, today reported its financial results for the second quarter ended April 30, 2021.</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Highlights</w:t>
      </w:r>
    </w:p>
    <w:p>
      <w:pPr>
        <w:spacing w:after="0" w:line="14" w:lineRule="exact"/>
        <w:rPr>
          <w:sz w:val="20"/>
          <w:szCs w:val="20"/>
          <w:color w:val="auto"/>
        </w:rPr>
      </w:pPr>
    </w:p>
    <w:p>
      <w:pPr>
        <w:ind w:left="660" w:right="600" w:hanging="328"/>
        <w:spacing w:after="0" w:line="23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Total revenue of $276.8 million, at the high end of guidance and indicating a return to pre-pandemic results.</w:t>
      </w:r>
    </w:p>
    <w:p>
      <w:pPr>
        <w:spacing w:after="0" w:line="1" w:lineRule="exact"/>
        <w:rPr>
          <w:rFonts w:ascii="Arial" w:cs="Arial" w:eastAsia="Arial" w:hAnsi="Arial"/>
          <w:sz w:val="18"/>
          <w:szCs w:val="18"/>
          <w:color w:val="auto"/>
        </w:rPr>
      </w:pPr>
    </w:p>
    <w:p>
      <w:pPr>
        <w:ind w:left="660" w:right="160" w:hanging="328"/>
        <w:spacing w:after="0" w:line="241"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Fresh segment revenue decreased 5%, due primarily to 9% growth in avocado volume, offset by a 10% decrease in avocado prices and 31% lower tomato revenue. Renaissance Food Group (“RFG”) and Foods segments revenues increased 3% and 16% year-over-year, respectively.</w:t>
      </w:r>
    </w:p>
    <w:p>
      <w:pPr>
        <w:spacing w:after="0" w:line="1" w:lineRule="exact"/>
        <w:rPr>
          <w:rFonts w:ascii="Arial" w:cs="Arial" w:eastAsia="Arial" w:hAnsi="Arial"/>
          <w:sz w:val="21"/>
          <w:szCs w:val="21"/>
          <w:color w:val="auto"/>
        </w:rPr>
      </w:pPr>
    </w:p>
    <w:p>
      <w:pPr>
        <w:ind w:left="660" w:right="1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Gross profit of $22.6 million, or 8.2% of revenue, compared to $22.1 million, or 7.9% of revenue, for the comparable period last year. The increase in gross profit margin percentage was attributable to volume growth in the Fresh segment.</w:t>
      </w:r>
    </w:p>
    <w:p>
      <w:pPr>
        <w:spacing w:after="0" w:line="1" w:lineRule="exact"/>
        <w:rPr>
          <w:rFonts w:ascii="Arial" w:cs="Arial" w:eastAsia="Arial" w:hAnsi="Arial"/>
          <w:sz w:val="22"/>
          <w:szCs w:val="22"/>
          <w:color w:val="auto"/>
        </w:rPr>
      </w:pPr>
    </w:p>
    <w:p>
      <w:pPr>
        <w:ind w:left="660" w:right="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income of $8.8 million, or $0.50 per diluted share, compared to net loss of $3.3 million, or ($0.19) per diluted share, for the comparable period last year. Adjusted net income was $7.7 million, or $0.43 per diluted share, compared to $7.0 million, or $0.40 per share last year.</w:t>
      </w:r>
    </w:p>
    <w:p>
      <w:pPr>
        <w:spacing w:after="0" w:line="1" w:lineRule="exact"/>
        <w:rPr>
          <w:rFonts w:ascii="Arial" w:cs="Arial" w:eastAsia="Arial" w:hAnsi="Arial"/>
          <w:sz w:val="22"/>
          <w:szCs w:val="22"/>
          <w:color w:val="auto"/>
        </w:rPr>
      </w:pPr>
    </w:p>
    <w:p>
      <w:pPr>
        <w:ind w:left="660" w:right="460" w:hanging="328"/>
        <w:spacing w:after="0" w:line="23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Adjusted EBITDA of $15.0 million, which is a 9.5% increase compared to $13.7 million for the same period last year.</w:t>
      </w:r>
    </w:p>
    <w:p>
      <w:pPr>
        <w:spacing w:after="0" w:line="179" w:lineRule="exact"/>
        <w:rPr>
          <w:sz w:val="20"/>
          <w:szCs w:val="20"/>
          <w:color w:val="auto"/>
        </w:rPr>
      </w:pPr>
    </w:p>
    <w:p>
      <w:pPr>
        <w:ind w:right="760"/>
        <w:spacing w:after="0" w:line="257" w:lineRule="auto"/>
        <w:rPr>
          <w:sz w:val="20"/>
          <w:szCs w:val="20"/>
          <w:color w:val="auto"/>
        </w:rPr>
      </w:pPr>
      <w:r>
        <w:rPr>
          <w:rFonts w:ascii="Arial" w:cs="Arial" w:eastAsia="Arial" w:hAnsi="Arial"/>
          <w:sz w:val="22"/>
          <w:szCs w:val="22"/>
          <w:i w:val="1"/>
          <w:iCs w:val="1"/>
          <w:color w:val="auto"/>
        </w:rPr>
        <w:t>Adjusted net income and adjusted EBITDA are non-GAAP financial measures. See “Non-GAAP Financial Measures” below.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Commentary</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are indeed seeing positive signs as the economy reopens and we are pleased with our recovery, which is driving our long-term optimism. For the first half of 2021, we recorded the highest avocado volume in the last five years—reflecting growing consumer demand across all our end markets,” said James E. Gibson, CEO of Calavo Growers.</w:t>
      </w:r>
    </w:p>
    <w:p>
      <w:pPr>
        <w:spacing w:after="0" w:line="185"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“As our various markets slowly re-emerge from the pandemic, we delivered strong returns this quarter. Even with 9.5% EBITDA growth, profitability was restrained as our company managed through a tight labor market, higher commodity costs and higher freight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“Our Fresh segment reported gross profit in line with previous quarters due to the team’s skillful management in both sourcing and sales growth. Our RFG and Foods segments saw a return to year-over-year sales growth as a result of improved demand, particularly within the retail grocery channel. For comparison purposes, RFG sales in the second quarter of fiscal 2020 included $9.8 million attributable to RFG’s Midwest co-packer.</w:t>
      </w:r>
    </w:p>
    <w:p>
      <w:pPr>
        <w:spacing w:after="0" w:line="143" w:lineRule="exact"/>
        <w:rPr>
          <w:sz w:val="20"/>
          <w:szCs w:val="20"/>
          <w:color w:val="auto"/>
        </w:rPr>
      </w:pPr>
    </w:p>
    <w:p>
      <w:pPr>
        <w:ind w:right="460"/>
        <w:spacing w:after="0"/>
        <w:rPr>
          <w:sz w:val="20"/>
          <w:szCs w:val="20"/>
          <w:color w:val="auto"/>
        </w:rPr>
      </w:pPr>
      <w:r>
        <w:rPr>
          <w:rFonts w:ascii="Arial" w:cs="Arial" w:eastAsia="Arial" w:hAnsi="Arial"/>
          <w:sz w:val="22"/>
          <w:szCs w:val="22"/>
          <w:color w:val="auto"/>
        </w:rPr>
        <w:t>“We are also encouraged by the continued growth in our international business. Demand for guacamole, for example, continues to increase, and our near-term outlook remains favorable with a number of new customer opportunities.</w:t>
      </w:r>
    </w:p>
    <w:p>
      <w:pPr>
        <w:spacing w:after="0" w:line="18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“As the year progresses, we are focusing our energy on areas we can control and advancing our strategic goals. We continue to monitor inflation, the labor market and the various supply chains to get a better read on how the second half of the year will evolve. We continue to focus on our strategic initiatives designed to enhance our long-term growth prospects, capitalize on opportunities to increase operating leverage, further our sustainability initiatives, and realize synergies across our entire organization, with the goal of improving profitability, sustainability and shareholder value. To that end, we have created ‘Project Uno,’ which is a strategic review of the current and future challenges in our business. We will be teaming with an outside consultant for this enterprise-wide business and operational review. Through this project, we are evaluating opportunities to enhance revenue growth, streamline operations, drive efficiencies and make investments that strengthen our competitive position and improve margins over the long term. The project is in its early stages, and we expect to provide additional information and details later in the year,” noted Gibson.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Consolidated Financial Review</w:t>
      </w:r>
    </w:p>
    <w:p>
      <w:pPr>
        <w:spacing w:after="0" w:line="14"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color w:val="auto"/>
        </w:rPr>
        <w:t>Total revenue for the second quarter 2021 was $276.8 million, which is comparable to $281.2 million for the second quarter 2020, which included one and one-half months of pre-pandemic impact. While avocado volumes were 9% higher than the prior-year period, total revenue was impacted by the lower average selling price of avocados in the Company’s Fresh segment, which resulted from increased supply from Mexico. Fresh segment sales decreased 5% and offset higher sales volumes in the RFG and Foods business segments.</w:t>
      </w:r>
    </w:p>
    <w:p>
      <w:pPr>
        <w:spacing w:after="0" w:line="15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Gross profit for the second quarter was $22.6 million, or 8.2% of revenue, compared to $22.1 million, or 7.9% of revenue, for the same period last year. The increase in gross profit margin percentage was attributable to improvements in the Fresh segment, partially offset by lower gross profit margin percentages in the RFG and Foods segments.</w:t>
      </w:r>
    </w:p>
    <w:p>
      <w:pPr>
        <w:spacing w:after="0" w:line="185" w:lineRule="exact"/>
        <w:rPr>
          <w:sz w:val="20"/>
          <w:szCs w:val="20"/>
          <w:color w:val="auto"/>
        </w:rPr>
      </w:pPr>
    </w:p>
    <w:p>
      <w:pPr>
        <w:ind w:right="480"/>
        <w:spacing w:after="0" w:line="238" w:lineRule="auto"/>
        <w:rPr>
          <w:sz w:val="20"/>
          <w:szCs w:val="20"/>
          <w:color w:val="auto"/>
        </w:rPr>
      </w:pPr>
      <w:r>
        <w:rPr>
          <w:rFonts w:ascii="Arial" w:cs="Arial" w:eastAsia="Arial" w:hAnsi="Arial"/>
          <w:sz w:val="22"/>
          <w:szCs w:val="22"/>
          <w:color w:val="auto"/>
        </w:rPr>
        <w:t>Selling, general and administrative (SG&amp;A) expense for the second quarter totaled $13.7 million, or 4.9% of revenue, compared to $14.5 million, or 5.2% of revenue, for the same period last year. The year-over-year improvement in SG&amp;A expense was primarily related to lower sales broker commissions and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Net income for the second quarter was $8.8 million, or $0.50 per diluted share. This compares with a net loss of $3.3 million, or $(0.19) per diluted share, for the same period last year. Included in these results were a $3.5 million non-cash, unrealized gain and a $10.3 million non-cash unrealized loss in the second quarter of fiscal year 2021 and 2020, respectively, related to the Company’s ownership interest in the Limoneira Company.</w:t>
      </w:r>
    </w:p>
    <w:p>
      <w:pPr>
        <w:spacing w:after="0" w:line="14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Adjusted net income was $7.7 million, or $0.43 per diluted share, for the second quarter, compared to adjusted net income of $7.0 million, or $0.40 per diluted share, for the same period last year.</w:t>
      </w:r>
    </w:p>
    <w:p>
      <w:pPr>
        <w:spacing w:after="0" w:line="175"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Adjusted EBITDA was $15.0 million for the second quarter of 2021, compared to $13.7 million for the same period last year.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and Liquidity</w:t>
      </w:r>
    </w:p>
    <w:p>
      <w:pPr>
        <w:spacing w:after="0" w:line="14"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Cash and cash equivalents totaled $5.6 million as of April 30, 2021. Total liquidity at quarter end was approximately $144 million, including cash, investments, and borrowings available under a line of credit. This is an improvement of 30% compared to $111 million last year.</w:t>
      </w:r>
    </w:p>
    <w:p>
      <w:pPr>
        <w:spacing w:after="0" w:line="187"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The Company ended the quarter with $49.3 million of total debt, which included $42.3 million of borrowings under its line of credit and $7.0 million of long-term obligations and finance leases.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Business Segment Performance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Fresh</w:t>
      </w:r>
    </w:p>
    <w:p>
      <w:pPr>
        <w:ind w:right="100"/>
        <w:spacing w:after="0" w:line="272" w:lineRule="auto"/>
        <w:rPr>
          <w:sz w:val="20"/>
          <w:szCs w:val="20"/>
          <w:color w:val="auto"/>
        </w:rPr>
      </w:pPr>
      <w:r>
        <w:rPr>
          <w:rFonts w:ascii="Arial" w:cs="Arial" w:eastAsia="Arial" w:hAnsi="Arial"/>
          <w:sz w:val="19"/>
          <w:szCs w:val="19"/>
          <w:color w:val="auto"/>
        </w:rPr>
        <w:t>Second quarter 2021 sales in Calavo’s Fresh business segment decreased 5% to $161.7 million from $170.9 million in the same period last year. Increased avocado supply from Mexico negatively impacted the average selling price, which was down 10% from the same period last year. Lower selling prices were offset by increased sales volume, which improved 9% from the year-ago period. Following staffing investments made earlier in the year, international revenue increased 46%. Fresh segment gross profit for the second quarter of 2021 was $15.0 million, or 9.3% of segment sales, compared to $14.4 million, or 8.4% of segment sales, for the same period last year. The increase in gross profit was primarily due to volume growth. The Company’s gross profit per carton for avocados was in line with last year and historical averages.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Renaissance Food Group (RFG)</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RFG business segment sales in the second quarter 2021 were $96.3 million, up 3% from $93.5 million in the same period last year, reflecting improving demand as the country reopens from the pandemic, but offset by the closure of RFG’s Midwest co-packer, which occurred in April 2020. RFG sales in the second quarter of fiscal 2020 period included $9.8 million attributable to the co-packer. Segment gross profit declined to $2.3 million, or 2.4% of segment sales, from $2.7 million, or 2.9% of segment sales, for the same period last year. Gross margin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598805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0"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adversely impacted late in the quarter by market-wide factors such as higher labor costs, poor fruit quality and yield, and increased freight costs.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Foods</w:t>
      </w:r>
    </w:p>
    <w:p>
      <w:pPr>
        <w:spacing w:after="0" w:line="8"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Sales in the Foods segment totaled $20.7 million for the second quarter 2021, 16% higher than $17.9 million in the same period last year due to improving conditions as foodservice began recovering from the pandemic. Following staffing investments made earlier in the year, international revenue increased 36%. Segment gross profit totaled $5.3 million, or 25.6% of sales, for the second quarter, compared to $4.9 million, or 27.6% of sales, for the same period last year. The increase in gross profit for the second quarter was primarily due to a decrease in avocado costs.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Company is providing the following expectations for the third fiscal quarter of 2021:</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Revenue in a range of $280 million to $300 million;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Adjusted EBITDA in a range of $11 million to $15 million.</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Adjusted EBITDA forecast reflects near-term inflationary pressure on labor, raw materials and freight. We expect that by the end of the year many of these pressures will be mitigated as we are working on pricing initiatives with our business partners and accelerating development of internal operational efficiencies to alleviate these unprecedented inflationary issues,” concluded Gibson.</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Company is not able to provide a reconciliation of expected adjusted EBITDA to the most directly comparable expected GAAP measure due to the unknown effect, timing and potential significance of the effects of non-cash income and losses associated with unconsolidated entities, among others. These items have in the past, and may in the future, significantly affect GAAP results in a particular period.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This press release includes non-GAAP measures such as EBITDA, adjusted EBITDA, adjusted net income and adjusted diluted EPS, which are not prepared in accordance with U.S. generally accepted accounting principles, or “GAAP.”</w:t>
      </w:r>
    </w:p>
    <w:p>
      <w:pPr>
        <w:spacing w:after="0" w:line="187"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w:t>
      </w:r>
    </w:p>
    <w:p>
      <w:pPr>
        <w:spacing w:after="0" w:line="3" w:lineRule="exact"/>
        <w:rPr>
          <w:sz w:val="20"/>
          <w:szCs w:val="20"/>
          <w:color w:val="auto"/>
        </w:rPr>
      </w:pPr>
    </w:p>
    <w:p>
      <w:pPr>
        <w:ind w:firstLine="8"/>
        <w:spacing w:after="0" w:line="234"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restructuring and certain severance costs, (6) certain litigation and other related costs, and (7) one-time items. Adjusted EBITDA is a primary metric by which management evaluates the operating performance of the business, on which certain operating expenditures and internal budgets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621030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0"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Adjusted net income is defined as net income (loss) attributable to Calavo Growers, Inc. excluding (1) non-cash net losses recognized from unconsolidated entities, (2) goodwill impairment, (3) write-off of long-lived assets, (4) 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 Additionally, the Company’s senior management is compensated in part on the basis of Adjusted Net Income.</w:t>
      </w:r>
    </w:p>
    <w:p>
      <w:pPr>
        <w:spacing w:after="0" w:line="158"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Reconciliations of non-GAAP financial measures to the most directly comparable GAAP financial measures are provided in the financial tables that accompany this release.</w:t>
      </w:r>
    </w:p>
    <w:p>
      <w:pPr>
        <w:spacing w:after="0" w:line="175"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134"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w:t>
      </w:r>
    </w:p>
    <w:p>
      <w:pPr>
        <w:spacing w:after="0" w:line="14"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Calavo will host a conference call, today at 5:00 pm ET/2:00 pm PT to discuss its financial results. The conference call may be accessed by dialing 877-407-3982 (Domestic) or 201-493-6780 (International) with conference ID: 13719525. A live audio webcast of the call will also be available on the Investor Relations section of Calavo’s website at http://ir.calavo.com and will be archived for replay.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Calavo Growers, Inc.</w:t>
      </w:r>
    </w:p>
    <w:p>
      <w:pPr>
        <w:spacing w:after="0" w:line="14" w:lineRule="exact"/>
        <w:rPr>
          <w:sz w:val="20"/>
          <w:szCs w:val="20"/>
          <w:color w:val="auto"/>
        </w:rPr>
      </w:pPr>
    </w:p>
    <w:p>
      <w:pPr>
        <w:ind w:right="220"/>
        <w:spacing w:after="0" w:line="233" w:lineRule="auto"/>
        <w:rPr>
          <w:sz w:val="20"/>
          <w:szCs w:val="20"/>
          <w:color w:val="auto"/>
        </w:rPr>
      </w:pPr>
      <w:r>
        <w:rPr>
          <w:rFonts w:ascii="Arial" w:cs="Arial" w:eastAsia="Arial" w:hAnsi="Arial"/>
          <w:sz w:val="22"/>
          <w:szCs w:val="22"/>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0"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7"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impact on our food service customers, increased costs that we must incur as a result of COVID-19, the impact of governmental trade restrictions imposed as a result of COVID-19 and the possible adverse impact of COVID-19 on our goodwill and other intangible assets;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 FreshRealm; volatility in the value of our common stock; the impact of macroeconomic trends and events; and the resolution of pending investigations, legal claims and tax disputes.</w:t>
      </w:r>
    </w:p>
    <w:p>
      <w:pPr>
        <w:spacing w:after="0" w:line="180"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4" w:lineRule="exact"/>
        <w:rPr>
          <w:sz w:val="20"/>
          <w:szCs w:val="20"/>
          <w:color w:val="auto"/>
        </w:rPr>
      </w:pPr>
    </w:p>
    <w:p>
      <w:pPr>
        <w:ind w:right="119"/>
        <w:spacing w:after="0" w:line="260" w:lineRule="auto"/>
        <w:rPr>
          <w:sz w:val="20"/>
          <w:szCs w:val="20"/>
          <w:color w:val="auto"/>
        </w:rPr>
      </w:pPr>
      <w:r>
        <w:rPr>
          <w:rFonts w:ascii="Arial" w:cs="Arial" w:eastAsia="Arial" w:hAnsi="Arial"/>
          <w:sz w:val="20"/>
          <w:szCs w:val="20"/>
          <w:color w:val="auto"/>
        </w:rPr>
        <w:t>release, and we undertake no obligation to update or revise the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Contact: Financial Profiles, Inc.</w:t>
      </w:r>
    </w:p>
    <w:p>
      <w:pPr>
        <w:spacing w:after="0" w:line="238" w:lineRule="auto"/>
        <w:rPr>
          <w:sz w:val="20"/>
          <w:szCs w:val="20"/>
          <w:color w:val="auto"/>
        </w:rPr>
      </w:pPr>
      <w:r>
        <w:rPr>
          <w:rFonts w:ascii="Arial" w:cs="Arial" w:eastAsia="Arial" w:hAnsi="Arial"/>
          <w:sz w:val="22"/>
          <w:szCs w:val="22"/>
          <w:color w:val="auto"/>
        </w:rPr>
        <w:t>Lisa Mueller, Senior Vice President</w:t>
      </w:r>
    </w:p>
    <w:p>
      <w:pPr>
        <w:spacing w:after="0" w:line="230" w:lineRule="auto"/>
        <w:rPr>
          <w:sz w:val="20"/>
          <w:szCs w:val="20"/>
          <w:color w:val="auto"/>
        </w:rPr>
      </w:pPr>
      <w:r>
        <w:rPr>
          <w:rFonts w:ascii="Arial" w:cs="Arial" w:eastAsia="Arial" w:hAnsi="Arial"/>
          <w:sz w:val="22"/>
          <w:szCs w:val="22"/>
          <w:color w:val="auto"/>
        </w:rPr>
        <w:t>310-622-8231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6"/>
                <w:szCs w:val="16"/>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1"/>
              </w:rPr>
              <w:t>Accounts receivable, net of allowances of $4,338 (2021)</w:t>
            </w:r>
          </w:p>
        </w:tc>
        <w:tc>
          <w:tcPr>
            <w:tcW w:w="3620" w:type="dxa"/>
            <w:vAlign w:val="bottom"/>
          </w:tcPr>
          <w:p>
            <w:pPr>
              <w:jc w:val="right"/>
              <w:ind w:right="2490"/>
              <w:spacing w:after="0"/>
              <w:rPr>
                <w:sz w:val="20"/>
                <w:szCs w:val="20"/>
                <w:color w:val="auto"/>
              </w:rPr>
            </w:pPr>
            <w:r>
              <w:rPr>
                <w:rFonts w:ascii="Arial" w:cs="Arial" w:eastAsia="Arial" w:hAnsi="Arial"/>
                <w:sz w:val="18"/>
                <w:szCs w:val="18"/>
                <w:color w:val="auto"/>
                <w:w w:val="90"/>
              </w:rPr>
              <w:t>$3,498 (2020)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 receivable</w:t>
            </w:r>
          </w:p>
        </w:tc>
        <w:tc>
          <w:tcPr>
            <w:tcW w:w="3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130,787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Intangibles, net</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00" w:type="dxa"/>
            <w:vAlign w:val="bottom"/>
            <w:tcBorders>
              <w:bottom w:val="single" w:sz="8" w:color="CCEEFF"/>
            </w:tcBorders>
          </w:tcPr>
          <w:p>
            <w:pPr>
              <w:spacing w:after="0"/>
              <w:rPr>
                <w:sz w:val="21"/>
                <w:szCs w:val="21"/>
                <w:color w:val="auto"/>
              </w:rPr>
            </w:pPr>
          </w:p>
        </w:tc>
        <w:tc>
          <w:tcPr>
            <w:tcW w:w="36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474,310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429,624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liabilities: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Borrowings pursuant to credit facilities, current</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payable</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Current portion of operating leases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Current portion of long-term obligations and finance leases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95,584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Borrowings pursuant to credit facilities, Long-term</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leases, less current portion</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3"/>
          </w:tcPr>
          <w:p>
            <w:pPr>
              <w:ind w:left="200"/>
              <w:spacing w:after="0"/>
              <w:rPr>
                <w:sz w:val="20"/>
                <w:szCs w:val="20"/>
                <w:color w:val="auto"/>
              </w:rPr>
            </w:pPr>
            <w:r>
              <w:rPr>
                <w:rFonts w:ascii="Arial" w:cs="Arial" w:eastAsia="Arial" w:hAnsi="Arial"/>
                <w:sz w:val="18"/>
                <w:szCs w:val="18"/>
                <w:color w:val="auto"/>
              </w:rPr>
              <w:t>Long-term obligations and finance leases, less current portion</w:t>
            </w:r>
          </w:p>
        </w:tc>
        <w:tc>
          <w:tcPr>
            <w:tcW w:w="780" w:type="dxa"/>
            <w:vAlign w:val="bottom"/>
          </w:tcPr>
          <w:p>
            <w:pPr>
              <w:jc w:val="right"/>
              <w:spacing w:after="0"/>
              <w:rPr>
                <w:sz w:val="20"/>
                <w:szCs w:val="20"/>
                <w:color w:val="auto"/>
              </w:rPr>
            </w:pPr>
            <w:r>
              <w:rPr>
                <w:rFonts w:ascii="Arial" w:cs="Arial" w:eastAsia="Arial" w:hAnsi="Arial"/>
                <w:sz w:val="18"/>
                <w:szCs w:val="18"/>
                <w:color w:val="auto"/>
              </w:rPr>
              <w:t>5,635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3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equity:</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3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271,742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474,310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511"/>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281,166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497,399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254,221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259,091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456,960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516,633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(loss) on Limoneira shares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7"/>
              </w:rPr>
              <w:t>Income (loss) before income taxes and loss from unconsolidated entities</w:t>
            </w: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 from unconsolidated entities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Add: Net loss attributable to noncontrolling interest</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RFG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Calavo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w w:val="98"/>
              </w:rPr>
              <w:t>Interco.</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products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Foods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Elimins.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2021</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161,686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96,289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276,821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146,678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254,221</w:t>
            </w:r>
          </w:p>
        </w:tc>
        <w:tc>
          <w:tcPr>
            <w:tcW w:w="0" w:type="dxa"/>
            <w:vAlign w:val="bottom"/>
          </w:tcPr>
          <w:p>
            <w:pPr>
              <w:spacing w:after="0"/>
              <w:rPr>
                <w:sz w:val="1"/>
                <w:szCs w:val="1"/>
                <w:color w:val="auto"/>
              </w:rPr>
            </w:pPr>
          </w:p>
        </w:tc>
      </w:tr>
      <w:tr>
        <w:trPr>
          <w:trHeight w:val="249"/>
        </w:trPr>
        <w:tc>
          <w:tcPr>
            <w:tcW w:w="3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15,008</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Three months ended April 30, 2020</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156,463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259,091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2021</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277,145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186,595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37,194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497,399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248,992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184,329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456,960</w:t>
            </w:r>
          </w:p>
        </w:tc>
        <w:tc>
          <w:tcPr>
            <w:tcW w:w="0" w:type="dxa"/>
            <w:vAlign w:val="bottom"/>
          </w:tcPr>
          <w:p>
            <w:pPr>
              <w:spacing w:after="0"/>
              <w:rPr>
                <w:sz w:val="1"/>
                <w:szCs w:val="1"/>
                <w:color w:val="auto"/>
              </w:rPr>
            </w:pPr>
          </w:p>
        </w:tc>
      </w:tr>
      <w:tr>
        <w:trPr>
          <w:trHeight w:val="250"/>
        </w:trPr>
        <w:tc>
          <w:tcPr>
            <w:tcW w:w="3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28,153</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Six months ended April 30, 2020</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304,058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214,463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283,071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208,853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516,633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April 30, 2021 and 2020, intercompany sales and cost of sales of $0.7 million and $0.2 million between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Fresh products and RFG were eliminated. For the six months ended April 30, 2021 and 2020, intercompany sales and cost of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and $0.7 million between Fresh products and RFG were eliminated.  For the three months ended April 30, 2021 and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intercompany sales and cost of sales of $1.2 million and $0.9 million between Calavo Foods and RFG were eliminated. For the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April 30, 2021 and 2020, intercompany sales and cost of sales of $2.3 million and $1.6 million between Calavo Foods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Income from FreshRealm Recovery (b)</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Certain management transition expenses (c)</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Acquisition costs (d)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(3,506)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impact of adjustments (g)</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Diluted EPS</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17,550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6"/>
          <w:szCs w:val="16"/>
          <w:color w:val="auto"/>
        </w:rPr>
        <w:t>For the three months ended April 30, 2020, FreshRealm realized losses totaling $5.1 million, of which we recorded $1.9 million of non-cash losses. For the six months ended April 30, 2020, FreshRealm realized losses totaling $14.4 million, of which we recorded $5.4 million of non-cash losses. For the three and six months ended April 30, 2021, we realized losses from Agricola Don Memo totaling $1.1 million and $1.3 million. For the three months ended April 31, 2020, we realized losses from Agricola Don Memo totaling $0.3 million. For the six months ended April 31, 2020, we realized income from Agricola Don Memo totaling $0.2 million.</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part of the FreshRealm Separation Agreement, we received $0.1 million for previously reserved receivables.</w:t>
      </w:r>
    </w:p>
    <w:p>
      <w:pPr>
        <w:spacing w:after="0" w:line="234" w:lineRule="exact"/>
        <w:rPr>
          <w:rFonts w:ascii="Arial" w:cs="Arial" w:eastAsia="Arial" w:hAnsi="Arial"/>
          <w:sz w:val="16"/>
          <w:szCs w:val="16"/>
          <w:color w:val="auto"/>
        </w:rPr>
      </w:pPr>
    </w:p>
    <w:p>
      <w:pPr>
        <w:ind w:left="340" w:hanging="332"/>
        <w:spacing w:after="0" w:line="278"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second quarter of fiscal 2021 includes higher stock-based compensation for the early vesting of restricted stock for the retirement of our former Chief Executive Officer and Board member. Second quarter of fiscal 2020 results include higher stock-based compensation expense related to senior management transitions, which does not impact the underlying cost structure of the company.</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the first quarter of 2021, these are professional service costs related to a considered and subsequently cancelled acquisition. In the first quarter of 2020, we incurred transaction expenses related to the acquisition of SFFI Company, Inc. doing business as Simply Fresh Fruit.</w:t>
      </w:r>
    </w:p>
    <w:p>
      <w:pPr>
        <w:spacing w:after="0" w:line="149" w:lineRule="exact"/>
        <w:rPr>
          <w:rFonts w:ascii="Arial" w:cs="Arial" w:eastAsia="Arial" w:hAnsi="Arial"/>
          <w:sz w:val="15"/>
          <w:szCs w:val="15"/>
          <w:color w:val="auto"/>
        </w:rPr>
      </w:pPr>
    </w:p>
    <w:p>
      <w:pPr>
        <w:jc w:val="both"/>
        <w:ind w:left="340" w:right="160" w:hanging="332"/>
        <w:spacing w:after="0" w:line="278"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six months ended April 30, 2021, we recorded $3.5 million and $7.1 million in unrealized gains related to these mark-to-market adjustments. For the three and six months ended April 30, 2020, we recorded $10.3 million and $9.3 million in unrealized losses related to these mark-to-market adjustments.</w:t>
      </w:r>
    </w:p>
    <w:p>
      <w:pPr>
        <w:spacing w:after="0" w:line="184" w:lineRule="exact"/>
        <w:rPr>
          <w:rFonts w:ascii="Arial" w:cs="Arial" w:eastAsia="Arial" w:hAnsi="Arial"/>
          <w:sz w:val="16"/>
          <w:szCs w:val="16"/>
          <w:color w:val="auto"/>
        </w:rPr>
      </w:pPr>
    </w:p>
    <w:p>
      <w:pPr>
        <w:ind w:left="340" w:right="220" w:hanging="332"/>
        <w:spacing w:after="0" w:line="29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six months ended April 30, 2021, we incurred $0.1 million and $0.2 million related to rent paid for RFG corporate office space that we have vacated and plan to sublease.</w:t>
      </w:r>
    </w:p>
    <w:p>
      <w:pPr>
        <w:spacing w:after="0" w:line="17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5" w:lineRule="exact"/>
        <w:rPr>
          <w:sz w:val="20"/>
          <w:szCs w:val="20"/>
          <w:color w:val="auto"/>
        </w:rPr>
      </w:pPr>
    </w:p>
    <w:p>
      <w:pPr>
        <w:ind w:right="440"/>
        <w:spacing w:after="0" w:line="328" w:lineRule="auto"/>
        <w:rPr>
          <w:sz w:val="20"/>
          <w:szCs w:val="20"/>
          <w:color w:val="auto"/>
        </w:rPr>
      </w:pPr>
      <w:r>
        <w:rPr>
          <w:rFonts w:ascii="Arial" w:cs="Arial" w:eastAsia="Arial" w:hAnsi="Arial"/>
          <w:sz w:val="15"/>
          <w:szCs w:val="15"/>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7"/>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Income from FreshRealm recovery (b)</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(d)</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0"/>
        </w:trPr>
        <w:tc>
          <w:tcPr>
            <w:tcW w:w="616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15,004</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13,711</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18,242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dilutive share</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OTHER INFORMATION (UNAUDITED)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 thousands, except per pound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2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Pounds of avocados sold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101,274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92,990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198,661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188,622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Pounds of processed avocado products sold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12,991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avocados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 per pound - avocados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processed avocado products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 per pound – processed avocado products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87</w:t>
            </w:r>
          </w:p>
        </w:tc>
      </w:tr>
      <w:tr>
        <w:trPr>
          <w:trHeight w:val="770"/>
        </w:trPr>
        <w:tc>
          <w:tcPr>
            <w:tcW w:w="5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2021-06-08T15:19:20Z</dcterms:created>
  <dcterms:modified xsi:type="dcterms:W3CDTF">2021-06-08T15:19:20Z</dcterms:modified>
</cp:coreProperties>
</file>