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5"/>
        <w:spacing w:before="120" w:after="60"/>
        <w:jc w:val="left"/>
        <w:rPr/>
      </w:pPr>
      <w:hyperlink w:anchor="toc">
        <w:bookmarkStart w:id="0" w:name="v16767e8vk.htm"/>
        <w:bookmarkStart w:id="1" w:name="ksv16767e8vk"/>
        <w:bookmarkEnd w:id="0"/>
        <w:bookmarkEnd w:id="1"/>
        <w:r>
          <w:rPr>
            <w:rStyle w:val="InternetLink"/>
          </w:rPr>
          <w:t>Table of Contents</w:t>
        </w:r>
      </w:hyperlink>
    </w:p>
    <w:p>
      <w:pPr>
        <w:pStyle w:val="TextBody"/>
        <w:spacing w:before="0" w:after="0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spacing w:before="0" w:after="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3"/>
        </w:rPr>
      </w:pPr>
      <w:r>
        <w:rPr>
          <w:rFonts w:ascii="Times New Roman;Times;serif" w:hAnsi="Times New Roman;Times;serif"/>
          <w:b/>
          <w:sz w:val="23"/>
        </w:rPr>
        <w:t>UNITED STATES</w:t>
        <w:br/>
        <w:t>SECURITIES AND EXCHANGE COMMISSION</w:t>
      </w:r>
      <w:r>
        <w:rPr>
          <w:rFonts w:ascii="Times New Roman;Times;serif" w:hAnsi="Times New Roman;Times;serif"/>
          <w:sz w:val="23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WASHINGTON, DC 20549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30"/>
        </w:rPr>
      </w:pPr>
      <w:r>
        <w:rPr>
          <w:rFonts w:ascii="Times New Roman;Times;serif" w:hAnsi="Times New Roman;Times;serif"/>
          <w:b/>
          <w:sz w:val="30"/>
        </w:rPr>
        <w:t>FORM 8-K</w:t>
      </w:r>
      <w:r>
        <w:rPr>
          <w:rFonts w:ascii="Times New Roman;Times;serif" w:hAnsi="Times New Roman;Times;serif"/>
          <w:sz w:val="3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20"/>
        </w:rPr>
      </w:pPr>
      <w:r>
        <w:rPr>
          <w:rFonts w:ascii="Times New Roman;Times;serif" w:hAnsi="Times New Roman;Times;serif"/>
          <w:b/>
          <w:sz w:val="20"/>
        </w:rPr>
        <w:t>CURRENT REPORT</w:t>
        <w:br/>
        <w:t>Pursuant to Section 13 or 15(d) of the</w:t>
        <w:br/>
        <w:t>Securities Exchange Act of 1934</w:t>
      </w:r>
      <w:r>
        <w:rPr>
          <w:rFonts w:ascii="Times New Roman;Times;serif" w:hAnsi="Times New Roman;Times;serif"/>
          <w:sz w:val="20"/>
        </w:rPr>
        <w:t xml:space="preserve"> 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b/>
          <w:sz w:val="17"/>
        </w:rPr>
      </w:pPr>
      <w:r>
        <w:rPr>
          <w:rFonts w:ascii="Times New Roman;Times;serif" w:hAnsi="Times New Roman;Times;serif"/>
          <w:b/>
          <w:sz w:val="17"/>
        </w:rPr>
        <w:t>Date of report (Date of earliest event reported): January 30,2006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40"/>
        </w:rPr>
      </w:pPr>
      <w:r>
        <w:rPr>
          <w:rFonts w:ascii="Times New Roman;Times;serif" w:hAnsi="Times New Roman;Times;serif"/>
          <w:b/>
          <w:sz w:val="40"/>
        </w:rPr>
        <w:t>CALAVO GROWERS, INC.</w:t>
      </w:r>
      <w:r>
        <w:rPr>
          <w:rFonts w:ascii="Times New Roman;Times;serif" w:hAnsi="Times New Roman;Times;serif"/>
          <w:sz w:val="40"/>
        </w:rPr>
        <w:t xml:space="preserve"> 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(Exact Name of Registrant as Specified in Charter)</w:t>
      </w:r>
    </w:p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062"/>
        <w:gridCol w:w="509"/>
        <w:gridCol w:w="3062"/>
        <w:gridCol w:w="509"/>
        <w:gridCol w:w="3063"/>
      </w:tblGrid>
      <w:tr>
        <w:trPr/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California</w:t>
            </w:r>
            <w:r>
              <w:rPr/>
              <w:t xml:space="preserve">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b/>
              </w:rPr>
              <w:t>000-33385</w:t>
            </w:r>
            <w:r>
              <w:rPr/>
              <w:t xml:space="preserve">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b/>
              </w:rPr>
            </w:pPr>
            <w:r>
              <w:rPr>
                <w:b/>
              </w:rPr>
              <w:t>33-0945304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 </w:t>
            </w:r>
          </w:p>
        </w:tc>
        <w:tc>
          <w:tcPr>
            <w:tcW w:w="5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  </w:t>
            </w:r>
          </w:p>
        </w:tc>
        <w:tc>
          <w:tcPr>
            <w:tcW w:w="5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>
              <w:top w:val="single" w:sz="2" w:space="0" w:color="000000"/>
            </w:tcBorders>
            <w:shd w:fill="auto" w:val="clear"/>
            <w:tcMar>
              <w:top w:w="28" w:type="dxa"/>
            </w:tcMar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(State or Other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(Commission File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(IRS Employer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Jurisdiction of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 xml:space="preserve">Number) 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Identification No.)</w:t>
            </w:r>
          </w:p>
        </w:tc>
      </w:tr>
      <w:tr>
        <w:trPr/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Incorporation)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2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509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63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240" w:after="283"/>
        <w:jc w:val="center"/>
        <w:rPr>
          <w:rFonts w:ascii="Times New Roman;Times;serif" w:hAnsi="Times New Roman;Times;serif"/>
          <w:b/>
          <w:sz w:val="17"/>
        </w:rPr>
      </w:pPr>
      <w:r>
        <w:rPr>
          <w:rFonts w:ascii="Times New Roman;Times;serif" w:hAnsi="Times New Roman;Times;serif"/>
          <w:b/>
          <w:sz w:val="17"/>
        </w:rPr>
        <w:t>1141-A Cummings Road, Santa Paula, California 93060</w:t>
      </w:r>
    </w:p>
    <w:p>
      <w:pPr>
        <w:pStyle w:val="TextBody"/>
        <w:spacing w:before="3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(Address of Principal Executive Offices) (Zip Code)</w:t>
      </w:r>
    </w:p>
    <w:p>
      <w:pPr>
        <w:pStyle w:val="TextBody"/>
        <w:spacing w:before="240" w:after="283"/>
        <w:jc w:val="center"/>
        <w:rPr/>
      </w:pPr>
      <w:r>
        <w:rPr/>
        <w:t> </w:t>
      </w:r>
    </w:p>
    <w:p>
      <w:pPr>
        <w:pStyle w:val="TextBody"/>
        <w:spacing w:before="320" w:after="283"/>
        <w:jc w:val="center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>(Former Name or Former Address, if Changed Since Last Report)</w:t>
      </w:r>
    </w:p>
    <w:p>
      <w:pPr>
        <w:pStyle w:val="TextBody"/>
        <w:spacing w:before="240" w:after="283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Registrants telephone number, including area code: </w:t>
      </w:r>
      <w:r>
        <w:rPr>
          <w:rFonts w:ascii="Times New Roman;Times;serif" w:hAnsi="Times New Roman;Times;serif"/>
          <w:b/>
          <w:sz w:val="17"/>
        </w:rPr>
        <w:t>(805) 525-1245</w:t>
      </w:r>
    </w:p>
    <w:p>
      <w:pPr>
        <w:pStyle w:val="TextBody"/>
        <w:spacing w:before="36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Check the appropriate box below if the Form 8-K filing is intended to simultaneously satisfy the filing obligation of the registrant under any of the following provisions: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Written communications pursuant to Rule 425 under the Securities Act (17 CFR 230.425)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Soliciting material pursuant to Rule 14a-12 under the Exchange Act (17 CFR 240.14a-12)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Pre-commencement communications pursuant to Rule 14d-2(b) under the Exchange Act (17 CFR 240.14d-2(b)) </w:t>
      </w:r>
    </w:p>
    <w:p>
      <w:pPr>
        <w:pStyle w:val="TextBody"/>
        <w:spacing w:before="120" w:after="283"/>
        <w:jc w:val="left"/>
        <w:rPr>
          <w:rFonts w:ascii="Times New Roman;Times;serif" w:hAnsi="Times New Roman;Times;serif"/>
          <w:sz w:val="17"/>
        </w:rPr>
      </w:pPr>
      <w:r>
        <w:rPr>
          <w:rFonts w:ascii="Wingdings" w:hAnsi="Wingdings"/>
          <w:sz w:val="17"/>
        </w:rPr>
        <w:t>o</w:t>
      </w:r>
      <w:r>
        <w:rPr>
          <w:rFonts w:ascii="Times New Roman;Times;serif" w:hAnsi="Times New Roman;Times;serif"/>
          <w:sz w:val="17"/>
        </w:rPr>
        <w:t xml:space="preserve"> Pre-commencement communications pursuant to Rule 13e-4(c) under the Exchange Act (17 CFR 240.13e-4(c)) </w:t>
      </w:r>
    </w:p>
    <w:p>
      <w:pPr>
        <w:pStyle w:val="TextBody"/>
        <w:spacing w:before="200" w:after="283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jc w:val="center"/>
        <w:rPr/>
      </w:pPr>
      <w:r>
        <w:rPr/>
        <w:t xml:space="preserve"> 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</w:p>
    <w:p>
      <w:pPr>
        <w:pStyle w:val="TextBody"/>
        <w:jc w:val="center"/>
        <w:rPr>
          <w:rFonts w:ascii="Times New Roman;Times;serif" w:hAnsi="Times New Roman;Times;serif"/>
          <w:b/>
          <w:u w:val="single"/>
        </w:rPr>
      </w:pPr>
      <w:bookmarkStart w:id="2" w:name="toc"/>
      <w:bookmarkEnd w:id="2"/>
      <w:r>
        <w:rPr>
          <w:rFonts w:ascii="Times New Roman;Times;serif" w:hAnsi="Times New Roman;Times;serif"/>
          <w:b/>
          <w:u w:val="single"/>
        </w:rPr>
        <w:t>TABLE OF CONTENTS</w:t>
      </w:r>
    </w:p>
    <w:tbl>
      <w:tblPr>
        <w:tblW w:w="45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75"/>
        <w:gridCol w:w="275"/>
        <w:gridCol w:w="275"/>
        <w:gridCol w:w="275"/>
        <w:gridCol w:w="275"/>
        <w:gridCol w:w="275"/>
        <w:gridCol w:w="275"/>
        <w:gridCol w:w="6984"/>
      </w:tblGrid>
      <w:tr>
        <w:trPr/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9" w:type="dxa"/>
            <w:gridSpan w:val="8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hyperlink w:anchor="000">
              <w:r>
                <w:rPr>
                  <w:rStyle w:val="InternetLink"/>
                </w:rPr>
                <w:t>Item 4.02. Non-Reliance on Previously Issued Financial Statements or a Related Audit Report or Completed Interim Review.</w:t>
              </w:r>
            </w:hyperlink>
          </w:p>
        </w:tc>
      </w:tr>
      <w:tr>
        <w:trPr/>
        <w:tc>
          <w:tcPr>
            <w:tcW w:w="9184" w:type="dxa"/>
            <w:gridSpan w:val="9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hyperlink w:anchor="001">
              <w:r>
                <w:rPr>
                  <w:rStyle w:val="InternetLink"/>
                </w:rPr>
                <w:t>SIGNATURE</w:t>
              </w:r>
            </w:hyperlink>
          </w:p>
        </w:tc>
      </w:tr>
    </w:tbl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hyperlink w:anchor="toc">
        <w:r>
          <w:rPr>
            <w:rStyle w:val="InternetLink"/>
            <w:rFonts w:ascii="Times New Roman;Times;serif" w:hAnsi="Times New Roman;Times;serif"/>
          </w:rPr>
          <w:t>Table of Contents</w:t>
        </w:r>
      </w:hyperlink>
    </w:p>
    <w:p>
      <w:pPr>
        <w:pStyle w:val="TextBody"/>
        <w:spacing w:before="240" w:after="283"/>
        <w:jc w:val="left"/>
        <w:rPr>
          <w:rFonts w:ascii="Times New Roman;Times;serif" w:hAnsi="Times New Roman;Times;serif"/>
          <w:sz w:val="17"/>
        </w:rPr>
      </w:pPr>
      <w:bookmarkStart w:id="3" w:name="000"/>
      <w:bookmarkEnd w:id="3"/>
      <w:r>
        <w:rPr>
          <w:rFonts w:ascii="Times New Roman;Times;serif" w:hAnsi="Times New Roman;Times;serif"/>
          <w:b/>
          <w:sz w:val="17"/>
        </w:rPr>
        <w:t>Item 4.02. Non-Reliance on Previously Issued Financial Statements or a Related Audit Report or Completed Interim Review.</w:t>
      </w:r>
      <w:r>
        <w:rPr>
          <w:rFonts w:ascii="Times New Roman;Times;serif" w:hAnsi="Times New Roman;Times;serif"/>
          <w:sz w:val="17"/>
        </w:rPr>
        <w:t xml:space="preserve">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03"/>
        <w:gridCol w:w="307"/>
        <w:gridCol w:w="102"/>
        <w:gridCol w:w="9593"/>
      </w:tblGrid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59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On January 30th, 2006, Calavo Growers, Inc. (the Company) has decided to restate its consolidated statements of cash flows to restate as non-cash investing and financing activities items that had previously been classified as cash flows from investing and financing activities. The restatement will not affect the Companys consolidated balance sheets, consolidated statements of earnings or consolidated statements of stockholders equity.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59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The restatement involves restating the Companys interim consolidated financial statements as of and for the three and nine months ended July 31, 2005 to correct amounts on the Companys consolidated statement of cash flows. Specifically, the amounts presented in the Companys consolidated statement of cash flows for the nine months ended July 31, 2005 reflect a correction in the presentation of the Companys common stock issued in conjunction with acquiring Limoneira Company common stock, pursuant to a stock purchase agreement. We will present the portion of the transaction that was not settled in cash as a non-cash investing and financing activity, rather than as cash flows in the investing and financing activities sections of the consolidated statement of cash flows.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59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As a result of the foregoing, the Company intends to file a Form 10-Q/A for the three and nine months ended July 31, 2005, restating the consolidated statements of cash flows included in that report to restate the issuance of the Companys common stock issued pursuant to the stock purchase agreement. The previously filed consolidated statements of cash flows should not be relied upon.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59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Our audit committee discussed the restatement shown above with Deloitte &amp; Touche LLP, our independent registered public accounting firm.</w:t>
            </w:r>
          </w:p>
        </w:tc>
      </w:tr>
      <w:tr>
        <w:trPr/>
        <w:tc>
          <w:tcPr>
            <w:tcW w:w="20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002" w:type="dxa"/>
            <w:gridSpan w:val="3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2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593" w:type="dxa"/>
            <w:tcBorders/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/>
              <w:t>The effects of the restatements will be as follows (amounts in thousands):</w:t>
            </w:r>
          </w:p>
        </w:tc>
      </w:tr>
    </w:tbl>
    <w:tbl>
      <w:tblPr>
        <w:tblW w:w="5000" w:type="pct"/>
        <w:jc w:val="center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5"/>
        <w:gridCol w:w="6648"/>
        <w:gridCol w:w="197"/>
        <w:gridCol w:w="197"/>
        <w:gridCol w:w="175"/>
        <w:gridCol w:w="914"/>
        <w:gridCol w:w="136"/>
        <w:gridCol w:w="197"/>
        <w:gridCol w:w="197"/>
        <w:gridCol w:w="187"/>
        <w:gridCol w:w="981"/>
        <w:gridCol w:w="136"/>
        <w:gridCol w:w="125"/>
      </w:tblGrid>
      <w:tr>
        <w:trPr/>
        <w:tc>
          <w:tcPr>
            <w:tcW w:w="11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13"/>
            <w:tcBorders>
              <w:bottom w:val="single" w:sz="18" w:space="0" w:color="000000"/>
            </w:tcBorders>
            <w:shd w:fill="auto" w:val="clear"/>
            <w:tcMar>
              <w:bottom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left w:val="single" w:sz="18" w:space="0" w:color="000000"/>
            </w:tcBorders>
            <w:shd w:fill="auto" w:val="clear"/>
            <w:tcMar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right w:val="single" w:sz="12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89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As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right w:val="single" w:sz="12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168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right w:val="single" w:sz="18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left w:val="single" w:sz="18" w:space="0" w:color="000000"/>
            </w:tcBorders>
            <w:shd w:fill="auto" w:val="clear"/>
            <w:tcMar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right w:val="single" w:sz="12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89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Previously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right w:val="single" w:sz="12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168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right w:val="single" w:sz="18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left w:val="single" w:sz="18" w:space="0" w:color="000000"/>
            </w:tcBorders>
            <w:shd w:fill="auto" w:val="clear"/>
            <w:tcMar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right w:val="single" w:sz="12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089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Reported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right w:val="single" w:sz="12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168" w:type="dxa"/>
            <w:gridSpan w:val="2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As Restated</w:t>
            </w:r>
          </w:p>
        </w:tc>
        <w:tc>
          <w:tcPr>
            <w:tcW w:w="136" w:type="dxa"/>
            <w:tcBorders/>
            <w:shd w:fill="auto" w:val="clear"/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right w:val="single" w:sz="18" w:space="0" w:color="000000"/>
            </w:tcBorders>
            <w:shd w:fill="auto" w:val="clear"/>
            <w:tcMar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CCEEFF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Cash flows from Investing Activities: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auto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Cash settlement of acquisition of Limoneira Stock, net of our common stock issued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$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(23,450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)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$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(13,450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)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CCEEFF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Net cash used in investing activities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(21,503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)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(11,503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)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auto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auto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Cash flows from Financing Activities: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CCEEFF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Issuance of stock to Limoneira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10,000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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auto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Net cash provided by financing activities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18,079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8,079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auto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CCEEFF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Noncash investing and financing activities: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CCEEFF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CCEEFF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15" w:type="dxa"/>
            <w:tcBorders>
              <w:top w:val="single" w:sz="12" w:space="0" w:color="000000"/>
              <w:left w:val="single" w:sz="18" w:space="0" w:color="000000"/>
            </w:tcBorders>
            <w:shd w:fill="auto" w:val="clear"/>
            <w:tcMar>
              <w:top w:w="28" w:type="dxa"/>
              <w:lef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648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0"/>
              <w:ind w:left="225" w:right="0" w:hanging="225"/>
              <w:rPr/>
            </w:pPr>
            <w:r>
              <w:rPr/>
              <w:t>Issuance of our common stock in Limoneira transaction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75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$</w:t>
            </w:r>
          </w:p>
        </w:tc>
        <w:tc>
          <w:tcPr>
            <w:tcW w:w="914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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9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87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$</w:t>
            </w:r>
          </w:p>
        </w:tc>
        <w:tc>
          <w:tcPr>
            <w:tcW w:w="981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10,000</w:t>
            </w:r>
          </w:p>
        </w:tc>
        <w:tc>
          <w:tcPr>
            <w:tcW w:w="136" w:type="dxa"/>
            <w:tcBorders>
              <w:top w:val="single" w:sz="12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125" w:type="dxa"/>
            <w:tcBorders>
              <w:top w:val="single" w:sz="12" w:space="0" w:color="000000"/>
              <w:right w:val="single" w:sz="18" w:space="0" w:color="000000"/>
            </w:tcBorders>
            <w:shd w:fill="auto" w:val="clear"/>
            <w:tcMar>
              <w:top w:w="28" w:type="dxa"/>
              <w:right w:w="28" w:type="dxa"/>
            </w:tcMar>
            <w:vAlign w:val="bottom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13"/>
            <w:tcBorders>
              <w:top w:val="single" w:sz="18" w:space="0" w:color="000000"/>
            </w:tcBorders>
            <w:shd w:fill="auto" w:val="clear"/>
            <w:tcMar>
              <w:top w:w="28" w:type="dxa"/>
            </w:tcMar>
            <w:vAlign w:val="bottom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jc w:val="center"/>
        <w:rPr>
          <w:rFonts w:ascii="Times New Roman;Times;serif" w:hAnsi="Times New Roman;Times;serif"/>
          <w:sz w:val="17"/>
        </w:rPr>
      </w:pPr>
      <w:r>
        <w:rPr>
          <w:rFonts w:ascii="Times New Roman;Times;serif" w:hAnsi="Times New Roman;Times;serif"/>
          <w:sz w:val="17"/>
        </w:rPr>
        <w:t xml:space="preserve">2 </w:t>
      </w:r>
    </w:p>
    <w:p>
      <w:pPr>
        <w:pStyle w:val="HorizontalLine"/>
        <w:pBdr>
          <w:bottom w:val="single" w:sz="20" w:space="0" w:color="808080"/>
        </w:pBdr>
        <w:rPr/>
      </w:pPr>
      <w:r>
        <w:rPr/>
      </w:r>
      <w:r>
        <w:br w:type="page"/>
      </w:r>
    </w:p>
    <w:p>
      <w:pPr>
        <w:pStyle w:val="Heading5"/>
        <w:jc w:val="left"/>
        <w:rPr/>
      </w:pPr>
      <w:hyperlink w:anchor="toc">
        <w:r>
          <w:rPr>
            <w:rStyle w:val="InternetLink"/>
          </w:rPr>
          <w:t>Table of Contents</w:t>
        </w:r>
      </w:hyperlink>
    </w:p>
    <w:p>
      <w:pPr>
        <w:pStyle w:val="TextBody"/>
        <w:spacing w:before="360" w:after="283"/>
        <w:jc w:val="center"/>
        <w:rPr>
          <w:rFonts w:ascii="Times New Roman;Times;serif" w:hAnsi="Times New Roman;Times;serif"/>
          <w:sz w:val="17"/>
        </w:rPr>
      </w:pPr>
      <w:bookmarkStart w:id="4" w:name="001"/>
      <w:bookmarkEnd w:id="4"/>
      <w:r>
        <w:rPr>
          <w:rFonts w:ascii="Times New Roman;Times;serif" w:hAnsi="Times New Roman;Times;serif"/>
          <w:b/>
          <w:sz w:val="17"/>
        </w:rPr>
        <w:t>SIGNATURE</w:t>
      </w:r>
      <w:r>
        <w:rPr>
          <w:rFonts w:ascii="Times New Roman;Times;serif" w:hAnsi="Times New Roman;Times;serif"/>
          <w:sz w:val="17"/>
        </w:rPr>
        <w:t xml:space="preserve"> </w:t>
      </w:r>
    </w:p>
    <w:p>
      <w:pPr>
        <w:pStyle w:val="TextBody"/>
        <w:spacing w:before="120" w:after="283"/>
        <w:jc w:val="left"/>
        <w:rPr/>
      </w:pPr>
      <w:r>
        <w:rPr/>
        <w:t>     </w:t>
      </w:r>
      <w:r>
        <w:rPr>
          <w:rFonts w:ascii="Times New Roman;Times;serif" w:hAnsi="Times New Roman;Times;serif"/>
          <w:sz w:val="17"/>
        </w:rPr>
        <w:t xml:space="preserve">Pursuant to the requirements of the Securities Exchange Act of 1934, the Registrant has duly caused this report to be signed on its behalf by the undersigned hereunto duly authorized. </w:t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3389"/>
        <w:gridCol w:w="962"/>
        <w:gridCol w:w="360"/>
        <w:gridCol w:w="4557"/>
        <w:gridCol w:w="937"/>
      </w:tblGrid>
      <w:tr>
        <w:trPr/>
        <w:tc>
          <w:tcPr>
            <w:tcW w:w="338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6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55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9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389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87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Calavo Growers, Inc.</w:t>
            </w:r>
          </w:p>
        </w:tc>
        <w:tc>
          <w:tcPr>
            <w:tcW w:w="9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4711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January 30, 2006</w:t>
            </w:r>
          </w:p>
        </w:tc>
        <w:tc>
          <w:tcPr>
            <w:tcW w:w="4557" w:type="dxa"/>
            <w:tcBorders/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7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8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2" w:type="dxa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By:  </w:t>
            </w:r>
          </w:p>
        </w:tc>
        <w:tc>
          <w:tcPr>
            <w:tcW w:w="4917" w:type="dxa"/>
            <w:gridSpan w:val="2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/s/ Lecil E. Cole  </w:t>
            </w:r>
          </w:p>
        </w:tc>
        <w:tc>
          <w:tcPr>
            <w:tcW w:w="9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38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6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917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38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87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Lecil E. Cole</w:t>
              <w:br/>
              <w:t>Chairman of the Board of Directors, Chief Executive Officer and President</w:t>
              <w:br/>
              <w:t>(Principal Executive Officer) </w:t>
            </w:r>
          </w:p>
        </w:tc>
        <w:tc>
          <w:tcPr>
            <w:tcW w:w="9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338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879" w:type="dxa"/>
            <w:gridSpan w:val="3"/>
            <w:tcBorders>
              <w:bottom w:val="single" w:sz="2" w:space="0" w:color="000000"/>
            </w:tcBorders>
            <w:shd w:fill="auto" w:val="clear"/>
            <w:tcMar>
              <w:bottom w:w="28" w:type="dxa"/>
            </w:tcMar>
          </w:tcPr>
          <w:p>
            <w:pPr>
              <w:pStyle w:val="TableContents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7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10205" w:type="dxa"/>
            <w:gridSpan w:val="5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</w:tbl>
    <w:p>
      <w:pPr>
        <w:pStyle w:val="TextBody"/>
        <w:spacing w:before="0" w:after="0"/>
        <w:jc w:val="center"/>
        <w:rPr/>
      </w:pPr>
      <w:r>
        <w:rPr/>
        <w:t xml:space="preserve"> 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  <w:font w:name="Wingding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DejaVu Sans" w:cs="DejaVu Sans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653</Words>
  <CharactersWithSpaces>4415</CharactersWithSpaces>
  <Paragraphs>297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e8vk</dc:title>
</cp:coreProperties>
</file>