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945515</wp:posOffset>
            </wp:positionH>
            <wp:positionV relativeFrom="page">
              <wp:posOffset>431800</wp:posOffset>
            </wp:positionV>
            <wp:extent cx="565785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657850" cy="34290"/>
                    </a:xfrm>
                    <a:prstGeom prst="rect">
                      <a:avLst/>
                    </a:prstGeom>
                    <a:noFill/>
                  </pic:spPr>
                </pic:pic>
              </a:graphicData>
            </a:graphic>
          </wp:anchor>
        </w:drawing>
        <w:drawing>
          <wp:anchor simplePos="0" relativeHeight="251657728" behindDoc="1" locked="0" layoutInCell="0" allowOverlap="1">
            <wp:simplePos x="0" y="0"/>
            <wp:positionH relativeFrom="page">
              <wp:posOffset>945515</wp:posOffset>
            </wp:positionH>
            <wp:positionV relativeFrom="page">
              <wp:posOffset>500380</wp:posOffset>
            </wp:positionV>
            <wp:extent cx="565785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657850" cy="8255"/>
                    </a:xfrm>
                    <a:prstGeom prst="rect">
                      <a:avLst/>
                    </a:prstGeom>
                    <a:noFill/>
                  </pic:spPr>
                </pic:pic>
              </a:graphicData>
            </a:graphic>
          </wp:anchor>
        </w:drawing>
        <w:t>UNITED STATES</w:t>
      </w:r>
    </w:p>
    <w:p>
      <w:pPr>
        <w:spacing w:after="0" w:line="23"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WASHINGTON, D.C. 20549</w:t>
      </w:r>
    </w:p>
    <w:p>
      <w:pPr>
        <w:spacing w:after="0" w:line="189"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FORM 8-K</w:t>
      </w:r>
    </w:p>
    <w:p>
      <w:pPr>
        <w:spacing w:after="0" w:line="221"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CURRENT REPORT PURSUANT</w:t>
      </w:r>
    </w:p>
    <w:p>
      <w:pPr>
        <w:spacing w:after="0" w:line="23"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TO SECTION 13 OR 15(d) OF THE</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SECURITIES EXCHANGE ACT OF 1934</w:t>
      </w:r>
    </w:p>
    <w:p>
      <w:pPr>
        <w:spacing w:after="0" w:line="193"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 xml:space="preserve">Date of report (Date of earliest event reported): </w:t>
      </w:r>
      <w:r>
        <w:rPr>
          <w:rFonts w:ascii="Arial" w:cs="Arial" w:eastAsia="Arial" w:hAnsi="Arial"/>
          <w:sz w:val="18"/>
          <w:szCs w:val="18"/>
          <w:b w:val="1"/>
          <w:bCs w:val="1"/>
          <w:color w:val="auto"/>
        </w:rPr>
        <w:t>December 21, 2020</w:t>
      </w:r>
    </w:p>
    <w:p>
      <w:pPr>
        <w:spacing w:after="0" w:line="198"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CALAVO GROWERS, INC.</w:t>
      </w:r>
    </w:p>
    <w:p>
      <w:pPr>
        <w:spacing w:after="0" w:line="29"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(Exact Name of Registrant as Specified in Charter)</w:t>
      </w:r>
    </w:p>
    <w:p>
      <w:pPr>
        <w:spacing w:after="0" w:line="192" w:lineRule="exact"/>
        <w:rPr>
          <w:sz w:val="24"/>
          <w:szCs w:val="24"/>
          <w:color w:val="auto"/>
        </w:rPr>
      </w:pPr>
    </w:p>
    <w:tbl>
      <w:tblPr>
        <w:tblLayout w:type="fixed"/>
        <w:tblInd w:w="60" w:type="dxa"/>
        <w:tblCellMar>
          <w:top w:w="0" w:type="dxa"/>
          <w:left w:w="0" w:type="dxa"/>
          <w:bottom w:w="0" w:type="dxa"/>
          <w:right w:w="0" w:type="dxa"/>
        </w:tblCellMar>
      </w:tblPr>
      <w:tr>
        <w:trPr>
          <w:trHeight w:val="234"/>
        </w:trPr>
        <w:tc>
          <w:tcPr>
            <w:tcW w:w="312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6"/>
              </w:rPr>
              <w:t>California</w:t>
            </w:r>
          </w:p>
        </w:tc>
        <w:tc>
          <w:tcPr>
            <w:tcW w:w="2920" w:type="dxa"/>
            <w:vAlign w:val="bottom"/>
          </w:tcPr>
          <w:p>
            <w:pPr>
              <w:jc w:val="right"/>
              <w:ind w:right="999"/>
              <w:spacing w:after="0"/>
              <w:rPr>
                <w:sz w:val="20"/>
                <w:szCs w:val="20"/>
                <w:color w:val="auto"/>
              </w:rPr>
            </w:pPr>
            <w:r>
              <w:rPr>
                <w:rFonts w:ascii="Arial" w:cs="Arial" w:eastAsia="Arial" w:hAnsi="Arial"/>
                <w:sz w:val="18"/>
                <w:szCs w:val="18"/>
                <w:b w:val="1"/>
                <w:bCs w:val="1"/>
                <w:color w:val="auto"/>
              </w:rPr>
              <w:t>000-33385</w:t>
            </w:r>
          </w:p>
        </w:tc>
        <w:tc>
          <w:tcPr>
            <w:tcW w:w="180" w:type="dxa"/>
            <w:vAlign w:val="bottom"/>
          </w:tcPr>
          <w:p>
            <w:pPr>
              <w:spacing w:after="0"/>
              <w:rPr>
                <w:sz w:val="20"/>
                <w:szCs w:val="20"/>
                <w:color w:val="auto"/>
              </w:rPr>
            </w:pPr>
          </w:p>
        </w:tc>
        <w:tc>
          <w:tcPr>
            <w:tcW w:w="2680" w:type="dxa"/>
            <w:vAlign w:val="bottom"/>
          </w:tcPr>
          <w:p>
            <w:pPr>
              <w:jc w:val="center"/>
              <w:spacing w:after="0"/>
              <w:rPr>
                <w:sz w:val="20"/>
                <w:szCs w:val="20"/>
                <w:color w:val="auto"/>
              </w:rPr>
            </w:pPr>
            <w:r>
              <w:rPr>
                <w:rFonts w:ascii="Arial" w:cs="Arial" w:eastAsia="Arial" w:hAnsi="Arial"/>
                <w:sz w:val="18"/>
                <w:szCs w:val="18"/>
                <w:b w:val="1"/>
                <w:bCs w:val="1"/>
                <w:color w:val="auto"/>
                <w:w w:val="91"/>
              </w:rPr>
              <w:t>33-0945304</w:t>
            </w:r>
          </w:p>
        </w:tc>
      </w:tr>
      <w:tr>
        <w:trPr>
          <w:trHeight w:val="123"/>
        </w:trPr>
        <w:tc>
          <w:tcPr>
            <w:tcW w:w="2940" w:type="dxa"/>
            <w:vAlign w:val="bottom"/>
            <w:tcBorders>
              <w:top w:val="single" w:sz="8" w:color="auto"/>
            </w:tcBorders>
          </w:tcPr>
          <w:p>
            <w:pPr>
              <w:jc w:val="center"/>
              <w:spacing w:after="0" w:line="123" w:lineRule="exact"/>
              <w:rPr>
                <w:sz w:val="20"/>
                <w:szCs w:val="20"/>
                <w:color w:val="auto"/>
              </w:rPr>
            </w:pPr>
            <w:r>
              <w:rPr>
                <w:rFonts w:ascii="Arial" w:cs="Arial" w:eastAsia="Arial" w:hAnsi="Arial"/>
                <w:sz w:val="14"/>
                <w:szCs w:val="14"/>
                <w:color w:val="auto"/>
                <w:w w:val="90"/>
              </w:rPr>
              <w:t>(State or Other</w:t>
            </w:r>
          </w:p>
        </w:tc>
        <w:tc>
          <w:tcPr>
            <w:tcW w:w="180" w:type="dxa"/>
            <w:vAlign w:val="bottom"/>
          </w:tcPr>
          <w:p>
            <w:pPr>
              <w:spacing w:after="0"/>
              <w:rPr>
                <w:sz w:val="10"/>
                <w:szCs w:val="10"/>
                <w:color w:val="auto"/>
              </w:rPr>
            </w:pPr>
          </w:p>
        </w:tc>
        <w:tc>
          <w:tcPr>
            <w:tcW w:w="2920" w:type="dxa"/>
            <w:vAlign w:val="bottom"/>
            <w:tcBorders>
              <w:top w:val="single" w:sz="8" w:color="auto"/>
            </w:tcBorders>
          </w:tcPr>
          <w:p>
            <w:pPr>
              <w:jc w:val="center"/>
              <w:spacing w:after="0" w:line="123" w:lineRule="exact"/>
              <w:rPr>
                <w:sz w:val="20"/>
                <w:szCs w:val="20"/>
                <w:color w:val="auto"/>
              </w:rPr>
            </w:pPr>
            <w:r>
              <w:rPr>
                <w:rFonts w:ascii="Arial" w:cs="Arial" w:eastAsia="Arial" w:hAnsi="Arial"/>
                <w:sz w:val="14"/>
                <w:szCs w:val="14"/>
                <w:color w:val="auto"/>
                <w:w w:val="94"/>
              </w:rPr>
              <w:t>(Commission File Number)</w:t>
            </w:r>
          </w:p>
        </w:tc>
        <w:tc>
          <w:tcPr>
            <w:tcW w:w="180" w:type="dxa"/>
            <w:vAlign w:val="bottom"/>
          </w:tcPr>
          <w:p>
            <w:pPr>
              <w:spacing w:after="0"/>
              <w:rPr>
                <w:sz w:val="10"/>
                <w:szCs w:val="10"/>
                <w:color w:val="auto"/>
              </w:rPr>
            </w:pPr>
          </w:p>
        </w:tc>
        <w:tc>
          <w:tcPr>
            <w:tcW w:w="2680" w:type="dxa"/>
            <w:vAlign w:val="bottom"/>
            <w:tcBorders>
              <w:top w:val="single" w:sz="8" w:color="auto"/>
            </w:tcBorders>
          </w:tcPr>
          <w:p>
            <w:pPr>
              <w:jc w:val="center"/>
              <w:spacing w:after="0" w:line="123" w:lineRule="exact"/>
              <w:rPr>
                <w:sz w:val="20"/>
                <w:szCs w:val="20"/>
                <w:color w:val="auto"/>
              </w:rPr>
            </w:pPr>
            <w:r>
              <w:rPr>
                <w:rFonts w:ascii="Arial" w:cs="Arial" w:eastAsia="Arial" w:hAnsi="Arial"/>
                <w:sz w:val="14"/>
                <w:szCs w:val="14"/>
                <w:color w:val="auto"/>
                <w:w w:val="96"/>
              </w:rPr>
              <w:t>(IRS Employer</w:t>
            </w:r>
          </w:p>
        </w:tc>
      </w:tr>
      <w:tr>
        <w:trPr>
          <w:trHeight w:val="182"/>
        </w:trPr>
        <w:tc>
          <w:tcPr>
            <w:tcW w:w="3120" w:type="dxa"/>
            <w:vAlign w:val="bottom"/>
            <w:gridSpan w:val="2"/>
          </w:tcPr>
          <w:p>
            <w:pPr>
              <w:jc w:val="center"/>
              <w:ind w:right="200"/>
              <w:spacing w:after="0"/>
              <w:rPr>
                <w:sz w:val="20"/>
                <w:szCs w:val="20"/>
                <w:color w:val="auto"/>
              </w:rPr>
            </w:pPr>
            <w:r>
              <w:rPr>
                <w:rFonts w:ascii="Arial" w:cs="Arial" w:eastAsia="Arial" w:hAnsi="Arial"/>
                <w:sz w:val="14"/>
                <w:szCs w:val="14"/>
                <w:color w:val="auto"/>
                <w:w w:val="95"/>
              </w:rPr>
              <w:t>Jurisdiction of Incorporation)</w:t>
            </w:r>
          </w:p>
        </w:tc>
        <w:tc>
          <w:tcPr>
            <w:tcW w:w="29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680" w:type="dxa"/>
            <w:vAlign w:val="bottom"/>
          </w:tcPr>
          <w:p>
            <w:pPr>
              <w:jc w:val="center"/>
              <w:spacing w:after="0"/>
              <w:rPr>
                <w:sz w:val="20"/>
                <w:szCs w:val="20"/>
                <w:color w:val="auto"/>
              </w:rPr>
            </w:pPr>
            <w:r>
              <w:rPr>
                <w:rFonts w:ascii="Arial" w:cs="Arial" w:eastAsia="Arial" w:hAnsi="Arial"/>
                <w:sz w:val="14"/>
                <w:szCs w:val="14"/>
                <w:color w:val="auto"/>
                <w:w w:val="99"/>
              </w:rPr>
              <w:t>Identification No.)</w:t>
            </w:r>
          </w:p>
        </w:tc>
      </w:tr>
    </w:tbl>
    <w:p>
      <w:pPr>
        <w:spacing w:after="0" w:line="23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1141-A Cummings Road, Santa Paula, California 93060</w:t>
      </w:r>
    </w:p>
    <w:p>
      <w:pPr>
        <w:spacing w:after="0" w:line="243"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(Address of Principal Executive Offices) (Zip Code)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605155</wp:posOffset>
            </wp:positionH>
            <wp:positionV relativeFrom="paragraph">
              <wp:posOffset>-130175</wp:posOffset>
            </wp:positionV>
            <wp:extent cx="451739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4517390" cy="8255"/>
                    </a:xfrm>
                    <a:prstGeom prst="rect">
                      <a:avLst/>
                    </a:prstGeom>
                    <a:noFill/>
                  </pic:spPr>
                </pic:pic>
              </a:graphicData>
            </a:graphic>
          </wp:anchor>
        </w:drawing>
      </w:r>
    </w:p>
    <w:p>
      <w:pPr>
        <w:spacing w:after="0" w:line="21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605155</wp:posOffset>
            </wp:positionH>
            <wp:positionV relativeFrom="paragraph">
              <wp:posOffset>-130175</wp:posOffset>
            </wp:positionV>
            <wp:extent cx="451739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4517390" cy="8255"/>
                    </a:xfrm>
                    <a:prstGeom prst="rect">
                      <a:avLst/>
                    </a:prstGeom>
                    <a:noFill/>
                  </pic:spPr>
                </pic:pic>
              </a:graphicData>
            </a:graphic>
          </wp:anchor>
        </w:drawing>
      </w:r>
    </w:p>
    <w:p>
      <w:pPr>
        <w:spacing w:after="0" w:line="188"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18"/>
          <w:szCs w:val="18"/>
          <w:b w:val="1"/>
          <w:bCs w:val="1"/>
          <w:color w:val="auto"/>
        </w:rPr>
        <w:t>(805) 525-1245</w:t>
      </w:r>
    </w:p>
    <w:p>
      <w:pPr>
        <w:spacing w:after="0" w:line="216" w:lineRule="exact"/>
        <w:rPr>
          <w:sz w:val="24"/>
          <w:szCs w:val="24"/>
          <w:color w:val="auto"/>
        </w:rPr>
      </w:pPr>
    </w:p>
    <w:p>
      <w:pPr>
        <w:ind w:left="60" w:right="359"/>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57" w:lineRule="exact"/>
        <w:rPr>
          <w:sz w:val="24"/>
          <w:szCs w:val="24"/>
          <w:color w:val="auto"/>
        </w:rPr>
      </w:pPr>
    </w:p>
    <w:p>
      <w:pPr>
        <w:ind w:left="560" w:hanging="240"/>
        <w:spacing w:after="0"/>
        <w:tabs>
          <w:tab w:leader="none" w:pos="5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11" w:lineRule="exact"/>
        <w:rPr>
          <w:rFonts w:ascii="MS PGothic" w:cs="MS PGothic" w:eastAsia="MS PGothic" w:hAnsi="MS PGothic"/>
          <w:sz w:val="18"/>
          <w:szCs w:val="18"/>
          <w:color w:val="auto"/>
        </w:rPr>
      </w:pPr>
    </w:p>
    <w:p>
      <w:pPr>
        <w:ind w:left="580" w:hanging="260"/>
        <w:spacing w:after="0"/>
        <w:tabs>
          <w:tab w:leader="none" w:pos="5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11" w:lineRule="exact"/>
        <w:rPr>
          <w:rFonts w:ascii="MS PGothic" w:cs="MS PGothic" w:eastAsia="MS PGothic" w:hAnsi="MS PGothic"/>
          <w:sz w:val="18"/>
          <w:szCs w:val="18"/>
          <w:color w:val="auto"/>
        </w:rPr>
      </w:pPr>
    </w:p>
    <w:p>
      <w:pPr>
        <w:ind w:left="580" w:hanging="260"/>
        <w:spacing w:after="0"/>
        <w:tabs>
          <w:tab w:leader="none" w:pos="580"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Pre-commencement communications pursuant to Rule 14d-2(b) under the Exchange Act (17 CFR 240.14d-2(b))</w:t>
      </w:r>
    </w:p>
    <w:p>
      <w:pPr>
        <w:spacing w:after="0" w:line="234" w:lineRule="exact"/>
        <w:rPr>
          <w:rFonts w:ascii="MS PGothic" w:cs="MS PGothic" w:eastAsia="MS PGothic" w:hAnsi="MS PGothic"/>
          <w:sz w:val="16"/>
          <w:szCs w:val="16"/>
          <w:color w:val="auto"/>
        </w:rPr>
      </w:pPr>
    </w:p>
    <w:p>
      <w:pPr>
        <w:ind w:left="580" w:hanging="260"/>
        <w:spacing w:after="0"/>
        <w:tabs>
          <w:tab w:leader="none" w:pos="580"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Pre-commencement communications pursuant to Rule 13e-4(c) under the Exchange Act (17 CFR 240.13e-4(c))</w:t>
      </w:r>
    </w:p>
    <w:p>
      <w:pPr>
        <w:spacing w:after="0" w:line="239" w:lineRule="exact"/>
        <w:rPr>
          <w:rFonts w:ascii="MS PGothic" w:cs="MS PGothic" w:eastAsia="MS PGothic" w:hAnsi="MS PGothic"/>
          <w:sz w:val="16"/>
          <w:szCs w:val="16"/>
          <w:color w:val="auto"/>
        </w:rPr>
      </w:pPr>
    </w:p>
    <w:p>
      <w:pPr>
        <w:ind w:left="2640"/>
        <w:spacing w:after="0"/>
        <w:rPr>
          <w:rFonts w:ascii="MS PGothic" w:cs="MS PGothic" w:eastAsia="MS PGothic" w:hAnsi="MS PGothic"/>
          <w:sz w:val="16"/>
          <w:szCs w:val="16"/>
          <w:color w:val="auto"/>
        </w:rPr>
      </w:pPr>
      <w:r>
        <w:rPr>
          <w:rFonts w:ascii="Arial" w:cs="Arial" w:eastAsia="Arial" w:hAnsi="Arial"/>
          <w:sz w:val="16"/>
          <w:szCs w:val="16"/>
          <w:color w:val="auto"/>
        </w:rPr>
        <w:t>Securities registered pursuant to Section 12(b) of the Act:</w:t>
      </w:r>
    </w:p>
    <w:p>
      <w:pPr>
        <w:spacing w:after="0" w:line="221" w:lineRule="exact"/>
        <w:rPr>
          <w:sz w:val="24"/>
          <w:szCs w:val="24"/>
          <w:color w:val="auto"/>
        </w:rPr>
      </w:pPr>
    </w:p>
    <w:tbl>
      <w:tblPr>
        <w:tblLayout w:type="fixed"/>
        <w:tblInd w:w="60" w:type="dxa"/>
        <w:tblCellMar>
          <w:top w:w="0" w:type="dxa"/>
          <w:left w:w="0" w:type="dxa"/>
          <w:bottom w:w="0" w:type="dxa"/>
          <w:right w:w="0" w:type="dxa"/>
        </w:tblCellMar>
      </w:tblPr>
      <w:tr>
        <w:trPr>
          <w:trHeight w:val="206"/>
        </w:trPr>
        <w:tc>
          <w:tcPr>
            <w:tcW w:w="3100" w:type="dxa"/>
            <w:vAlign w:val="bottom"/>
            <w:gridSpan w:val="2"/>
          </w:tcPr>
          <w:p>
            <w:pPr>
              <w:jc w:val="center"/>
              <w:ind w:right="140"/>
              <w:spacing w:after="0"/>
              <w:rPr>
                <w:sz w:val="20"/>
                <w:szCs w:val="20"/>
                <w:color w:val="auto"/>
              </w:rPr>
            </w:pPr>
            <w:r>
              <w:rPr>
                <w:rFonts w:ascii="Arial" w:cs="Arial" w:eastAsia="Arial" w:hAnsi="Arial"/>
                <w:sz w:val="16"/>
                <w:szCs w:val="16"/>
                <w:color w:val="auto"/>
                <w:w w:val="90"/>
              </w:rPr>
              <w:t>Title of each class</w:t>
            </w:r>
          </w:p>
        </w:tc>
        <w:tc>
          <w:tcPr>
            <w:tcW w:w="2740" w:type="dxa"/>
            <w:vAlign w:val="bottom"/>
            <w:gridSpan w:val="2"/>
          </w:tcPr>
          <w:p>
            <w:pPr>
              <w:jc w:val="center"/>
              <w:ind w:right="160"/>
              <w:spacing w:after="0"/>
              <w:rPr>
                <w:sz w:val="20"/>
                <w:szCs w:val="20"/>
                <w:color w:val="auto"/>
              </w:rPr>
            </w:pPr>
            <w:r>
              <w:rPr>
                <w:rFonts w:ascii="Arial" w:cs="Arial" w:eastAsia="Arial" w:hAnsi="Arial"/>
                <w:sz w:val="16"/>
                <w:szCs w:val="16"/>
                <w:color w:val="auto"/>
                <w:w w:val="93"/>
              </w:rPr>
              <w:t>Trading Symbol(s)</w:t>
            </w:r>
          </w:p>
        </w:tc>
        <w:tc>
          <w:tcPr>
            <w:tcW w:w="3060" w:type="dxa"/>
            <w:vAlign w:val="bottom"/>
          </w:tcPr>
          <w:p>
            <w:pPr>
              <w:jc w:val="center"/>
              <w:spacing w:after="0"/>
              <w:rPr>
                <w:sz w:val="20"/>
                <w:szCs w:val="20"/>
                <w:color w:val="auto"/>
              </w:rPr>
            </w:pPr>
            <w:r>
              <w:rPr>
                <w:rFonts w:ascii="Arial" w:cs="Arial" w:eastAsia="Arial" w:hAnsi="Arial"/>
                <w:sz w:val="16"/>
                <w:szCs w:val="16"/>
                <w:color w:val="auto"/>
                <w:w w:val="90"/>
              </w:rPr>
              <w:t>Name of each exchange on which registered</w:t>
            </w:r>
          </w:p>
        </w:tc>
      </w:tr>
      <w:tr>
        <w:trPr>
          <w:trHeight w:val="33"/>
        </w:trPr>
        <w:tc>
          <w:tcPr>
            <w:tcW w:w="29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6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060" w:type="dxa"/>
            <w:vAlign w:val="bottom"/>
            <w:tcBorders>
              <w:bottom w:val="single" w:sz="8" w:color="auto"/>
            </w:tcBorders>
          </w:tcPr>
          <w:p>
            <w:pPr>
              <w:spacing w:after="0"/>
              <w:rPr>
                <w:sz w:val="2"/>
                <w:szCs w:val="2"/>
                <w:color w:val="auto"/>
              </w:rPr>
            </w:pPr>
          </w:p>
        </w:tc>
      </w:tr>
      <w:tr>
        <w:trPr>
          <w:trHeight w:val="200"/>
        </w:trPr>
        <w:tc>
          <w:tcPr>
            <w:tcW w:w="2980" w:type="dxa"/>
            <w:vAlign w:val="bottom"/>
          </w:tcPr>
          <w:p>
            <w:pPr>
              <w:jc w:val="center"/>
              <w:spacing w:after="0"/>
              <w:rPr>
                <w:sz w:val="20"/>
                <w:szCs w:val="20"/>
                <w:color w:val="auto"/>
              </w:rPr>
            </w:pPr>
            <w:r>
              <w:rPr>
                <w:rFonts w:ascii="Arial" w:cs="Arial" w:eastAsia="Arial" w:hAnsi="Arial"/>
                <w:sz w:val="16"/>
                <w:szCs w:val="16"/>
                <w:color w:val="auto"/>
                <w:w w:val="91"/>
              </w:rPr>
              <w:t>Common Stock</w:t>
            </w:r>
          </w:p>
        </w:tc>
        <w:tc>
          <w:tcPr>
            <w:tcW w:w="120" w:type="dxa"/>
            <w:vAlign w:val="bottom"/>
          </w:tcPr>
          <w:p>
            <w:pPr>
              <w:spacing w:after="0"/>
              <w:rPr>
                <w:sz w:val="17"/>
                <w:szCs w:val="17"/>
                <w:color w:val="auto"/>
              </w:rPr>
            </w:pPr>
          </w:p>
        </w:tc>
        <w:tc>
          <w:tcPr>
            <w:tcW w:w="2620" w:type="dxa"/>
            <w:vAlign w:val="bottom"/>
          </w:tcPr>
          <w:p>
            <w:pPr>
              <w:jc w:val="center"/>
              <w:spacing w:after="0"/>
              <w:rPr>
                <w:sz w:val="20"/>
                <w:szCs w:val="20"/>
                <w:color w:val="auto"/>
              </w:rPr>
            </w:pPr>
            <w:r>
              <w:rPr>
                <w:rFonts w:ascii="Arial" w:cs="Arial" w:eastAsia="Arial" w:hAnsi="Arial"/>
                <w:sz w:val="16"/>
                <w:szCs w:val="16"/>
                <w:color w:val="auto"/>
              </w:rPr>
              <w:t>CVGW</w:t>
            </w:r>
          </w:p>
        </w:tc>
        <w:tc>
          <w:tcPr>
            <w:tcW w:w="120" w:type="dxa"/>
            <w:vAlign w:val="bottom"/>
          </w:tcPr>
          <w:p>
            <w:pPr>
              <w:spacing w:after="0"/>
              <w:rPr>
                <w:sz w:val="17"/>
                <w:szCs w:val="17"/>
                <w:color w:val="auto"/>
              </w:rPr>
            </w:pPr>
          </w:p>
        </w:tc>
        <w:tc>
          <w:tcPr>
            <w:tcW w:w="3060" w:type="dxa"/>
            <w:vAlign w:val="bottom"/>
          </w:tcPr>
          <w:p>
            <w:pPr>
              <w:jc w:val="center"/>
              <w:spacing w:after="0"/>
              <w:rPr>
                <w:sz w:val="20"/>
                <w:szCs w:val="20"/>
                <w:color w:val="auto"/>
              </w:rPr>
            </w:pPr>
            <w:r>
              <w:rPr>
                <w:rFonts w:ascii="Arial" w:cs="Arial" w:eastAsia="Arial" w:hAnsi="Arial"/>
                <w:sz w:val="16"/>
                <w:szCs w:val="16"/>
                <w:color w:val="auto"/>
                <w:w w:val="92"/>
              </w:rPr>
              <w:t>Nasdaq Global Market</w:t>
            </w:r>
          </w:p>
        </w:tc>
      </w:tr>
    </w:tbl>
    <w:p>
      <w:pPr>
        <w:spacing w:after="0" w:line="184" w:lineRule="exact"/>
        <w:rPr>
          <w:sz w:val="24"/>
          <w:szCs w:val="24"/>
          <w:color w:val="auto"/>
        </w:rPr>
      </w:pPr>
    </w:p>
    <w:p>
      <w:pPr>
        <w:ind w:left="60" w:right="99" w:firstLine="441"/>
        <w:spacing w:after="0" w:line="263"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37" w:lineRule="exact"/>
        <w:rPr>
          <w:sz w:val="24"/>
          <w:szCs w:val="24"/>
          <w:color w:val="auto"/>
        </w:rPr>
      </w:pPr>
    </w:p>
    <w:p>
      <w:pPr>
        <w:ind w:left="500"/>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44" w:lineRule="exact"/>
        <w:rPr>
          <w:sz w:val="24"/>
          <w:szCs w:val="24"/>
          <w:color w:val="auto"/>
        </w:rPr>
      </w:pPr>
    </w:p>
    <w:p>
      <w:pPr>
        <w:ind w:left="60" w:right="159" w:firstLine="441"/>
        <w:spacing w:after="0" w:line="227"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31115</wp:posOffset>
            </wp:positionH>
            <wp:positionV relativeFrom="paragraph">
              <wp:posOffset>691515</wp:posOffset>
            </wp:positionV>
            <wp:extent cx="5657850" cy="260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657850" cy="26035"/>
                    </a:xfrm>
                    <a:prstGeom prst="rect">
                      <a:avLst/>
                    </a:prstGeom>
                    <a:noFill/>
                  </pic:spPr>
                </pic:pic>
              </a:graphicData>
            </a:graphic>
          </wp:anchor>
        </w:drawing>
        <w:drawing>
          <wp:anchor simplePos="0" relativeHeight="251657728" behindDoc="1" locked="0" layoutInCell="0" allowOverlap="1">
            <wp:simplePos x="0" y="0"/>
            <wp:positionH relativeFrom="column">
              <wp:posOffset>31115</wp:posOffset>
            </wp:positionH>
            <wp:positionV relativeFrom="paragraph">
              <wp:posOffset>116840</wp:posOffset>
            </wp:positionV>
            <wp:extent cx="56578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657850" cy="8890"/>
                    </a:xfrm>
                    <a:prstGeom prst="rect">
                      <a:avLst/>
                    </a:prstGeom>
                    <a:noFill/>
                  </pic:spPr>
                </pic:pic>
              </a:graphicData>
            </a:graphic>
          </wp:anchor>
        </w:drawing>
        <w:drawing>
          <wp:anchor simplePos="0" relativeHeight="251657728" behindDoc="1" locked="0" layoutInCell="0" allowOverlap="1">
            <wp:simplePos x="0" y="0"/>
            <wp:positionH relativeFrom="column">
              <wp:posOffset>31115</wp:posOffset>
            </wp:positionH>
            <wp:positionV relativeFrom="paragraph">
              <wp:posOffset>151130</wp:posOffset>
            </wp:positionV>
            <wp:extent cx="5657850" cy="342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657850" cy="34290"/>
                    </a:xfrm>
                    <a:prstGeom prst="rect">
                      <a:avLst/>
                    </a:prstGeom>
                    <a:noFill/>
                  </pic:spPr>
                </pic:pic>
              </a:graphicData>
            </a:graphic>
          </wp:anchor>
        </w:drawing>
      </w:r>
    </w:p>
    <w:p>
      <w:pPr>
        <w:sectPr>
          <w:pgSz w:w="11900" w:h="16838" w:orient="portrait"/>
          <w:cols w:equalWidth="0" w:num="1">
            <w:col w:w="9019"/>
          </w:cols>
          <w:pgMar w:left="1440" w:top="989" w:right="1440" w:bottom="1440" w:gutter="0" w:footer="0" w:header="0"/>
        </w:sectPr>
      </w:pPr>
    </w:p>
    <w:bookmarkStart w:id="1" w:name="page2"/>
    <w:bookmarkEnd w:id="1"/>
    <w:p>
      <w:pPr>
        <w:ind w:left="60"/>
        <w:spacing w:after="0"/>
        <w:rPr>
          <w:sz w:val="20"/>
          <w:szCs w:val="20"/>
          <w:color w:val="auto"/>
        </w:rPr>
      </w:pPr>
      <w:r>
        <w:rPr>
          <w:rFonts w:ascii="Arial" w:cs="Arial" w:eastAsia="Arial" w:hAnsi="Arial"/>
          <w:sz w:val="18"/>
          <w:szCs w:val="18"/>
          <w:b w:val="1"/>
          <w:bCs w:val="1"/>
          <w:color w:val="auto"/>
        </w:rPr>
        <w:t>Item 2.02 Results of Operations and Financial Condition.</w:t>
      </w:r>
    </w:p>
    <w:p>
      <w:pPr>
        <w:spacing w:after="0" w:line="189" w:lineRule="exact"/>
        <w:rPr>
          <w:sz w:val="20"/>
          <w:szCs w:val="20"/>
          <w:color w:val="auto"/>
        </w:rPr>
      </w:pPr>
    </w:p>
    <w:p>
      <w:pPr>
        <w:jc w:val="both"/>
        <w:ind w:left="60" w:right="279" w:firstLine="324"/>
        <w:spacing w:after="0" w:line="263" w:lineRule="auto"/>
        <w:rPr>
          <w:sz w:val="20"/>
          <w:szCs w:val="20"/>
          <w:color w:val="auto"/>
        </w:rPr>
      </w:pPr>
      <w:r>
        <w:rPr>
          <w:rFonts w:ascii="Arial" w:cs="Arial" w:eastAsia="Arial" w:hAnsi="Arial"/>
          <w:sz w:val="18"/>
          <w:szCs w:val="18"/>
          <w:color w:val="auto"/>
        </w:rPr>
        <w:t>On December 21, 2020, Calavo Growers, Inc. (Calavo) issued a press release containing our financial results for the three- and twelve-month periods ended October 31, 2020. A copy of our press release is attached hereto as Exhibit 99.1 and is incorporated by reference herein.</w:t>
      </w:r>
    </w:p>
    <w:p>
      <w:pPr>
        <w:spacing w:after="0" w:line="157" w:lineRule="exact"/>
        <w:rPr>
          <w:sz w:val="20"/>
          <w:szCs w:val="20"/>
          <w:color w:val="auto"/>
        </w:rPr>
      </w:pPr>
    </w:p>
    <w:p>
      <w:pPr>
        <w:ind w:left="60" w:right="199" w:firstLine="324"/>
        <w:spacing w:after="0" w:line="275" w:lineRule="auto"/>
        <w:rPr>
          <w:sz w:val="20"/>
          <w:szCs w:val="20"/>
          <w:color w:val="auto"/>
        </w:rPr>
      </w:pPr>
      <w:r>
        <w:rPr>
          <w:rFonts w:ascii="Arial" w:cs="Arial" w:eastAsia="Arial" w:hAnsi="Arial"/>
          <w:sz w:val="17"/>
          <w:szCs w:val="17"/>
          <w:color w:val="auto"/>
        </w:rPr>
        <w:t>In accordance with General Instruction B.2 of Form 8-K, the information contained in this Item 2.02, including Exhibit 99.1, shall not be deemed to be "filed" for purposes of Section 18 of the Securities Exchange Act of 1934, as amended (the "Exchange Act"), or otherwise subject to the liability of that section, and shall not be incorporated by reference into any registration statement or other document filed by Calavo under the Securities Act of 1933, as amended, or the Exchange Act, except as shall be expressly set forth by specific reference in such filing.</w:t>
      </w:r>
    </w:p>
    <w:p>
      <w:pPr>
        <w:spacing w:after="0" w:line="13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229" w:lineRule="exact"/>
        <w:rPr>
          <w:sz w:val="20"/>
          <w:szCs w:val="20"/>
          <w:color w:val="auto"/>
        </w:rPr>
      </w:pPr>
    </w:p>
    <w:p>
      <w:pPr>
        <w:ind w:left="380" w:hanging="324"/>
        <w:spacing w:after="0"/>
        <w:tabs>
          <w:tab w:leader="none" w:pos="380" w:val="left"/>
        </w:tabs>
        <w:numPr>
          <w:ilvl w:val="0"/>
          <w:numId w:val="2"/>
        </w:numPr>
        <w:rPr>
          <w:rFonts w:ascii="Arial" w:cs="Arial" w:eastAsia="Arial" w:hAnsi="Arial"/>
          <w:sz w:val="18"/>
          <w:szCs w:val="18"/>
          <w:color w:val="auto"/>
        </w:rPr>
      </w:pPr>
      <w:r>
        <w:rPr>
          <w:rFonts w:ascii="Arial" w:cs="Arial" w:eastAsia="Arial" w:hAnsi="Arial"/>
          <w:sz w:val="18"/>
          <w:szCs w:val="18"/>
          <w:color w:val="auto"/>
        </w:rPr>
        <w:t>Exhibits</w:t>
      </w:r>
    </w:p>
    <w:p>
      <w:pPr>
        <w:spacing w:after="0" w:line="23" w:lineRule="exact"/>
        <w:rPr>
          <w:rFonts w:ascii="Arial" w:cs="Arial" w:eastAsia="Arial" w:hAnsi="Arial"/>
          <w:sz w:val="18"/>
          <w:szCs w:val="18"/>
          <w:color w:val="auto"/>
        </w:rPr>
      </w:pPr>
    </w:p>
    <w:p>
      <w:pPr>
        <w:ind w:left="380"/>
        <w:spacing w:after="0"/>
        <w:rPr>
          <w:rFonts w:ascii="Arial" w:cs="Arial" w:eastAsia="Arial" w:hAnsi="Arial"/>
          <w:sz w:val="18"/>
          <w:szCs w:val="18"/>
          <w:color w:val="auto"/>
        </w:rPr>
      </w:pPr>
      <w:r>
        <w:rPr>
          <w:rFonts w:ascii="Arial" w:cs="Arial" w:eastAsia="Arial" w:hAnsi="Arial"/>
          <w:sz w:val="18"/>
          <w:szCs w:val="18"/>
          <w:color w:val="auto"/>
        </w:rPr>
        <w:t xml:space="preserve">99.1  </w:t>
      </w:r>
      <w:hyperlink w:anchor="page4">
        <w:r>
          <w:rPr>
            <w:rFonts w:ascii="Arial" w:cs="Arial" w:eastAsia="Arial" w:hAnsi="Arial"/>
            <w:sz w:val="18"/>
            <w:szCs w:val="18"/>
            <w:u w:val="single" w:color="auto"/>
            <w:color w:val="0000EE"/>
          </w:rPr>
          <w:t>Press release dated December 21, 2020 of the Registrant.</w:t>
        </w:r>
      </w:hyperlink>
    </w:p>
    <w:p>
      <w:pPr>
        <w:spacing w:after="0" w:line="9" w:lineRule="exact"/>
        <w:rPr>
          <w:rFonts w:ascii="Arial" w:cs="Arial" w:eastAsia="Arial" w:hAnsi="Arial"/>
          <w:sz w:val="18"/>
          <w:szCs w:val="18"/>
          <w:color w:val="auto"/>
        </w:rPr>
      </w:pPr>
    </w:p>
    <w:p>
      <w:pPr>
        <w:ind w:left="380"/>
        <w:spacing w:after="0"/>
        <w:rPr>
          <w:rFonts w:ascii="Arial" w:cs="Arial" w:eastAsia="Arial" w:hAnsi="Arial"/>
          <w:sz w:val="18"/>
          <w:szCs w:val="18"/>
          <w:color w:val="auto"/>
        </w:rPr>
      </w:pPr>
      <w:r>
        <w:rPr>
          <w:rFonts w:ascii="Arial" w:cs="Arial" w:eastAsia="Arial" w:hAnsi="Arial"/>
          <w:sz w:val="18"/>
          <w:szCs w:val="18"/>
          <w:color w:val="auto"/>
        </w:rPr>
        <w:t>104   Cover Page Interactive Data File (formatted as inline XBRL).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877" w:right="1440"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ind w:left="60" w:right="139"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84" w:lineRule="exact"/>
        <w:rPr>
          <w:sz w:val="20"/>
          <w:szCs w:val="20"/>
          <w:color w:val="auto"/>
        </w:rPr>
      </w:pPr>
    </w:p>
    <w:p>
      <w:pPr>
        <w:ind w:left="4600"/>
        <w:spacing w:after="0"/>
        <w:rPr>
          <w:sz w:val="20"/>
          <w:szCs w:val="20"/>
          <w:color w:val="auto"/>
        </w:rPr>
      </w:pPr>
      <w:r>
        <w:rPr>
          <w:rFonts w:ascii="Arial" w:cs="Arial" w:eastAsia="Arial" w:hAnsi="Arial"/>
          <w:sz w:val="18"/>
          <w:szCs w:val="18"/>
          <w:color w:val="auto"/>
        </w:rPr>
        <w:t>Calavo Growers, Inc.</w:t>
      </w:r>
    </w:p>
    <w:p>
      <w:pPr>
        <w:spacing w:after="0" w:line="23" w:lineRule="exact"/>
        <w:rPr>
          <w:sz w:val="20"/>
          <w:szCs w:val="20"/>
          <w:color w:val="auto"/>
        </w:rPr>
      </w:pPr>
    </w:p>
    <w:p>
      <w:pPr>
        <w:ind w:left="60"/>
        <w:spacing w:after="0"/>
        <w:rPr>
          <w:sz w:val="20"/>
          <w:szCs w:val="20"/>
          <w:color w:val="auto"/>
        </w:rPr>
      </w:pPr>
      <w:r>
        <w:rPr>
          <w:rFonts w:ascii="Arial" w:cs="Arial" w:eastAsia="Arial" w:hAnsi="Arial"/>
          <w:sz w:val="18"/>
          <w:szCs w:val="18"/>
          <w:color w:val="auto"/>
        </w:rPr>
        <w:t>December 21, 2020</w:t>
      </w:r>
    </w:p>
    <w:p>
      <w:pPr>
        <w:spacing w:after="0" w:line="9" w:lineRule="exact"/>
        <w:rPr>
          <w:sz w:val="20"/>
          <w:szCs w:val="20"/>
          <w:color w:val="auto"/>
        </w:rPr>
      </w:pPr>
    </w:p>
    <w:p>
      <w:pPr>
        <w:ind w:left="4600"/>
        <w:spacing w:after="0"/>
        <w:rPr>
          <w:sz w:val="20"/>
          <w:szCs w:val="20"/>
          <w:color w:val="auto"/>
        </w:rPr>
      </w:pPr>
      <w:r>
        <w:rPr>
          <w:rFonts w:ascii="Arial" w:cs="Arial" w:eastAsia="Arial" w:hAnsi="Arial"/>
          <w:sz w:val="18"/>
          <w:szCs w:val="18"/>
          <w:color w:val="auto"/>
        </w:rPr>
        <w:t>By: /s/ James Gibson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3125470</wp:posOffset>
            </wp:positionH>
            <wp:positionV relativeFrom="paragraph">
              <wp:posOffset>5715</wp:posOffset>
            </wp:positionV>
            <wp:extent cx="256286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ind w:left="4600"/>
        <w:spacing w:after="0"/>
        <w:rPr>
          <w:sz w:val="20"/>
          <w:szCs w:val="20"/>
          <w:color w:val="auto"/>
        </w:rPr>
      </w:pPr>
      <w:r>
        <w:rPr>
          <w:rFonts w:ascii="Arial" w:cs="Arial" w:eastAsia="Arial" w:hAnsi="Arial"/>
          <w:sz w:val="18"/>
          <w:szCs w:val="18"/>
          <w:color w:val="auto"/>
        </w:rPr>
        <w:t>James Gibson</w:t>
      </w:r>
    </w:p>
    <w:p>
      <w:pPr>
        <w:spacing w:after="0" w:line="9" w:lineRule="exact"/>
        <w:rPr>
          <w:sz w:val="20"/>
          <w:szCs w:val="20"/>
          <w:color w:val="auto"/>
        </w:rPr>
      </w:pPr>
    </w:p>
    <w:p>
      <w:pPr>
        <w:ind w:left="4600"/>
        <w:spacing w:after="0"/>
        <w:rPr>
          <w:sz w:val="20"/>
          <w:szCs w:val="20"/>
          <w:color w:val="auto"/>
        </w:rPr>
      </w:pPr>
      <w:r>
        <w:rPr>
          <w:rFonts w:ascii="Arial" w:cs="Arial" w:eastAsia="Arial" w:hAnsi="Arial"/>
          <w:sz w:val="18"/>
          <w:szCs w:val="18"/>
          <w:color w:val="auto"/>
        </w:rPr>
        <w:t>Chief Executive Officer</w:t>
      </w:r>
    </w:p>
    <w:p>
      <w:pPr>
        <w:spacing w:after="0" w:line="9" w:lineRule="exact"/>
        <w:rPr>
          <w:sz w:val="20"/>
          <w:szCs w:val="20"/>
          <w:color w:val="auto"/>
        </w:rPr>
      </w:pPr>
    </w:p>
    <w:p>
      <w:pPr>
        <w:ind w:left="4600"/>
        <w:spacing w:after="0"/>
        <w:rPr>
          <w:sz w:val="20"/>
          <w:szCs w:val="20"/>
          <w:color w:val="auto"/>
        </w:rPr>
      </w:pPr>
      <w:r>
        <w:rPr>
          <w:rFonts w:ascii="Arial" w:cs="Arial" w:eastAsia="Arial" w:hAnsi="Arial"/>
          <w:sz w:val="18"/>
          <w:szCs w:val="18"/>
          <w:color w:val="auto"/>
        </w:rPr>
        <w:t>(Principal Executive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877" w:right="1440" w:bottom="1440" w:gutter="0" w:footer="0" w:header="0"/>
        </w:sectPr>
      </w:pPr>
    </w:p>
    <w:bookmarkStart w:id="3" w:name="page4"/>
    <w:bookmarkEnd w:id="3"/>
    <w:p>
      <w:pPr>
        <w:jc w:val="right"/>
        <w:ind w:right="59"/>
        <w:spacing w:after="0"/>
        <w:rPr>
          <w:sz w:val="20"/>
          <w:szCs w:val="20"/>
          <w:color w:val="auto"/>
        </w:rPr>
      </w:pPr>
      <w:r>
        <w:rPr>
          <w:rFonts w:ascii="Arial" w:cs="Arial" w:eastAsia="Arial" w:hAnsi="Arial"/>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1942465</wp:posOffset>
            </wp:positionH>
            <wp:positionV relativeFrom="paragraph">
              <wp:posOffset>148590</wp:posOffset>
            </wp:positionV>
            <wp:extent cx="1834515" cy="60007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834515" cy="6000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Calavo Growers, Inc. Announces Fourth Quarter and Fiscal 2020 Financial Results</w:t>
      </w:r>
    </w:p>
    <w:p>
      <w:pPr>
        <w:spacing w:after="0" w:line="212" w:lineRule="exact"/>
        <w:rPr>
          <w:sz w:val="20"/>
          <w:szCs w:val="20"/>
          <w:color w:val="auto"/>
        </w:rPr>
      </w:pPr>
    </w:p>
    <w:p>
      <w:pPr>
        <w:jc w:val="both"/>
        <w:ind w:left="60" w:right="159"/>
        <w:spacing w:after="0" w:line="253" w:lineRule="auto"/>
        <w:rPr>
          <w:sz w:val="20"/>
          <w:szCs w:val="20"/>
          <w:color w:val="auto"/>
        </w:rPr>
      </w:pPr>
      <w:r>
        <w:rPr>
          <w:rFonts w:ascii="Arial" w:cs="Arial" w:eastAsia="Arial" w:hAnsi="Arial"/>
          <w:sz w:val="18"/>
          <w:szCs w:val="18"/>
          <w:b w:val="1"/>
          <w:bCs w:val="1"/>
          <w:color w:val="auto"/>
        </w:rPr>
        <w:t xml:space="preserve">SANTA PAULA, Calif., December 21, 2020—Calavo Growers, Inc. (Nasdaq-GS: CVGW), </w:t>
      </w:r>
      <w:r>
        <w:rPr>
          <w:rFonts w:ascii="Arial" w:cs="Arial" w:eastAsia="Arial" w:hAnsi="Arial"/>
          <w:sz w:val="18"/>
          <w:szCs w:val="18"/>
          <w:color w:val="auto"/>
        </w:rPr>
        <w:t>a global avocado-industry leader and provider of value-added fresh food, today reported its financial results for the fourth quarter and fiscal year ended October 31, 2020.</w:t>
      </w:r>
    </w:p>
    <w:p>
      <w:pPr>
        <w:spacing w:after="0" w:line="169"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Fourth Quarter Highlights</w:t>
      </w:r>
    </w:p>
    <w:p>
      <w:pPr>
        <w:spacing w:after="0" w:line="231" w:lineRule="exact"/>
        <w:rPr>
          <w:sz w:val="20"/>
          <w:szCs w:val="20"/>
          <w:color w:val="auto"/>
        </w:rPr>
      </w:pPr>
    </w:p>
    <w:p>
      <w:pPr>
        <w:ind w:left="700" w:right="299" w:hanging="326"/>
        <w:spacing w:after="0" w:line="225" w:lineRule="auto"/>
        <w:tabs>
          <w:tab w:leader="none" w:pos="700" w:val="left"/>
        </w:tabs>
        <w:numPr>
          <w:ilvl w:val="0"/>
          <w:numId w:val="3"/>
        </w:numPr>
        <w:rPr>
          <w:rFonts w:ascii="Arial" w:cs="Arial" w:eastAsia="Arial" w:hAnsi="Arial"/>
          <w:sz w:val="18"/>
          <w:szCs w:val="18"/>
          <w:color w:val="auto"/>
        </w:rPr>
      </w:pPr>
      <w:r>
        <w:rPr>
          <w:rFonts w:ascii="Arial" w:cs="Arial" w:eastAsia="Arial" w:hAnsi="Arial"/>
          <w:sz w:val="20"/>
          <w:szCs w:val="20"/>
          <w:color w:val="auto"/>
        </w:rPr>
        <w:t>Total revenue of $234.4 million, a 20% decrease year over year, reflecting 3% growth in avocado volume offset by 22% lower avocado prices and lower revenue in the Renaissance Food Group (“RFG”) and Foods segments.</w:t>
      </w:r>
    </w:p>
    <w:p>
      <w:pPr>
        <w:spacing w:after="0" w:line="1" w:lineRule="exact"/>
        <w:rPr>
          <w:rFonts w:ascii="Arial" w:cs="Arial" w:eastAsia="Arial" w:hAnsi="Arial"/>
          <w:sz w:val="18"/>
          <w:szCs w:val="18"/>
          <w:color w:val="auto"/>
        </w:rPr>
      </w:pPr>
    </w:p>
    <w:p>
      <w:pPr>
        <w:ind w:left="700" w:right="239" w:hanging="326"/>
        <w:spacing w:after="0" w:line="225" w:lineRule="auto"/>
        <w:tabs>
          <w:tab w:leader="none" w:pos="700" w:val="left"/>
        </w:tabs>
        <w:numPr>
          <w:ilvl w:val="0"/>
          <w:numId w:val="3"/>
        </w:numPr>
        <w:rPr>
          <w:rFonts w:ascii="Arial" w:cs="Arial" w:eastAsia="Arial" w:hAnsi="Arial"/>
          <w:sz w:val="18"/>
          <w:szCs w:val="18"/>
          <w:color w:val="auto"/>
        </w:rPr>
      </w:pPr>
      <w:r>
        <w:rPr>
          <w:rFonts w:ascii="Arial" w:cs="Arial" w:eastAsia="Arial" w:hAnsi="Arial"/>
          <w:sz w:val="20"/>
          <w:szCs w:val="20"/>
          <w:color w:val="auto"/>
        </w:rPr>
        <w:t>Gross profit of $21.2 million, or 9.0% of revenue, compared to $24.6 million, or 8.4% of revenue, for the comparable period last year. The increase in gross profit margin percentage was attributable to improvements in the RFG and Foods segments.</w:t>
      </w:r>
    </w:p>
    <w:p>
      <w:pPr>
        <w:spacing w:after="0" w:line="1" w:lineRule="exact"/>
        <w:rPr>
          <w:rFonts w:ascii="Arial" w:cs="Arial" w:eastAsia="Arial" w:hAnsi="Arial"/>
          <w:sz w:val="18"/>
          <w:szCs w:val="18"/>
          <w:color w:val="auto"/>
        </w:rPr>
      </w:pPr>
    </w:p>
    <w:p>
      <w:pPr>
        <w:ind w:left="700" w:right="239" w:hanging="326"/>
        <w:spacing w:after="0" w:line="225" w:lineRule="auto"/>
        <w:tabs>
          <w:tab w:leader="none" w:pos="700" w:val="left"/>
        </w:tabs>
        <w:numPr>
          <w:ilvl w:val="0"/>
          <w:numId w:val="3"/>
        </w:numPr>
        <w:rPr>
          <w:rFonts w:ascii="Arial" w:cs="Arial" w:eastAsia="Arial" w:hAnsi="Arial"/>
          <w:sz w:val="18"/>
          <w:szCs w:val="18"/>
          <w:color w:val="auto"/>
        </w:rPr>
      </w:pPr>
      <w:r>
        <w:rPr>
          <w:rFonts w:ascii="Arial" w:cs="Arial" w:eastAsia="Arial" w:hAnsi="Arial"/>
          <w:sz w:val="20"/>
          <w:szCs w:val="20"/>
          <w:color w:val="auto"/>
        </w:rPr>
        <w:t>Net income of $6.2 million, or $0.35 per diluted share, compared to $5.2 million, or $0.30 per diluted share. Adjusted net income was $6.0 million, or $0.34 per diluted share.</w:t>
      </w:r>
    </w:p>
    <w:p>
      <w:pPr>
        <w:ind w:left="700" w:right="219" w:hanging="326"/>
        <w:spacing w:after="0" w:line="225" w:lineRule="auto"/>
        <w:tabs>
          <w:tab w:leader="none" w:pos="700" w:val="left"/>
        </w:tabs>
        <w:numPr>
          <w:ilvl w:val="0"/>
          <w:numId w:val="3"/>
        </w:numPr>
        <w:rPr>
          <w:rFonts w:ascii="Arial" w:cs="Arial" w:eastAsia="Arial" w:hAnsi="Arial"/>
          <w:sz w:val="18"/>
          <w:szCs w:val="18"/>
          <w:color w:val="auto"/>
        </w:rPr>
      </w:pPr>
      <w:r>
        <w:rPr>
          <w:rFonts w:ascii="Arial" w:cs="Arial" w:eastAsia="Arial" w:hAnsi="Arial"/>
          <w:sz w:val="20"/>
          <w:szCs w:val="20"/>
          <w:color w:val="auto"/>
        </w:rPr>
        <w:t>Adjusted EBITDA of $13.4 million, compared to $14.8 million for the same period last year. The year-over-year decline in adjusted EBITDA was primarily due to $2.5 million of non-recurring charges related to various legacy items mostly in the international operations of the Company’s Fresh segment.</w:t>
      </w:r>
    </w:p>
    <w:p>
      <w:pPr>
        <w:spacing w:after="0" w:line="1" w:lineRule="exact"/>
        <w:rPr>
          <w:rFonts w:ascii="Arial" w:cs="Arial" w:eastAsia="Arial" w:hAnsi="Arial"/>
          <w:sz w:val="18"/>
          <w:szCs w:val="18"/>
          <w:color w:val="auto"/>
        </w:rPr>
      </w:pPr>
    </w:p>
    <w:p>
      <w:pPr>
        <w:ind w:left="700" w:right="399" w:hanging="326"/>
        <w:spacing w:after="0" w:line="236" w:lineRule="auto"/>
        <w:tabs>
          <w:tab w:leader="none" w:pos="700" w:val="left"/>
        </w:tabs>
        <w:numPr>
          <w:ilvl w:val="0"/>
          <w:numId w:val="3"/>
        </w:numPr>
        <w:rPr>
          <w:rFonts w:ascii="Arial" w:cs="Arial" w:eastAsia="Arial" w:hAnsi="Arial"/>
          <w:sz w:val="18"/>
          <w:szCs w:val="18"/>
          <w:color w:val="auto"/>
        </w:rPr>
      </w:pPr>
      <w:r>
        <w:rPr>
          <w:rFonts w:ascii="Arial" w:cs="Arial" w:eastAsia="Arial" w:hAnsi="Arial"/>
          <w:sz w:val="20"/>
          <w:szCs w:val="20"/>
          <w:color w:val="auto"/>
        </w:rPr>
        <w:t>On December 4, 2020, Calavo paid an annual cash dividend on its common stock of $1.15 per share, a 4.5% increase over the prior year’s annual dividend.</w:t>
      </w:r>
    </w:p>
    <w:p>
      <w:pPr>
        <w:spacing w:after="0" w:line="180" w:lineRule="exact"/>
        <w:rPr>
          <w:sz w:val="20"/>
          <w:szCs w:val="20"/>
          <w:color w:val="auto"/>
        </w:rPr>
      </w:pPr>
    </w:p>
    <w:p>
      <w:pPr>
        <w:ind w:left="60" w:right="599"/>
        <w:spacing w:after="0" w:line="267" w:lineRule="auto"/>
        <w:rPr>
          <w:sz w:val="20"/>
          <w:szCs w:val="20"/>
          <w:color w:val="auto"/>
        </w:rPr>
      </w:pPr>
      <w:r>
        <w:rPr>
          <w:rFonts w:ascii="Arial" w:cs="Arial" w:eastAsia="Arial" w:hAnsi="Arial"/>
          <w:sz w:val="18"/>
          <w:szCs w:val="18"/>
          <w:i w:val="1"/>
          <w:iCs w:val="1"/>
          <w:color w:val="auto"/>
        </w:rPr>
        <w:t>Adjusted net income and adjusted EBITDA are non-GAAP financial measures. See “Non-GAAP Financial Measures” below.</w:t>
      </w:r>
    </w:p>
    <w:p>
      <w:pPr>
        <w:spacing w:after="0" w:line="15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Fiscal Year 2020 Highlights</w:t>
      </w:r>
    </w:p>
    <w:p>
      <w:pPr>
        <w:spacing w:after="0" w:line="217" w:lineRule="exact"/>
        <w:rPr>
          <w:sz w:val="20"/>
          <w:szCs w:val="20"/>
          <w:color w:val="auto"/>
        </w:rPr>
      </w:pPr>
    </w:p>
    <w:p>
      <w:pPr>
        <w:ind w:left="700" w:hanging="326"/>
        <w:spacing w:after="0"/>
        <w:tabs>
          <w:tab w:leader="none" w:pos="700" w:val="left"/>
        </w:tabs>
        <w:numPr>
          <w:ilvl w:val="0"/>
          <w:numId w:val="4"/>
        </w:numPr>
        <w:rPr>
          <w:rFonts w:ascii="Arial" w:cs="Arial" w:eastAsia="Arial" w:hAnsi="Arial"/>
          <w:sz w:val="18"/>
          <w:szCs w:val="18"/>
          <w:color w:val="auto"/>
        </w:rPr>
      </w:pPr>
      <w:r>
        <w:rPr>
          <w:rFonts w:ascii="Arial" w:cs="Arial" w:eastAsia="Arial" w:hAnsi="Arial"/>
          <w:sz w:val="20"/>
          <w:szCs w:val="20"/>
          <w:color w:val="auto"/>
        </w:rPr>
        <w:t>Total revenue of $1.1 billion, an 11% decrease year-over-year.</w:t>
      </w:r>
    </w:p>
    <w:p>
      <w:pPr>
        <w:ind w:left="700" w:right="519" w:hanging="326"/>
        <w:spacing w:after="0" w:line="225" w:lineRule="auto"/>
        <w:tabs>
          <w:tab w:leader="none" w:pos="700" w:val="left"/>
        </w:tabs>
        <w:numPr>
          <w:ilvl w:val="0"/>
          <w:numId w:val="4"/>
        </w:numPr>
        <w:rPr>
          <w:rFonts w:ascii="Arial" w:cs="Arial" w:eastAsia="Arial" w:hAnsi="Arial"/>
          <w:sz w:val="18"/>
          <w:szCs w:val="18"/>
          <w:color w:val="auto"/>
        </w:rPr>
      </w:pPr>
      <w:r>
        <w:rPr>
          <w:rFonts w:ascii="Arial" w:cs="Arial" w:eastAsia="Arial" w:hAnsi="Arial"/>
          <w:sz w:val="20"/>
          <w:szCs w:val="20"/>
          <w:color w:val="auto"/>
        </w:rPr>
        <w:t>Gross profit of $89.9 million, or 8.5% of revenue, compared to $128.1 million, or 10.7% of revenue, for fiscal year 2019.</w:t>
      </w:r>
    </w:p>
    <w:p>
      <w:pPr>
        <w:ind w:left="700" w:right="199" w:hanging="326"/>
        <w:spacing w:after="0" w:line="225" w:lineRule="auto"/>
        <w:tabs>
          <w:tab w:leader="none" w:pos="700" w:val="left"/>
        </w:tabs>
        <w:numPr>
          <w:ilvl w:val="0"/>
          <w:numId w:val="4"/>
        </w:numPr>
        <w:rPr>
          <w:rFonts w:ascii="Arial" w:cs="Arial" w:eastAsia="Arial" w:hAnsi="Arial"/>
          <w:sz w:val="18"/>
          <w:szCs w:val="18"/>
          <w:color w:val="auto"/>
        </w:rPr>
      </w:pPr>
      <w:r>
        <w:rPr>
          <w:rFonts w:ascii="Arial" w:cs="Arial" w:eastAsia="Arial" w:hAnsi="Arial"/>
          <w:sz w:val="20"/>
          <w:szCs w:val="20"/>
          <w:color w:val="auto"/>
        </w:rPr>
        <w:t>Net loss of $13.6 million, or $(0.78) per diluted share. Adjusted net income was $27.6 million, or $1.57 per diluted share.</w:t>
      </w:r>
    </w:p>
    <w:p>
      <w:pPr>
        <w:ind w:left="700" w:hanging="326"/>
        <w:spacing w:after="0" w:line="225" w:lineRule="auto"/>
        <w:tabs>
          <w:tab w:leader="none" w:pos="700" w:val="left"/>
        </w:tabs>
        <w:numPr>
          <w:ilvl w:val="0"/>
          <w:numId w:val="4"/>
        </w:numPr>
        <w:rPr>
          <w:rFonts w:ascii="Arial" w:cs="Arial" w:eastAsia="Arial" w:hAnsi="Arial"/>
          <w:sz w:val="18"/>
          <w:szCs w:val="18"/>
          <w:color w:val="auto"/>
        </w:rPr>
      </w:pPr>
      <w:r>
        <w:rPr>
          <w:rFonts w:ascii="Arial" w:cs="Arial" w:eastAsia="Arial" w:hAnsi="Arial"/>
          <w:sz w:val="20"/>
          <w:szCs w:val="20"/>
          <w:color w:val="auto"/>
        </w:rPr>
        <w:t>Adjusted EBITDA of $54.4 million, compared to $87.3 million for fiscal year 2019.</w:t>
      </w:r>
    </w:p>
    <w:p>
      <w:pPr>
        <w:ind w:left="700" w:right="199" w:hanging="326"/>
        <w:spacing w:after="0" w:line="236" w:lineRule="auto"/>
        <w:tabs>
          <w:tab w:leader="none" w:pos="700" w:val="left"/>
        </w:tabs>
        <w:numPr>
          <w:ilvl w:val="0"/>
          <w:numId w:val="4"/>
        </w:numPr>
        <w:rPr>
          <w:rFonts w:ascii="Arial" w:cs="Arial" w:eastAsia="Arial" w:hAnsi="Arial"/>
          <w:sz w:val="18"/>
          <w:szCs w:val="18"/>
          <w:color w:val="auto"/>
        </w:rPr>
      </w:pPr>
      <w:r>
        <w:rPr>
          <w:rFonts w:ascii="Arial" w:cs="Arial" w:eastAsia="Arial" w:hAnsi="Arial"/>
          <w:sz w:val="20"/>
          <w:szCs w:val="20"/>
          <w:color w:val="auto"/>
        </w:rPr>
        <w:t>Maintained supply chain and business continuity despite the impact of the prolonged COVID-19 pandemic.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735330</wp:posOffset>
            </wp:positionV>
            <wp:extent cx="5657850" cy="2540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319" w:right="1440" w:bottom="1440" w:gutter="0" w:footer="0" w:header="0"/>
        </w:sectPr>
      </w:pPr>
    </w:p>
    <w:bookmarkStart w:id="4" w:name="page5"/>
    <w:bookmarkEnd w:id="4"/>
    <w:p>
      <w:pPr>
        <w:ind w:left="60"/>
        <w:spacing w:after="0"/>
        <w:rPr>
          <w:sz w:val="20"/>
          <w:szCs w:val="20"/>
          <w:color w:val="auto"/>
        </w:rPr>
      </w:pPr>
      <w:r>
        <w:rPr>
          <w:rFonts w:ascii="Arial" w:cs="Arial" w:eastAsia="Arial" w:hAnsi="Arial"/>
          <w:sz w:val="18"/>
          <w:szCs w:val="18"/>
          <w:i w:val="1"/>
          <w:iCs w:val="1"/>
          <w:color w:val="auto"/>
        </w:rPr>
        <w:t>Calavo Growers, Inc.</w:t>
      </w:r>
    </w:p>
    <w:p>
      <w:pPr>
        <w:spacing w:after="0" w:line="14"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page 2 of 14</w:t>
      </w:r>
    </w:p>
    <w:p>
      <w:pPr>
        <w:spacing w:after="0" w:line="17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Management Commentary</w:t>
      </w:r>
    </w:p>
    <w:p>
      <w:pPr>
        <w:spacing w:after="0" w:line="234" w:lineRule="exact"/>
        <w:rPr>
          <w:sz w:val="20"/>
          <w:szCs w:val="20"/>
          <w:color w:val="auto"/>
        </w:rPr>
      </w:pPr>
    </w:p>
    <w:p>
      <w:pPr>
        <w:ind w:left="60" w:right="239"/>
        <w:spacing w:after="0" w:line="237" w:lineRule="auto"/>
        <w:rPr>
          <w:sz w:val="20"/>
          <w:szCs w:val="20"/>
          <w:color w:val="auto"/>
        </w:rPr>
      </w:pPr>
      <w:r>
        <w:rPr>
          <w:rFonts w:ascii="Arial" w:cs="Arial" w:eastAsia="Arial" w:hAnsi="Arial"/>
          <w:sz w:val="18"/>
          <w:szCs w:val="18"/>
          <w:color w:val="auto"/>
        </w:rPr>
        <w:t>“Avocado volumes increased due to rising popularity in the U.S. and abroad,” said James E. Gibson, CEO of Calavo Growers. “Our fourth quarter results reflect a continuation of trends from the third quarter. With strong crops out of both Mexico and California, supply in the fourth quarter was plentiful, lowering the average selling price by 22% versus the year-ago quarter, when supply was very constrained. Many foodservice outlets remained unavailable to absorb the crop size and quality dispersion, which has historically helped to maintain margins. As a result, revenue and gross margin declined year-over-year.</w:t>
      </w:r>
    </w:p>
    <w:p>
      <w:pPr>
        <w:spacing w:after="0" w:line="205" w:lineRule="exact"/>
        <w:rPr>
          <w:sz w:val="20"/>
          <w:szCs w:val="20"/>
          <w:color w:val="auto"/>
        </w:rPr>
      </w:pPr>
    </w:p>
    <w:p>
      <w:pPr>
        <w:ind w:left="60" w:right="139"/>
        <w:spacing w:after="0" w:line="237" w:lineRule="auto"/>
        <w:rPr>
          <w:sz w:val="20"/>
          <w:szCs w:val="20"/>
          <w:color w:val="auto"/>
        </w:rPr>
      </w:pPr>
      <w:r>
        <w:rPr>
          <w:rFonts w:ascii="Arial" w:cs="Arial" w:eastAsia="Arial" w:hAnsi="Arial"/>
          <w:sz w:val="18"/>
          <w:szCs w:val="18"/>
          <w:color w:val="auto"/>
        </w:rPr>
        <w:t>“Our RFG segment continued to be impacted by the closure of our co-packing partner in the Midwest in April 2020. When excluding the impact of this closure, sales in our RFG segment rose 3% year-over-year, overcoming the impact from the pandemic. Our RFG segment has also continued to see margin improvement as we achieve greater efficiencies in facilities we operate. Our Foods segment continued to be adversely affected by lower foodservice demand resulting from the pandemic, offset slightly by favorable input commodity prices.</w:t>
      </w:r>
    </w:p>
    <w:p>
      <w:pPr>
        <w:spacing w:after="0" w:line="205" w:lineRule="exact"/>
        <w:rPr>
          <w:sz w:val="20"/>
          <w:szCs w:val="20"/>
          <w:color w:val="auto"/>
        </w:rPr>
      </w:pPr>
    </w:p>
    <w:p>
      <w:pPr>
        <w:ind w:left="60" w:right="119"/>
        <w:spacing w:after="0" w:line="237" w:lineRule="auto"/>
        <w:rPr>
          <w:sz w:val="20"/>
          <w:szCs w:val="20"/>
          <w:color w:val="auto"/>
        </w:rPr>
      </w:pPr>
      <w:r>
        <w:rPr>
          <w:rFonts w:ascii="Arial" w:cs="Arial" w:eastAsia="Arial" w:hAnsi="Arial"/>
          <w:sz w:val="18"/>
          <w:szCs w:val="18"/>
          <w:color w:val="auto"/>
        </w:rPr>
        <w:t>“As many businesses experienced, fiscal 2020 presented unprecedented challenges and our team faced them with resilience and resolve. We continue to move forward implementing strategic initiatives designed to improve our long-term growth prospects. We are capitalizing on the immediate opportunities to increase operating leverage and tap into synergies across our entire organization. We are thankful to our many stakeholders, from our employees to the many communities we serve, and of course our shareholders. To that end we were pleased to raise our annual dividend for the ninth consecutive year,” said Gibson.</w:t>
      </w:r>
    </w:p>
    <w:p>
      <w:pPr>
        <w:spacing w:after="0" w:line="183"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Fourth Quarter 2020 Consolidated Financial Review</w:t>
      </w:r>
    </w:p>
    <w:p>
      <w:pPr>
        <w:spacing w:after="0" w:line="234" w:lineRule="exact"/>
        <w:rPr>
          <w:sz w:val="20"/>
          <w:szCs w:val="20"/>
          <w:color w:val="auto"/>
        </w:rPr>
      </w:pPr>
    </w:p>
    <w:p>
      <w:pPr>
        <w:ind w:left="60" w:right="79"/>
        <w:spacing w:after="0" w:line="237" w:lineRule="auto"/>
        <w:rPr>
          <w:sz w:val="20"/>
          <w:szCs w:val="20"/>
          <w:color w:val="auto"/>
        </w:rPr>
      </w:pPr>
      <w:r>
        <w:rPr>
          <w:rFonts w:ascii="Arial" w:cs="Arial" w:eastAsia="Arial" w:hAnsi="Arial"/>
          <w:sz w:val="18"/>
          <w:szCs w:val="18"/>
          <w:color w:val="auto"/>
        </w:rPr>
        <w:t>Total revenue for the fourth quarter of 2020 was $234.4 million compared to $292.2 million for the fourth quarter of 2019, representing a 20% decrease. While avocado volumes were higher, increasing 3% over the prior year period, total revenue was impacted by the lower average selling price of avocados in the Company’s Fresh segment, reflecting increased supply from Mexico and California, and lower sales volumes in the RFG and Foods segments as a result of the closure of RFG’s Midwest co-packing partner in April 2020 and the prolonged COVID-19 pandemic.</w:t>
      </w:r>
    </w:p>
    <w:p>
      <w:pPr>
        <w:spacing w:after="0" w:line="205" w:lineRule="exact"/>
        <w:rPr>
          <w:sz w:val="20"/>
          <w:szCs w:val="20"/>
          <w:color w:val="auto"/>
        </w:rPr>
      </w:pPr>
    </w:p>
    <w:p>
      <w:pPr>
        <w:ind w:left="60" w:right="219"/>
        <w:spacing w:after="0" w:line="238" w:lineRule="auto"/>
        <w:rPr>
          <w:sz w:val="20"/>
          <w:szCs w:val="20"/>
          <w:color w:val="auto"/>
        </w:rPr>
      </w:pPr>
      <w:r>
        <w:rPr>
          <w:rFonts w:ascii="Arial" w:cs="Arial" w:eastAsia="Arial" w:hAnsi="Arial"/>
          <w:sz w:val="18"/>
          <w:szCs w:val="18"/>
          <w:color w:val="auto"/>
        </w:rPr>
        <w:t>Gross profit for the fourth quarter was $21.2 million, or 9.0% of revenue, compared to $24.6 million, or 8.4% of revenue, for the same period last year. The increase in gross profit margin percentage was attributable to improvements in the RFG and Foods business segments, partially offset by lower gross profit margin percentage in the Fresh segment.</w:t>
      </w:r>
    </w:p>
    <w:p>
      <w:pPr>
        <w:spacing w:after="0" w:line="205" w:lineRule="exact"/>
        <w:rPr>
          <w:sz w:val="20"/>
          <w:szCs w:val="20"/>
          <w:color w:val="auto"/>
        </w:rPr>
      </w:pPr>
    </w:p>
    <w:p>
      <w:pPr>
        <w:ind w:left="60" w:right="399"/>
        <w:spacing w:after="0"/>
        <w:rPr>
          <w:sz w:val="20"/>
          <w:szCs w:val="20"/>
          <w:color w:val="auto"/>
        </w:rPr>
      </w:pPr>
      <w:r>
        <w:rPr>
          <w:rFonts w:ascii="Arial" w:cs="Arial" w:eastAsia="Arial" w:hAnsi="Arial"/>
          <w:sz w:val="18"/>
          <w:szCs w:val="18"/>
          <w:color w:val="auto"/>
        </w:rPr>
        <w:t>Selling, general and administrative (SG&amp;A) expense for the fourth quarter totaled $13.7 million, or 5.9% of revenue, compared to $14.9 million, or 5.1% of revenue, for the same period last year. The decline in SG&amp;A expense was primarily due to a decrease in performance-based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1003300</wp:posOffset>
            </wp:positionV>
            <wp:extent cx="5657850" cy="2540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661" w:right="1440" w:bottom="1440" w:gutter="0" w:footer="0" w:header="0"/>
        </w:sectPr>
      </w:pPr>
    </w:p>
    <w:bookmarkStart w:id="5" w:name="page6"/>
    <w:bookmarkEnd w:id="5"/>
    <w:p>
      <w:pPr>
        <w:ind w:left="60"/>
        <w:spacing w:after="0"/>
        <w:rPr>
          <w:sz w:val="20"/>
          <w:szCs w:val="20"/>
          <w:color w:val="auto"/>
        </w:rPr>
      </w:pPr>
      <w:r>
        <w:rPr>
          <w:rFonts w:ascii="Arial" w:cs="Arial" w:eastAsia="Arial" w:hAnsi="Arial"/>
          <w:sz w:val="18"/>
          <w:szCs w:val="18"/>
          <w:i w:val="1"/>
          <w:iCs w:val="1"/>
          <w:color w:val="auto"/>
        </w:rPr>
        <w:t>Calavo Growers, Inc.</w:t>
      </w:r>
    </w:p>
    <w:p>
      <w:pPr>
        <w:spacing w:after="0" w:line="14"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page 3 of 14</w:t>
      </w:r>
    </w:p>
    <w:p>
      <w:pPr>
        <w:spacing w:after="0" w:line="198" w:lineRule="exact"/>
        <w:rPr>
          <w:sz w:val="20"/>
          <w:szCs w:val="20"/>
          <w:color w:val="auto"/>
        </w:rPr>
      </w:pPr>
    </w:p>
    <w:p>
      <w:pPr>
        <w:ind w:left="60" w:right="959"/>
        <w:spacing w:after="0" w:line="246" w:lineRule="auto"/>
        <w:rPr>
          <w:sz w:val="20"/>
          <w:szCs w:val="20"/>
          <w:color w:val="auto"/>
        </w:rPr>
      </w:pPr>
      <w:r>
        <w:rPr>
          <w:rFonts w:ascii="Arial" w:cs="Arial" w:eastAsia="Arial" w:hAnsi="Arial"/>
          <w:sz w:val="18"/>
          <w:szCs w:val="18"/>
          <w:color w:val="auto"/>
        </w:rPr>
        <w:t>compensation, lower marketing and travel expenses due to COVID-19, and a reduction in headcount implemented at the end of the second quarter of 2020.</w:t>
      </w:r>
    </w:p>
    <w:p>
      <w:pPr>
        <w:spacing w:after="0" w:line="197" w:lineRule="exact"/>
        <w:rPr>
          <w:sz w:val="20"/>
          <w:szCs w:val="20"/>
          <w:color w:val="auto"/>
        </w:rPr>
      </w:pPr>
    </w:p>
    <w:p>
      <w:pPr>
        <w:ind w:left="60" w:right="459"/>
        <w:spacing w:after="0" w:line="246" w:lineRule="auto"/>
        <w:rPr>
          <w:sz w:val="20"/>
          <w:szCs w:val="20"/>
          <w:color w:val="auto"/>
        </w:rPr>
      </w:pPr>
      <w:r>
        <w:rPr>
          <w:rFonts w:ascii="Arial" w:cs="Arial" w:eastAsia="Arial" w:hAnsi="Arial"/>
          <w:sz w:val="18"/>
          <w:szCs w:val="18"/>
          <w:color w:val="auto"/>
        </w:rPr>
        <w:t>Net income for the fourth quarter of 2020 was $6.2 million, or $0.35 per diluted share. This compares to net income of $5.2 million, or $0.30 per diluted share, for the same period last year.</w:t>
      </w:r>
    </w:p>
    <w:p>
      <w:pPr>
        <w:spacing w:after="0" w:line="197" w:lineRule="exact"/>
        <w:rPr>
          <w:sz w:val="20"/>
          <w:szCs w:val="20"/>
          <w:color w:val="auto"/>
        </w:rPr>
      </w:pPr>
    </w:p>
    <w:p>
      <w:pPr>
        <w:ind w:left="60" w:right="219"/>
        <w:spacing w:after="0" w:line="238" w:lineRule="auto"/>
        <w:rPr>
          <w:sz w:val="20"/>
          <w:szCs w:val="20"/>
          <w:color w:val="auto"/>
        </w:rPr>
      </w:pPr>
      <w:r>
        <w:rPr>
          <w:rFonts w:ascii="Arial" w:cs="Arial" w:eastAsia="Arial" w:hAnsi="Arial"/>
          <w:sz w:val="18"/>
          <w:szCs w:val="18"/>
          <w:color w:val="auto"/>
        </w:rPr>
        <w:t>Adjusted net income, which is a non-GAAP measure that excludes certain items such as equity in results from unconsolidated subsidiaries and unrealized gains/losses on Limoneira shares, was $6.0 million, or $0.34 per diluted share, for the fourth quarter of 2020, compared to adjusted net income of $7.9 million, or $0.45 per diluted share, for the same period last year.</w:t>
      </w:r>
    </w:p>
    <w:p>
      <w:pPr>
        <w:spacing w:after="0" w:line="205" w:lineRule="exact"/>
        <w:rPr>
          <w:sz w:val="20"/>
          <w:szCs w:val="20"/>
          <w:color w:val="auto"/>
        </w:rPr>
      </w:pPr>
    </w:p>
    <w:p>
      <w:pPr>
        <w:ind w:left="60" w:right="199"/>
        <w:spacing w:after="0" w:line="238" w:lineRule="auto"/>
        <w:rPr>
          <w:sz w:val="20"/>
          <w:szCs w:val="20"/>
          <w:color w:val="auto"/>
        </w:rPr>
      </w:pPr>
      <w:r>
        <w:rPr>
          <w:rFonts w:ascii="Arial" w:cs="Arial" w:eastAsia="Arial" w:hAnsi="Arial"/>
          <w:sz w:val="18"/>
          <w:szCs w:val="18"/>
          <w:color w:val="auto"/>
        </w:rPr>
        <w:t>Adjusted EBITDA, which is a non-GAAP financial measure, was $13.4 million for the fourth quarter of 2020, compared to $14.8 million for the same period last year. The year-over-year decline in adjusted EBITDA was primarily due to $ 2.5 million of non-recurring charges related to various legacy items mostly in the international operations of the Company’s Fresh segment.</w:t>
      </w:r>
    </w:p>
    <w:p>
      <w:pPr>
        <w:spacing w:after="0" w:line="183"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Balance Sheet and Liquidity</w:t>
      </w:r>
    </w:p>
    <w:p>
      <w:pPr>
        <w:spacing w:after="0" w:line="234" w:lineRule="exact"/>
        <w:rPr>
          <w:sz w:val="20"/>
          <w:szCs w:val="20"/>
          <w:color w:val="auto"/>
        </w:rPr>
      </w:pPr>
    </w:p>
    <w:p>
      <w:pPr>
        <w:ind w:left="60" w:right="639"/>
        <w:spacing w:after="0" w:line="274" w:lineRule="auto"/>
        <w:rPr>
          <w:sz w:val="20"/>
          <w:szCs w:val="20"/>
          <w:color w:val="auto"/>
        </w:rPr>
      </w:pPr>
      <w:r>
        <w:rPr>
          <w:rFonts w:ascii="Arial" w:cs="Arial" w:eastAsia="Arial" w:hAnsi="Arial"/>
          <w:sz w:val="17"/>
          <w:szCs w:val="17"/>
          <w:color w:val="auto"/>
        </w:rPr>
        <w:t>Cash and cash equivalents totaled $4.1 million as of October 31, 2020. Total liquidity at quarter end was approximately $137 million, including cash, investments, and borrowings available under its line of credit.</w:t>
      </w:r>
    </w:p>
    <w:p>
      <w:pPr>
        <w:spacing w:after="0" w:line="175" w:lineRule="exact"/>
        <w:rPr>
          <w:sz w:val="20"/>
          <w:szCs w:val="20"/>
          <w:color w:val="auto"/>
        </w:rPr>
      </w:pPr>
    </w:p>
    <w:p>
      <w:pPr>
        <w:ind w:left="60" w:right="539"/>
        <w:spacing w:after="0" w:line="246" w:lineRule="auto"/>
        <w:rPr>
          <w:sz w:val="20"/>
          <w:szCs w:val="20"/>
          <w:color w:val="auto"/>
        </w:rPr>
      </w:pPr>
      <w:r>
        <w:rPr>
          <w:rFonts w:ascii="Arial" w:cs="Arial" w:eastAsia="Arial" w:hAnsi="Arial"/>
          <w:sz w:val="18"/>
          <w:szCs w:val="18"/>
          <w:color w:val="auto"/>
        </w:rPr>
        <w:t>The Company ended the quarter with $27.6 million of total debt, which included $20.5 million in short-term borrowings and $7.1 million of long-term obligations and finance leases.</w:t>
      </w:r>
    </w:p>
    <w:p>
      <w:pPr>
        <w:spacing w:after="0" w:line="17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Fourth Quarter Business Segment Performance</w:t>
      </w:r>
    </w:p>
    <w:p>
      <w:pPr>
        <w:spacing w:after="0" w:line="216"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Fresh</w:t>
      </w:r>
    </w:p>
    <w:p>
      <w:pPr>
        <w:spacing w:after="0" w:line="230" w:lineRule="exact"/>
        <w:rPr>
          <w:sz w:val="20"/>
          <w:szCs w:val="20"/>
          <w:color w:val="auto"/>
        </w:rPr>
      </w:pPr>
    </w:p>
    <w:p>
      <w:pPr>
        <w:ind w:left="60" w:right="199"/>
        <w:spacing w:after="0" w:line="248" w:lineRule="auto"/>
        <w:rPr>
          <w:sz w:val="20"/>
          <w:szCs w:val="20"/>
          <w:color w:val="auto"/>
        </w:rPr>
      </w:pPr>
      <w:r>
        <w:rPr>
          <w:rFonts w:ascii="Arial" w:cs="Arial" w:eastAsia="Arial" w:hAnsi="Arial"/>
          <w:sz w:val="17"/>
          <w:szCs w:val="17"/>
          <w:color w:val="auto"/>
        </w:rPr>
        <w:t>Fourth quarter 2020 sales in Calavo’s Fresh business segment decreased 18% to $118.9 million from $144.5 million in the same period last year. Avocado imports from Mexico combined with a strong harvest in California drove the average selling price of avocados down 22% from the same period last year. Lower selling prices were offset by increased sales volume, which improved 3% from the year ago period. Fresh segment gross profit for the fourth quarter of 2020 was $8.8 million, or 7.4% of segment sales, compared to $12.5 million, or</w:t>
      </w:r>
    </w:p>
    <w:p>
      <w:pPr>
        <w:spacing w:after="0" w:line="3" w:lineRule="exact"/>
        <w:rPr>
          <w:sz w:val="20"/>
          <w:szCs w:val="20"/>
          <w:color w:val="auto"/>
        </w:rPr>
      </w:pPr>
    </w:p>
    <w:p>
      <w:pPr>
        <w:ind w:left="60" w:right="119"/>
        <w:spacing w:after="0" w:line="246" w:lineRule="auto"/>
        <w:rPr>
          <w:sz w:val="20"/>
          <w:szCs w:val="20"/>
          <w:color w:val="auto"/>
        </w:rPr>
      </w:pPr>
      <w:r>
        <w:rPr>
          <w:rFonts w:ascii="Arial" w:cs="Arial" w:eastAsia="Arial" w:hAnsi="Arial"/>
          <w:sz w:val="18"/>
          <w:szCs w:val="18"/>
          <w:color w:val="auto"/>
        </w:rPr>
        <w:t>8.7% of segment sales, for the same period last year. The decline in gross profit was due to the decrease in the average selling price of avocados.</w:t>
      </w:r>
    </w:p>
    <w:p>
      <w:pPr>
        <w:spacing w:after="0" w:line="179"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Renaissance Food Group (RFG)</w:t>
      </w:r>
    </w:p>
    <w:p>
      <w:pPr>
        <w:spacing w:after="0" w:line="230" w:lineRule="exact"/>
        <w:rPr>
          <w:sz w:val="20"/>
          <w:szCs w:val="20"/>
          <w:color w:val="auto"/>
        </w:rPr>
      </w:pPr>
    </w:p>
    <w:p>
      <w:pPr>
        <w:ind w:left="60" w:right="119"/>
        <w:spacing w:after="0" w:line="255" w:lineRule="auto"/>
        <w:rPr>
          <w:sz w:val="20"/>
          <w:szCs w:val="20"/>
          <w:color w:val="auto"/>
        </w:rPr>
      </w:pPr>
      <w:r>
        <w:rPr>
          <w:rFonts w:ascii="Arial" w:cs="Arial" w:eastAsia="Arial" w:hAnsi="Arial"/>
          <w:sz w:val="17"/>
          <w:szCs w:val="17"/>
          <w:color w:val="auto"/>
        </w:rPr>
        <w:t>RFG business segment sales in the fourth quarter 2020 were $99.3 million, down 21% from $125.5 million in the same period last year. The decline in sales was principally due to the closure of the Company’s Midwest co-packing partner in April 2020, partially offset by increased sales in the Company’s existing production facilities. When excluding the impact of the closure, sales in the RFG segment rose 3% year-over-year. Segment gross profit reached $7.7 million, or 7.8% of segment sales, compared to $7.3 million, or 5.8% of segment sales 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995680</wp:posOffset>
            </wp:positionV>
            <wp:extent cx="5657850" cy="2540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661" w:right="1440" w:bottom="1440" w:gutter="0" w:footer="0" w:header="0"/>
        </w:sectPr>
      </w:pPr>
    </w:p>
    <w:bookmarkStart w:id="6" w:name="page7"/>
    <w:bookmarkEnd w:id="6"/>
    <w:p>
      <w:pPr>
        <w:ind w:left="60"/>
        <w:spacing w:after="0"/>
        <w:rPr>
          <w:sz w:val="20"/>
          <w:szCs w:val="20"/>
          <w:color w:val="auto"/>
        </w:rPr>
      </w:pPr>
      <w:r>
        <w:rPr>
          <w:rFonts w:ascii="Arial" w:cs="Arial" w:eastAsia="Arial" w:hAnsi="Arial"/>
          <w:sz w:val="18"/>
          <w:szCs w:val="18"/>
          <w:i w:val="1"/>
          <w:iCs w:val="1"/>
          <w:color w:val="auto"/>
        </w:rPr>
        <w:t>Calavo Growers, Inc.</w:t>
      </w:r>
    </w:p>
    <w:p>
      <w:pPr>
        <w:spacing w:after="0" w:line="14"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page 4 of 14</w:t>
      </w:r>
    </w:p>
    <w:p>
      <w:pPr>
        <w:spacing w:after="0" w:line="198" w:lineRule="exact"/>
        <w:rPr>
          <w:sz w:val="20"/>
          <w:szCs w:val="20"/>
          <w:color w:val="auto"/>
        </w:rPr>
      </w:pPr>
    </w:p>
    <w:p>
      <w:pPr>
        <w:ind w:left="60" w:right="139"/>
        <w:spacing w:after="0" w:line="246" w:lineRule="auto"/>
        <w:rPr>
          <w:sz w:val="20"/>
          <w:szCs w:val="20"/>
          <w:color w:val="auto"/>
        </w:rPr>
      </w:pPr>
      <w:r>
        <w:rPr>
          <w:rFonts w:ascii="Arial" w:cs="Arial" w:eastAsia="Arial" w:hAnsi="Arial"/>
          <w:sz w:val="18"/>
          <w:szCs w:val="18"/>
          <w:color w:val="auto"/>
        </w:rPr>
        <w:t>the same period last year. This margin improvement was primarily due to continued increases in manufacturing efficiencies at company-operated facilities.</w:t>
      </w:r>
    </w:p>
    <w:p>
      <w:pPr>
        <w:spacing w:after="0" w:line="179"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Foods</w:t>
      </w:r>
    </w:p>
    <w:p>
      <w:pPr>
        <w:spacing w:after="0" w:line="230" w:lineRule="exact"/>
        <w:rPr>
          <w:sz w:val="20"/>
          <w:szCs w:val="20"/>
          <w:color w:val="auto"/>
        </w:rPr>
      </w:pPr>
    </w:p>
    <w:p>
      <w:pPr>
        <w:ind w:left="60" w:right="119"/>
        <w:spacing w:after="0" w:line="238" w:lineRule="auto"/>
        <w:rPr>
          <w:sz w:val="20"/>
          <w:szCs w:val="20"/>
          <w:color w:val="auto"/>
        </w:rPr>
      </w:pPr>
      <w:r>
        <w:rPr>
          <w:rFonts w:ascii="Arial" w:cs="Arial" w:eastAsia="Arial" w:hAnsi="Arial"/>
          <w:sz w:val="18"/>
          <w:szCs w:val="18"/>
          <w:color w:val="auto"/>
        </w:rPr>
        <w:t>Sales in the Foods business segment totaled $17.9 million in the fourth quarter, down 25% from $ 23.8 million in the same period last year due to lower demand from foodservice customers during the prolonged pandemic. Segment gross profit was $4.6 million, or 25.7% of sales, compared to $4.9 million, or 20.4% of sales, in the same period last year. The year-over-year increase in gross profit was primarily due to a decrease in avocado costs.</w:t>
      </w:r>
    </w:p>
    <w:p>
      <w:pPr>
        <w:spacing w:after="0" w:line="180"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Outlook</w:t>
      </w:r>
    </w:p>
    <w:p>
      <w:pPr>
        <w:spacing w:after="0" w:line="234" w:lineRule="exact"/>
        <w:rPr>
          <w:sz w:val="20"/>
          <w:szCs w:val="20"/>
          <w:color w:val="auto"/>
        </w:rPr>
      </w:pPr>
    </w:p>
    <w:p>
      <w:pPr>
        <w:ind w:left="60" w:right="99"/>
        <w:spacing w:after="0" w:line="246" w:lineRule="auto"/>
        <w:rPr>
          <w:sz w:val="20"/>
          <w:szCs w:val="20"/>
          <w:color w:val="auto"/>
        </w:rPr>
      </w:pPr>
      <w:r>
        <w:rPr>
          <w:rFonts w:ascii="Arial" w:cs="Arial" w:eastAsia="Arial" w:hAnsi="Arial"/>
          <w:sz w:val="18"/>
          <w:szCs w:val="18"/>
          <w:color w:val="auto"/>
        </w:rPr>
        <w:t>Due to the impact of the pandemic, Calavo previously suspended its practice of providing annual guidance. The Company is providing the following expectations solely for the first fiscal quarter of 2021:</w:t>
      </w:r>
    </w:p>
    <w:p>
      <w:pPr>
        <w:spacing w:after="0" w:line="197" w:lineRule="exact"/>
        <w:rPr>
          <w:sz w:val="20"/>
          <w:szCs w:val="20"/>
          <w:color w:val="auto"/>
        </w:rPr>
      </w:pPr>
    </w:p>
    <w:p>
      <w:pPr>
        <w:ind w:left="700" w:hanging="326"/>
        <w:spacing w:after="0"/>
        <w:tabs>
          <w:tab w:leader="none" w:pos="700" w:val="left"/>
        </w:tabs>
        <w:numPr>
          <w:ilvl w:val="0"/>
          <w:numId w:val="5"/>
        </w:numPr>
        <w:rPr>
          <w:rFonts w:ascii="Arial" w:cs="Arial" w:eastAsia="Arial" w:hAnsi="Arial"/>
          <w:sz w:val="18"/>
          <w:szCs w:val="18"/>
          <w:color w:val="auto"/>
        </w:rPr>
      </w:pPr>
      <w:r>
        <w:rPr>
          <w:rFonts w:ascii="Arial" w:cs="Arial" w:eastAsia="Arial" w:hAnsi="Arial"/>
          <w:sz w:val="18"/>
          <w:szCs w:val="18"/>
          <w:color w:val="auto"/>
        </w:rPr>
        <w:t>Revenue in a range of $215 million to $225 million; and</w:t>
      </w:r>
    </w:p>
    <w:p>
      <w:pPr>
        <w:spacing w:after="0" w:line="9" w:lineRule="exact"/>
        <w:rPr>
          <w:rFonts w:ascii="Arial" w:cs="Arial" w:eastAsia="Arial" w:hAnsi="Arial"/>
          <w:sz w:val="18"/>
          <w:szCs w:val="18"/>
          <w:color w:val="auto"/>
        </w:rPr>
      </w:pPr>
    </w:p>
    <w:p>
      <w:pPr>
        <w:ind w:left="700" w:hanging="326"/>
        <w:spacing w:after="0"/>
        <w:tabs>
          <w:tab w:leader="none" w:pos="700" w:val="left"/>
        </w:tabs>
        <w:numPr>
          <w:ilvl w:val="0"/>
          <w:numId w:val="5"/>
        </w:numPr>
        <w:rPr>
          <w:rFonts w:ascii="Arial" w:cs="Arial" w:eastAsia="Arial" w:hAnsi="Arial"/>
          <w:sz w:val="18"/>
          <w:szCs w:val="18"/>
          <w:color w:val="auto"/>
        </w:rPr>
      </w:pPr>
      <w:r>
        <w:rPr>
          <w:rFonts w:ascii="Arial" w:cs="Arial" w:eastAsia="Arial" w:hAnsi="Arial"/>
          <w:sz w:val="18"/>
          <w:szCs w:val="18"/>
          <w:color w:val="auto"/>
        </w:rPr>
        <w:t>Adjusted EBITDA in a range of $7 million to $10 million.</w:t>
      </w:r>
    </w:p>
    <w:p>
      <w:pPr>
        <w:spacing w:after="0" w:line="225" w:lineRule="exact"/>
        <w:rPr>
          <w:sz w:val="20"/>
          <w:szCs w:val="20"/>
          <w:color w:val="auto"/>
        </w:rPr>
      </w:pPr>
    </w:p>
    <w:p>
      <w:pPr>
        <w:ind w:left="60" w:right="119"/>
        <w:spacing w:after="0" w:line="238" w:lineRule="auto"/>
        <w:rPr>
          <w:sz w:val="20"/>
          <w:szCs w:val="20"/>
          <w:color w:val="auto"/>
        </w:rPr>
      </w:pPr>
      <w:r>
        <w:rPr>
          <w:rFonts w:ascii="Arial" w:cs="Arial" w:eastAsia="Arial" w:hAnsi="Arial"/>
          <w:sz w:val="18"/>
          <w:szCs w:val="18"/>
          <w:color w:val="auto"/>
        </w:rPr>
        <w:t>The Company is not able to provide a reconciliation of expected adjusted EBITDA to the most directly comparable expected GAAP measure due to the unknown effect, timing and potential significance of the effects of non-cash income and losses associated with unconsolidated entities, among others. These items have in the past, and may in the future, significantly affect GAAP results in a particular period.</w:t>
      </w:r>
    </w:p>
    <w:p>
      <w:pPr>
        <w:spacing w:after="0" w:line="205" w:lineRule="exact"/>
        <w:rPr>
          <w:sz w:val="20"/>
          <w:szCs w:val="20"/>
          <w:color w:val="auto"/>
        </w:rPr>
      </w:pPr>
    </w:p>
    <w:p>
      <w:pPr>
        <w:ind w:left="60" w:right="119"/>
        <w:spacing w:after="0" w:line="238" w:lineRule="auto"/>
        <w:rPr>
          <w:sz w:val="20"/>
          <w:szCs w:val="20"/>
          <w:color w:val="auto"/>
        </w:rPr>
      </w:pPr>
      <w:r>
        <w:rPr>
          <w:rFonts w:ascii="Arial" w:cs="Arial" w:eastAsia="Arial" w:hAnsi="Arial"/>
          <w:sz w:val="18"/>
          <w:szCs w:val="18"/>
          <w:color w:val="auto"/>
        </w:rPr>
        <w:t>“As we enter 2021, we expect more of the same across our three segments. For Fresh, the Mexican crop is expected to be larger than it was in 2020, which will continue to pressure selling prices. We expect foodservice outlets will remain unavailable to take sizes and quality of avocados that are not desired by our retail customers until the latter half of 2021. Our RFG segment will be impacted by the Midwest closure comparatively through April 2021, and Foods will still be dependent on recovery of the foodservice category.</w:t>
      </w:r>
    </w:p>
    <w:p>
      <w:pPr>
        <w:spacing w:after="0" w:line="202" w:lineRule="exact"/>
        <w:rPr>
          <w:sz w:val="20"/>
          <w:szCs w:val="20"/>
          <w:color w:val="auto"/>
        </w:rPr>
      </w:pPr>
    </w:p>
    <w:p>
      <w:pPr>
        <w:jc w:val="both"/>
        <w:ind w:left="60" w:right="279"/>
        <w:spacing w:after="0"/>
        <w:rPr>
          <w:sz w:val="20"/>
          <w:szCs w:val="20"/>
          <w:color w:val="auto"/>
        </w:rPr>
      </w:pPr>
      <w:r>
        <w:rPr>
          <w:rFonts w:ascii="Arial" w:cs="Arial" w:eastAsia="Arial" w:hAnsi="Arial"/>
          <w:sz w:val="18"/>
          <w:szCs w:val="18"/>
          <w:color w:val="auto"/>
        </w:rPr>
        <w:t>“Regardless of these near-term trends, we expect to emerge from the pandemic a stronger organization from top to bottom. We believe that the steps we are taking today will not only create value in the near term but will also strengthen our foundation to accelerate growth in the years ahead,” concluded Gibson.</w:t>
      </w:r>
    </w:p>
    <w:p>
      <w:pPr>
        <w:spacing w:after="0" w:line="18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Non-GAAP Financial Measures</w:t>
      </w:r>
    </w:p>
    <w:p>
      <w:pPr>
        <w:spacing w:after="0" w:line="234" w:lineRule="exact"/>
        <w:rPr>
          <w:sz w:val="20"/>
          <w:szCs w:val="20"/>
          <w:color w:val="auto"/>
        </w:rPr>
      </w:pPr>
    </w:p>
    <w:p>
      <w:pPr>
        <w:jc w:val="both"/>
        <w:ind w:left="60" w:right="79"/>
        <w:spacing w:after="0"/>
        <w:rPr>
          <w:sz w:val="20"/>
          <w:szCs w:val="20"/>
          <w:color w:val="auto"/>
        </w:rPr>
      </w:pPr>
      <w:r>
        <w:rPr>
          <w:rFonts w:ascii="Arial" w:cs="Arial" w:eastAsia="Arial" w:hAnsi="Arial"/>
          <w:sz w:val="18"/>
          <w:szCs w:val="18"/>
          <w:color w:val="auto"/>
        </w:rPr>
        <w:t>This press release includes non-GAAP measures such as EBITDA, adjusted EBITDA, adjusted net income and adjusted diluted EPS, which are not prepared in accordance with U.S. generally accepted accounting principles, or “GAAP.”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1003300</wp:posOffset>
            </wp:positionV>
            <wp:extent cx="5657850" cy="254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661" w:right="1440" w:bottom="1440" w:gutter="0" w:footer="0" w:header="0"/>
        </w:sectPr>
      </w:pPr>
    </w:p>
    <w:bookmarkStart w:id="7" w:name="page8"/>
    <w:bookmarkEnd w:id="7"/>
    <w:p>
      <w:pPr>
        <w:ind w:left="60"/>
        <w:spacing w:after="0"/>
        <w:rPr>
          <w:sz w:val="20"/>
          <w:szCs w:val="20"/>
          <w:color w:val="auto"/>
        </w:rPr>
      </w:pPr>
      <w:r>
        <w:rPr>
          <w:rFonts w:ascii="Arial" w:cs="Arial" w:eastAsia="Arial" w:hAnsi="Arial"/>
          <w:sz w:val="18"/>
          <w:szCs w:val="18"/>
          <w:i w:val="1"/>
          <w:iCs w:val="1"/>
          <w:color w:val="auto"/>
        </w:rPr>
        <w:t>Calavo Growers, Inc.</w:t>
      </w:r>
    </w:p>
    <w:p>
      <w:pPr>
        <w:spacing w:after="0" w:line="14"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page 5 of 14</w:t>
      </w:r>
    </w:p>
    <w:p>
      <w:pPr>
        <w:spacing w:after="0" w:line="198" w:lineRule="exact"/>
        <w:rPr>
          <w:sz w:val="20"/>
          <w:szCs w:val="20"/>
          <w:color w:val="auto"/>
        </w:rPr>
      </w:pPr>
    </w:p>
    <w:p>
      <w:pPr>
        <w:ind w:left="60" w:right="259"/>
        <w:spacing w:after="0" w:line="234" w:lineRule="auto"/>
        <w:rPr>
          <w:sz w:val="20"/>
          <w:szCs w:val="20"/>
          <w:color w:val="auto"/>
        </w:rPr>
      </w:pPr>
      <w:r>
        <w:rPr>
          <w:rFonts w:ascii="Arial" w:cs="Arial" w:eastAsia="Arial" w:hAnsi="Arial"/>
          <w:sz w:val="18"/>
          <w:szCs w:val="18"/>
          <w:color w:val="auto"/>
        </w:rPr>
        <w:t>EBITDA is defined as net income (loss) attributable to Calavo Growers, Inc. excluding (1) interest income and expense, (2) income taxes (benefit) provision, (3) depreciation and amortization and (4) stock-based compensation expense. Adjusted EBITDA is EBITDA with further adjustments for (1) non-cash net losses recognized from unconsolidated entities, (2) goodwill impairment, (3) write-off of long-lived assets,</w:t>
      </w:r>
    </w:p>
    <w:p>
      <w:pPr>
        <w:spacing w:after="0" w:line="3" w:lineRule="exact"/>
        <w:rPr>
          <w:sz w:val="20"/>
          <w:szCs w:val="20"/>
          <w:color w:val="auto"/>
        </w:rPr>
      </w:pPr>
    </w:p>
    <w:p>
      <w:pPr>
        <w:ind w:left="60" w:right="59" w:hanging="10"/>
        <w:spacing w:after="0" w:line="237" w:lineRule="auto"/>
        <w:tabs>
          <w:tab w:leader="none" w:pos="330" w:val="left"/>
        </w:tabs>
        <w:numPr>
          <w:ilvl w:val="0"/>
          <w:numId w:val="6"/>
        </w:numPr>
        <w:rPr>
          <w:rFonts w:ascii="Arial" w:cs="Arial" w:eastAsia="Arial" w:hAnsi="Arial"/>
          <w:sz w:val="18"/>
          <w:szCs w:val="18"/>
          <w:color w:val="auto"/>
        </w:rPr>
      </w:pPr>
      <w:r>
        <w:rPr>
          <w:rFonts w:ascii="Arial" w:cs="Arial" w:eastAsia="Arial" w:hAnsi="Arial"/>
          <w:sz w:val="18"/>
          <w:szCs w:val="18"/>
          <w:color w:val="auto"/>
        </w:rPr>
        <w:t>acquisition-related costs, (5) restructuring and certain severance costs, (6) certain litigation and other related costs, and (7) one-time items. Adjusted EBITDA is a primary metric by which management evaluates the operating performance of the business, on which certain operating expenditures and internal budgets are based and by which, in addition to other factors, the Company’s senior management is compensated. The adjustments to calculate EBITDA and adjusted EBITDA are items recognized and recorded under GAAP in particular periods but might be viewed as not necessarily coinciding with the underlying business operations for the periods in which they are so recognized and recorded.</w:t>
      </w:r>
    </w:p>
    <w:p>
      <w:pPr>
        <w:spacing w:after="0" w:line="203" w:lineRule="exact"/>
        <w:rPr>
          <w:sz w:val="20"/>
          <w:szCs w:val="20"/>
          <w:color w:val="auto"/>
        </w:rPr>
      </w:pPr>
    </w:p>
    <w:p>
      <w:pPr>
        <w:ind w:left="60" w:right="119"/>
        <w:spacing w:after="0" w:line="248" w:lineRule="auto"/>
        <w:rPr>
          <w:sz w:val="20"/>
          <w:szCs w:val="20"/>
          <w:color w:val="auto"/>
        </w:rPr>
      </w:pPr>
      <w:r>
        <w:rPr>
          <w:rFonts w:ascii="Arial" w:cs="Arial" w:eastAsia="Arial" w:hAnsi="Arial"/>
          <w:sz w:val="17"/>
          <w:szCs w:val="17"/>
          <w:color w:val="auto"/>
        </w:rPr>
        <w:t>Adjusted net income is defined as net income (loss) attributable to Calavo Growers, Inc. excluding (1) non-cash net losses recognized from unconsolidated entities, (2) goodwill impairment, (3) write-off of long-lived assets,</w:t>
      </w:r>
    </w:p>
    <w:p>
      <w:pPr>
        <w:spacing w:after="0" w:line="1" w:lineRule="exact"/>
        <w:rPr>
          <w:sz w:val="20"/>
          <w:szCs w:val="20"/>
          <w:color w:val="auto"/>
        </w:rPr>
      </w:pPr>
    </w:p>
    <w:p>
      <w:pPr>
        <w:ind w:left="60" w:right="79" w:hanging="10"/>
        <w:spacing w:after="0" w:line="237" w:lineRule="auto"/>
        <w:tabs>
          <w:tab w:leader="none" w:pos="330" w:val="left"/>
        </w:tabs>
        <w:numPr>
          <w:ilvl w:val="0"/>
          <w:numId w:val="7"/>
        </w:numPr>
        <w:rPr>
          <w:rFonts w:ascii="Arial" w:cs="Arial" w:eastAsia="Arial" w:hAnsi="Arial"/>
          <w:sz w:val="18"/>
          <w:szCs w:val="18"/>
          <w:color w:val="auto"/>
        </w:rPr>
      </w:pPr>
      <w:r>
        <w:rPr>
          <w:rFonts w:ascii="Arial" w:cs="Arial" w:eastAsia="Arial" w:hAnsi="Arial"/>
          <w:sz w:val="18"/>
          <w:szCs w:val="18"/>
          <w:color w:val="auto"/>
        </w:rPr>
        <w:t>acquisition-related costs, (5) restructuring and certain severance costs, (6) certain litigation and other related costs, and (7) one-time items. Adjusted net income and the related measure of adjusted diluted EPS exclude certain items that are recognized and recorded under GAAP in particular periods but might be viewed as not necessarily coinciding with the underlying business operations for the periods in which they are so recognized and recorded. We believe adjusted net income affords investors a different view of the overall financial performance of the Company than adjusted EBITDA and the GAAP measure of net income (loss) attributable to Calavo Growers, Inc.</w:t>
      </w:r>
    </w:p>
    <w:p>
      <w:pPr>
        <w:spacing w:after="0" w:line="203" w:lineRule="exact"/>
        <w:rPr>
          <w:sz w:val="20"/>
          <w:szCs w:val="20"/>
          <w:color w:val="auto"/>
        </w:rPr>
      </w:pPr>
    </w:p>
    <w:p>
      <w:pPr>
        <w:ind w:left="60" w:right="139"/>
        <w:spacing w:after="0" w:line="246" w:lineRule="auto"/>
        <w:rPr>
          <w:sz w:val="20"/>
          <w:szCs w:val="20"/>
          <w:color w:val="auto"/>
        </w:rPr>
      </w:pPr>
      <w:r>
        <w:rPr>
          <w:rFonts w:ascii="Arial" w:cs="Arial" w:eastAsia="Arial" w:hAnsi="Arial"/>
          <w:sz w:val="18"/>
          <w:szCs w:val="18"/>
          <w:color w:val="auto"/>
        </w:rPr>
        <w:t>Reconciliations of non-GAAP financial measures to the most directly comparable GAAP financial measures are provided in the financial tables that accompany this release.</w:t>
      </w:r>
    </w:p>
    <w:p>
      <w:pPr>
        <w:spacing w:after="0" w:line="197" w:lineRule="exact"/>
        <w:rPr>
          <w:sz w:val="20"/>
          <w:szCs w:val="20"/>
          <w:color w:val="auto"/>
        </w:rPr>
      </w:pPr>
    </w:p>
    <w:p>
      <w:pPr>
        <w:ind w:left="60" w:right="59"/>
        <w:spacing w:after="0"/>
        <w:rPr>
          <w:sz w:val="20"/>
          <w:szCs w:val="20"/>
          <w:color w:val="auto"/>
        </w:rPr>
      </w:pPr>
      <w:r>
        <w:rPr>
          <w:rFonts w:ascii="Arial" w:cs="Arial" w:eastAsia="Arial" w:hAnsi="Arial"/>
          <w:sz w:val="18"/>
          <w:szCs w:val="18"/>
          <w:color w:val="auto"/>
        </w:rPr>
        <w:t>Items are considered one-time in nature if they are non-recurring, infrequent or unusual and have not occurred in the past two years or are not expected to recur in the next two years, in accordance with SEC rules. One-time items are identified in the notes to the reconciliations in the financial tables that accompany this release.</w:t>
      </w:r>
    </w:p>
    <w:p>
      <w:pPr>
        <w:spacing w:after="0" w:line="203" w:lineRule="exact"/>
        <w:rPr>
          <w:sz w:val="20"/>
          <w:szCs w:val="20"/>
          <w:color w:val="auto"/>
        </w:rPr>
      </w:pPr>
    </w:p>
    <w:p>
      <w:pPr>
        <w:ind w:left="60" w:right="199"/>
        <w:spacing w:after="0" w:line="238" w:lineRule="auto"/>
        <w:rPr>
          <w:sz w:val="20"/>
          <w:szCs w:val="20"/>
          <w:color w:val="auto"/>
        </w:rPr>
      </w:pPr>
      <w:r>
        <w:rPr>
          <w:rFonts w:ascii="Arial" w:cs="Arial" w:eastAsia="Arial" w:hAnsi="Arial"/>
          <w:sz w:val="18"/>
          <w:szCs w:val="18"/>
          <w:color w:val="auto"/>
        </w:rPr>
        <w:t>Non-GAAP information should be considered as supplemental in nature and not as a substitute for, or superior to, any measure of performance prepared in accordance with GAAP. None of these metrics are presented as measures of liquidity. The way the Company measures EBITDA, adjusted EBITDA, adjusted net income and adjusted diluted EPS may not be comparable to similarly titled measures presented by other companies and may not be identical to corresponding measures used in Company agreements.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1003300</wp:posOffset>
            </wp:positionV>
            <wp:extent cx="5657850" cy="254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661" w:right="1440" w:bottom="1440" w:gutter="0" w:footer="0" w:header="0"/>
        </w:sectPr>
      </w:pPr>
    </w:p>
    <w:bookmarkStart w:id="8" w:name="page9"/>
    <w:bookmarkEnd w:id="8"/>
    <w:p>
      <w:pPr>
        <w:ind w:left="60"/>
        <w:spacing w:after="0"/>
        <w:rPr>
          <w:sz w:val="20"/>
          <w:szCs w:val="20"/>
          <w:color w:val="auto"/>
        </w:rPr>
      </w:pPr>
      <w:r>
        <w:rPr>
          <w:rFonts w:ascii="Arial" w:cs="Arial" w:eastAsia="Arial" w:hAnsi="Arial"/>
          <w:sz w:val="18"/>
          <w:szCs w:val="18"/>
          <w:i w:val="1"/>
          <w:iCs w:val="1"/>
          <w:color w:val="auto"/>
        </w:rPr>
        <w:t>Calavo Growers, Inc.</w:t>
      </w:r>
    </w:p>
    <w:p>
      <w:pPr>
        <w:spacing w:after="0" w:line="14"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page 6 of 14</w:t>
      </w:r>
    </w:p>
    <w:p>
      <w:pPr>
        <w:spacing w:after="0" w:line="17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Conference Call and Webcast</w:t>
      </w:r>
    </w:p>
    <w:p>
      <w:pPr>
        <w:spacing w:after="0" w:line="234" w:lineRule="exact"/>
        <w:rPr>
          <w:sz w:val="20"/>
          <w:szCs w:val="20"/>
          <w:color w:val="auto"/>
        </w:rPr>
      </w:pPr>
    </w:p>
    <w:p>
      <w:pPr>
        <w:ind w:left="60" w:right="119"/>
        <w:spacing w:after="0" w:line="238" w:lineRule="auto"/>
        <w:rPr>
          <w:sz w:val="20"/>
          <w:szCs w:val="20"/>
          <w:color w:val="auto"/>
        </w:rPr>
      </w:pPr>
      <w:r>
        <w:rPr>
          <w:rFonts w:ascii="Arial" w:cs="Arial" w:eastAsia="Arial" w:hAnsi="Arial"/>
          <w:sz w:val="18"/>
          <w:szCs w:val="18"/>
          <w:color w:val="auto"/>
        </w:rPr>
        <w:t>Calavo will host a conference call on Monday, December 21, 2020 at 5:00 pm ET/2:00 pm PT to discuss its financial results for the fourth quarter ended October 31, 2020. The conference call may be accessed by dialing 877-407-3982 (Domestic) or 201-493-6780 (International) with conference ID: 13713975. A live audio webcast of the call will also be available on the Investor Relations section of Calavo’s website at http://ir.calavo.com and will be archived for replay.</w:t>
      </w:r>
    </w:p>
    <w:p>
      <w:pPr>
        <w:spacing w:after="0" w:line="180"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About Calavo Growers, Inc.</w:t>
      </w:r>
    </w:p>
    <w:p>
      <w:pPr>
        <w:spacing w:after="0" w:line="234" w:lineRule="exact"/>
        <w:rPr>
          <w:sz w:val="20"/>
          <w:szCs w:val="20"/>
          <w:color w:val="auto"/>
        </w:rPr>
      </w:pPr>
    </w:p>
    <w:p>
      <w:pPr>
        <w:ind w:left="60" w:right="219"/>
        <w:spacing w:after="0" w:line="236" w:lineRule="auto"/>
        <w:rPr>
          <w:sz w:val="20"/>
          <w:szCs w:val="20"/>
          <w:color w:val="auto"/>
        </w:rPr>
      </w:pPr>
      <w:r>
        <w:rPr>
          <w:rFonts w:ascii="Arial" w:cs="Arial" w:eastAsia="Arial" w:hAnsi="Arial"/>
          <w:sz w:val="18"/>
          <w:szCs w:val="18"/>
          <w:color w:val="auto"/>
        </w:rPr>
        <w:t>Calavo Growers, Inc. is a global avocado-industry leader and provider of value-added fresh food serving retail grocery, foodservice, club stores, mass merchandisers, food distributors and wholesalers worldwide. The Company’s Fresh segment procures and markets fresh avocados and select other fresh produce, including tomatoes and papayas. The Renaissance Food Group (RFG) segment creates, markets and distributes a portfolio of healthy, fresh foods, including fresh-cut fruit, fresh -cut vegetables and prepared foods. The Foods segment manufactures and distributes guacamole and salsa. Founded in 1924, Calavo’s fresh food products are sold under the respected Calavo brand name as well as Garden Highway, Chef Essentials and a variety of private label and store brands.</w:t>
      </w:r>
    </w:p>
    <w:p>
      <w:pPr>
        <w:spacing w:after="0" w:line="18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Safe Harbor Statement</w:t>
      </w:r>
    </w:p>
    <w:p>
      <w:pPr>
        <w:spacing w:after="0" w:line="234" w:lineRule="exact"/>
        <w:rPr>
          <w:sz w:val="20"/>
          <w:szCs w:val="20"/>
          <w:color w:val="auto"/>
        </w:rPr>
      </w:pPr>
    </w:p>
    <w:p>
      <w:pPr>
        <w:ind w:left="60" w:right="119"/>
        <w:spacing w:after="0" w:line="236" w:lineRule="auto"/>
        <w:rPr>
          <w:sz w:val="20"/>
          <w:szCs w:val="20"/>
          <w:color w:val="auto"/>
        </w:rPr>
      </w:pPr>
      <w:r>
        <w:rPr>
          <w:rFonts w:ascii="Arial" w:cs="Arial" w:eastAsia="Arial" w:hAnsi="Arial"/>
          <w:sz w:val="18"/>
          <w:szCs w:val="18"/>
          <w:color w:val="auto"/>
        </w:rPr>
        <w:t>This press release contains statements relating to future events and results of Calavo (including certain projections and business trends) that are "forward-looking statements," as defined in the Private Securities Litigation Reform Act of 1995, that involve risks, uncertainties and assumptions. These statements are based on our current expectations and are not promises or guarantees. If any of the risks or uncertainties ever materialize or the assumptions prove incorrect, the results of Calavo may differ materially from those expressed or implied by such forward-looking statements and assumptions. The use of words such as "anticipates," "estimates," "expects," "projects," "intends," "plans" and "believes," among others, generally identify forward-looking statements.</w:t>
      </w:r>
    </w:p>
    <w:p>
      <w:pPr>
        <w:spacing w:after="0" w:line="208" w:lineRule="exact"/>
        <w:rPr>
          <w:sz w:val="20"/>
          <w:szCs w:val="20"/>
          <w:color w:val="auto"/>
        </w:rPr>
      </w:pPr>
    </w:p>
    <w:p>
      <w:pPr>
        <w:ind w:left="60" w:right="79"/>
        <w:spacing w:after="0" w:line="236" w:lineRule="auto"/>
        <w:rPr>
          <w:sz w:val="20"/>
          <w:szCs w:val="20"/>
          <w:color w:val="auto"/>
        </w:rPr>
      </w:pPr>
      <w:r>
        <w:rPr>
          <w:rFonts w:ascii="Arial" w:cs="Arial" w:eastAsia="Arial" w:hAnsi="Arial"/>
          <w:sz w:val="18"/>
          <w:szCs w:val="18"/>
          <w:color w:val="auto"/>
        </w:rPr>
        <w:t>Risks and uncertainties that may cause our actual results to be materially different from any future results expressed or implied by the forward-looking statements include, but are not limited to, the following: the impact of the COVID-19 pandemic on our business, results of operations, and financial condition, including, but not limited to, disruptions in the manufacturing of our products and the operations of the related supply chains supporting our ability to deliver our products to consumers, impacts on our employees and uncertainty regarding our ability to implement health and safety measures for our employees, uncertainties regarding consumer demand for our products in light of COVID-19, impact on our food service customers, increased costs that we must incur as a result of COVID-19, the impact of governmental trade restrictions imposed as a result of COVID-19 and the possible adverse impact of COVID-19 on our goodwill and other intangible assets; seasonality of our business; sensitivity of our business to changes in market prices of avocados and other agricultural products and other raw materials including fuel, packaging and paper; potential disruptions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1004570</wp:posOffset>
            </wp:positionV>
            <wp:extent cx="5657850" cy="254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661" w:right="1440" w:bottom="1440" w:gutter="0" w:footer="0" w:header="0"/>
        </w:sectPr>
      </w:pPr>
    </w:p>
    <w:bookmarkStart w:id="9" w:name="page10"/>
    <w:bookmarkEnd w:id="9"/>
    <w:p>
      <w:pPr>
        <w:ind w:left="60"/>
        <w:spacing w:after="0"/>
        <w:rPr>
          <w:sz w:val="20"/>
          <w:szCs w:val="20"/>
          <w:color w:val="auto"/>
        </w:rPr>
      </w:pPr>
      <w:r>
        <w:rPr>
          <w:rFonts w:ascii="Arial" w:cs="Arial" w:eastAsia="Arial" w:hAnsi="Arial"/>
          <w:sz w:val="18"/>
          <w:szCs w:val="18"/>
          <w:i w:val="1"/>
          <w:iCs w:val="1"/>
          <w:color w:val="auto"/>
        </w:rPr>
        <w:t>Calavo Growers, Inc.</w:t>
      </w:r>
    </w:p>
    <w:p>
      <w:pPr>
        <w:spacing w:after="0" w:line="14"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page 7 of 14</w:t>
      </w:r>
    </w:p>
    <w:p>
      <w:pPr>
        <w:spacing w:after="0" w:line="198" w:lineRule="exact"/>
        <w:rPr>
          <w:sz w:val="20"/>
          <w:szCs w:val="20"/>
          <w:color w:val="auto"/>
        </w:rPr>
      </w:pPr>
    </w:p>
    <w:p>
      <w:pPr>
        <w:ind w:left="60" w:right="119"/>
        <w:spacing w:after="0" w:line="236" w:lineRule="auto"/>
        <w:rPr>
          <w:sz w:val="20"/>
          <w:szCs w:val="20"/>
          <w:color w:val="auto"/>
        </w:rPr>
      </w:pPr>
      <w:r>
        <w:rPr>
          <w:rFonts w:ascii="Arial" w:cs="Arial" w:eastAsia="Arial" w:hAnsi="Arial"/>
          <w:sz w:val="18"/>
          <w:szCs w:val="18"/>
          <w:color w:val="auto"/>
        </w:rPr>
        <w:t>our supply chain; risks associated with potential future acquisitions, including integration; potential exposure to data breaches and other cyber-attacks on our systems or those of our suppliers or customers; dependence on large customers; dependence on key personnel and the ability of our new management team to work together successfully; potential for labor disputes; reliance on co-packers for a portion of our production needs; competitive pressures, including from foreign growers; risks of recalls and food-related injuries to our customers; changing consumer preferences; the impact of environmental regulations, including those related to climate change; our ability to develop and transition new products and services and enhance existing products and services to meet customer needs; risks associated with doing business internationally (including possible restrictive U.S. and foreign governmental actions, such as restrictions on transfers of funds and COVID-19 and trade protection measures such as import/export/customs duties, tariffs and/or quotas and currency fluctuations); risks associated with receivables from, loans to and/or equity investments in unconsolidated entities, including FreshRealm; volatility in the value of our common stock; the impact of macroeconomic trends and events; and the resolution of pending investigations, legal claims and tax disputes.</w:t>
      </w:r>
    </w:p>
    <w:p>
      <w:pPr>
        <w:spacing w:after="0" w:line="203" w:lineRule="exact"/>
        <w:rPr>
          <w:sz w:val="20"/>
          <w:szCs w:val="20"/>
          <w:color w:val="auto"/>
        </w:rPr>
      </w:pPr>
    </w:p>
    <w:p>
      <w:pPr>
        <w:ind w:left="60" w:right="259"/>
        <w:spacing w:after="0" w:line="237" w:lineRule="auto"/>
        <w:rPr>
          <w:sz w:val="20"/>
          <w:szCs w:val="20"/>
          <w:color w:val="auto"/>
        </w:rPr>
      </w:pPr>
      <w:r>
        <w:rPr>
          <w:rFonts w:ascii="Arial" w:cs="Arial" w:eastAsia="Arial" w:hAnsi="Arial"/>
          <w:sz w:val="18"/>
          <w:szCs w:val="18"/>
          <w:color w:val="auto"/>
        </w:rPr>
        <w:t>For a further discussion of these risks and uncertainties and other risks and uncertainties that we face, please see the risk factors described in our most recent Annual Report on Form 10-K filed with the Securities and Exchange Commission and any subsequent updates that may be contained in our Quarterly Reports on Form 10-Q and other filings with the Securities and Exchange Commission. Forward-looking statements contained in this press release are made only as of the date of this press release, and we undertake no obligation to update or revise the forward-looking statements, whether as a result of new information, future events or otherwise.</w:t>
      </w:r>
    </w:p>
    <w:p>
      <w:pPr>
        <w:spacing w:after="0" w:line="203" w:lineRule="exact"/>
        <w:rPr>
          <w:sz w:val="20"/>
          <w:szCs w:val="20"/>
          <w:color w:val="auto"/>
        </w:rPr>
      </w:pPr>
    </w:p>
    <w:p>
      <w:pPr>
        <w:ind w:left="60"/>
        <w:spacing w:after="0"/>
        <w:rPr>
          <w:sz w:val="20"/>
          <w:szCs w:val="20"/>
          <w:color w:val="auto"/>
        </w:rPr>
      </w:pPr>
      <w:r>
        <w:rPr>
          <w:rFonts w:ascii="Arial" w:cs="Arial" w:eastAsia="Arial" w:hAnsi="Arial"/>
          <w:sz w:val="18"/>
          <w:szCs w:val="18"/>
          <w:color w:val="auto"/>
        </w:rPr>
        <w:t>Contact: Financial Profiles, Inc.</w:t>
      </w:r>
    </w:p>
    <w:p>
      <w:pPr>
        <w:spacing w:after="0" w:line="207" w:lineRule="exact"/>
        <w:rPr>
          <w:sz w:val="20"/>
          <w:szCs w:val="20"/>
          <w:color w:val="auto"/>
        </w:rPr>
      </w:pPr>
    </w:p>
    <w:p>
      <w:pPr>
        <w:ind w:left="60"/>
        <w:spacing w:after="0"/>
        <w:rPr>
          <w:sz w:val="20"/>
          <w:szCs w:val="20"/>
          <w:color w:val="auto"/>
        </w:rPr>
      </w:pPr>
      <w:r>
        <w:rPr>
          <w:rFonts w:ascii="Arial" w:cs="Arial" w:eastAsia="Arial" w:hAnsi="Arial"/>
          <w:sz w:val="18"/>
          <w:szCs w:val="18"/>
          <w:color w:val="auto"/>
        </w:rPr>
        <w:t>Lisa Mueller, Senior Vice President</w:t>
      </w:r>
    </w:p>
    <w:p>
      <w:pPr>
        <w:ind w:left="60"/>
        <w:spacing w:after="0" w:line="234" w:lineRule="auto"/>
        <w:rPr>
          <w:sz w:val="20"/>
          <w:szCs w:val="20"/>
          <w:color w:val="auto"/>
        </w:rPr>
      </w:pPr>
      <w:r>
        <w:rPr>
          <w:rFonts w:ascii="Arial" w:cs="Arial" w:eastAsia="Arial" w:hAnsi="Arial"/>
          <w:sz w:val="18"/>
          <w:szCs w:val="18"/>
          <w:color w:val="auto"/>
        </w:rPr>
        <w:t>310-622-8231</w:t>
      </w:r>
    </w:p>
    <w:p>
      <w:pPr>
        <w:spacing w:after="0" w:line="1" w:lineRule="exact"/>
        <w:rPr>
          <w:sz w:val="20"/>
          <w:szCs w:val="20"/>
          <w:color w:val="auto"/>
        </w:rPr>
      </w:pPr>
    </w:p>
    <w:p>
      <w:pPr>
        <w:ind w:left="60"/>
        <w:spacing w:after="0"/>
        <w:rPr>
          <w:sz w:val="20"/>
          <w:szCs w:val="20"/>
          <w:color w:val="auto"/>
        </w:rPr>
      </w:pPr>
      <w:r>
        <w:rPr>
          <w:rFonts w:ascii="Arial" w:cs="Arial" w:eastAsia="Arial" w:hAnsi="Arial"/>
          <w:sz w:val="18"/>
          <w:szCs w:val="18"/>
          <w:color w:val="auto"/>
        </w:rPr>
        <w:t>calavo@finprofiles.com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1009015</wp:posOffset>
            </wp:positionV>
            <wp:extent cx="5657850" cy="254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661" w:right="1440" w:bottom="1440" w:gutter="0" w:footer="0" w:header="0"/>
        </w:sectPr>
      </w:pPr>
    </w:p>
    <w:bookmarkStart w:id="10" w:name="page11"/>
    <w:bookmarkEnd w:id="10"/>
    <w:p>
      <w:pPr>
        <w:ind w:left="60"/>
        <w:spacing w:after="0"/>
        <w:rPr>
          <w:sz w:val="20"/>
          <w:szCs w:val="20"/>
          <w:color w:val="auto"/>
        </w:rPr>
      </w:pPr>
      <w:r>
        <w:rPr>
          <w:rFonts w:ascii="Arial" w:cs="Arial" w:eastAsia="Arial" w:hAnsi="Arial"/>
          <w:sz w:val="18"/>
          <w:szCs w:val="18"/>
          <w:i w:val="1"/>
          <w:iCs w:val="1"/>
          <w:color w:val="auto"/>
        </w:rPr>
        <w:t>Calavo Growers, Inc.</w:t>
      </w:r>
    </w:p>
    <w:p>
      <w:pPr>
        <w:spacing w:after="0" w:line="14"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page 8 of 14</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CALAVO GROWERS, INC.</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CONDENSED BALANCE SHEETS (UNAUDITED)</w:t>
      </w: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240" w:lineRule="exact"/>
        <w:rPr>
          <w:sz w:val="20"/>
          <w:szCs w:val="20"/>
          <w:color w:val="auto"/>
        </w:rPr>
      </w:pPr>
    </w:p>
    <w:tbl>
      <w:tblPr>
        <w:tblLayout w:type="fixed"/>
        <w:tblInd w:w="60" w:type="dxa"/>
        <w:tblCellMar>
          <w:top w:w="0" w:type="dxa"/>
          <w:left w:w="0" w:type="dxa"/>
          <w:bottom w:w="0" w:type="dxa"/>
          <w:right w:w="0" w:type="dxa"/>
        </w:tblCellMar>
      </w:tblPr>
      <w:tr>
        <w:trPr>
          <w:trHeight w:val="190"/>
        </w:trPr>
        <w:tc>
          <w:tcPr>
            <w:tcW w:w="6820" w:type="dxa"/>
            <w:vAlign w:val="bottom"/>
          </w:tcPr>
          <w:p>
            <w:pPr>
              <w:spacing w:after="0"/>
              <w:rPr>
                <w:sz w:val="16"/>
                <w:szCs w:val="16"/>
                <w:color w:val="auto"/>
              </w:rPr>
            </w:pPr>
          </w:p>
        </w:tc>
        <w:tc>
          <w:tcPr>
            <w:tcW w:w="980" w:type="dxa"/>
            <w:vAlign w:val="bottom"/>
            <w:gridSpan w:val="2"/>
          </w:tcPr>
          <w:p>
            <w:pPr>
              <w:jc w:val="right"/>
              <w:ind w:right="11"/>
              <w:spacing w:after="0"/>
              <w:rPr>
                <w:sz w:val="20"/>
                <w:szCs w:val="20"/>
                <w:color w:val="auto"/>
              </w:rPr>
            </w:pPr>
            <w:r>
              <w:rPr>
                <w:rFonts w:ascii="Arial" w:cs="Arial" w:eastAsia="Arial" w:hAnsi="Arial"/>
                <w:sz w:val="14"/>
                <w:szCs w:val="14"/>
                <w:b w:val="1"/>
                <w:bCs w:val="1"/>
                <w:color w:val="auto"/>
              </w:rPr>
              <w:t>October 31,</w:t>
            </w:r>
          </w:p>
        </w:tc>
        <w:tc>
          <w:tcPr>
            <w:tcW w:w="160" w:type="dxa"/>
            <w:vAlign w:val="bottom"/>
          </w:tcPr>
          <w:p>
            <w:pPr>
              <w:spacing w:after="0"/>
              <w:rPr>
                <w:sz w:val="16"/>
                <w:szCs w:val="16"/>
                <w:color w:val="auto"/>
              </w:rPr>
            </w:pPr>
          </w:p>
        </w:tc>
        <w:tc>
          <w:tcPr>
            <w:tcW w:w="940" w:type="dxa"/>
            <w:vAlign w:val="bottom"/>
            <w:gridSpan w:val="3"/>
          </w:tcPr>
          <w:p>
            <w:pPr>
              <w:ind w:left="40"/>
              <w:spacing w:after="0"/>
              <w:rPr>
                <w:sz w:val="20"/>
                <w:szCs w:val="20"/>
                <w:color w:val="auto"/>
              </w:rPr>
            </w:pPr>
            <w:r>
              <w:rPr>
                <w:rFonts w:ascii="Arial" w:cs="Arial" w:eastAsia="Arial" w:hAnsi="Arial"/>
                <w:sz w:val="14"/>
                <w:szCs w:val="14"/>
                <w:b w:val="1"/>
                <w:bCs w:val="1"/>
                <w:color w:val="auto"/>
              </w:rPr>
              <w:t>October 31,</w:t>
            </w:r>
          </w:p>
        </w:tc>
      </w:tr>
      <w:tr>
        <w:trPr>
          <w:trHeight w:val="188"/>
        </w:trPr>
        <w:tc>
          <w:tcPr>
            <w:tcW w:w="682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271"/>
              <w:spacing w:after="0"/>
              <w:rPr>
                <w:sz w:val="20"/>
                <w:szCs w:val="20"/>
                <w:color w:val="auto"/>
              </w:rPr>
            </w:pPr>
            <w:r>
              <w:rPr>
                <w:rFonts w:ascii="Arial" w:cs="Arial" w:eastAsia="Arial" w:hAnsi="Arial"/>
                <w:sz w:val="14"/>
                <w:szCs w:val="14"/>
                <w:b w:val="1"/>
                <w:bCs w:val="1"/>
                <w:color w:val="auto"/>
              </w:rPr>
              <w:t>2020</w:t>
            </w:r>
          </w:p>
        </w:tc>
        <w:tc>
          <w:tcPr>
            <w:tcW w:w="16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ind w:right="211"/>
              <w:spacing w:after="0"/>
              <w:rPr>
                <w:sz w:val="20"/>
                <w:szCs w:val="20"/>
                <w:color w:val="auto"/>
              </w:rPr>
            </w:pPr>
            <w:r>
              <w:rPr>
                <w:rFonts w:ascii="Arial" w:cs="Arial" w:eastAsia="Arial" w:hAnsi="Arial"/>
                <w:sz w:val="14"/>
                <w:szCs w:val="14"/>
                <w:b w:val="1"/>
                <w:bCs w:val="1"/>
                <w:color w:val="auto"/>
              </w:rPr>
              <w:t>2019</w:t>
            </w:r>
          </w:p>
        </w:tc>
        <w:tc>
          <w:tcPr>
            <w:tcW w:w="60" w:type="dxa"/>
            <w:vAlign w:val="bottom"/>
            <w:tcBorders>
              <w:bottom w:val="single" w:sz="8" w:color="CCEEFF"/>
            </w:tcBorders>
          </w:tcPr>
          <w:p>
            <w:pPr>
              <w:spacing w:after="0"/>
              <w:rPr>
                <w:sz w:val="16"/>
                <w:szCs w:val="16"/>
                <w:color w:val="auto"/>
              </w:rPr>
            </w:pPr>
          </w:p>
        </w:tc>
      </w:tr>
      <w:tr>
        <w:trPr>
          <w:trHeight w:val="196"/>
        </w:trPr>
        <w:tc>
          <w:tcPr>
            <w:tcW w:w="682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Assets</w:t>
            </w:r>
          </w:p>
        </w:tc>
        <w:tc>
          <w:tcPr>
            <w:tcW w:w="16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r>
      <w:tr>
        <w:trPr>
          <w:trHeight w:val="202"/>
        </w:trPr>
        <w:tc>
          <w:tcPr>
            <w:tcW w:w="6820" w:type="dxa"/>
            <w:vAlign w:val="bottom"/>
          </w:tcPr>
          <w:p>
            <w:pPr>
              <w:spacing w:after="0" w:line="202" w:lineRule="exact"/>
              <w:rPr>
                <w:sz w:val="20"/>
                <w:szCs w:val="20"/>
                <w:color w:val="auto"/>
              </w:rPr>
            </w:pPr>
            <w:r>
              <w:rPr>
                <w:rFonts w:ascii="Arial" w:cs="Arial" w:eastAsia="Arial" w:hAnsi="Arial"/>
                <w:sz w:val="18"/>
                <w:szCs w:val="18"/>
                <w:color w:val="auto"/>
              </w:rPr>
              <w:t>Current assets:</w:t>
            </w:r>
          </w:p>
        </w:tc>
        <w:tc>
          <w:tcPr>
            <w:tcW w:w="1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03"/>
        </w:trPr>
        <w:tc>
          <w:tcPr>
            <w:tcW w:w="6820" w:type="dxa"/>
            <w:vAlign w:val="bottom"/>
            <w:shd w:val="clear" w:color="auto" w:fill="CCEEFF"/>
          </w:tcPr>
          <w:p>
            <w:pPr>
              <w:ind w:left="120"/>
              <w:spacing w:after="0" w:line="202" w:lineRule="exact"/>
              <w:rPr>
                <w:sz w:val="20"/>
                <w:szCs w:val="20"/>
                <w:color w:val="auto"/>
              </w:rPr>
            </w:pPr>
            <w:r>
              <w:rPr>
                <w:rFonts w:ascii="Arial" w:cs="Arial" w:eastAsia="Arial" w:hAnsi="Arial"/>
                <w:sz w:val="18"/>
                <w:szCs w:val="18"/>
                <w:color w:val="auto"/>
              </w:rPr>
              <w:t>Cash and cash equivalents</w:t>
            </w:r>
          </w:p>
        </w:tc>
        <w:tc>
          <w:tcPr>
            <w:tcW w:w="1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ind w:right="31"/>
              <w:spacing w:after="0" w:line="202" w:lineRule="exact"/>
              <w:rPr>
                <w:sz w:val="20"/>
                <w:szCs w:val="20"/>
                <w:color w:val="auto"/>
              </w:rPr>
            </w:pPr>
            <w:r>
              <w:rPr>
                <w:rFonts w:ascii="Arial" w:cs="Arial" w:eastAsia="Arial" w:hAnsi="Arial"/>
                <w:sz w:val="18"/>
                <w:szCs w:val="18"/>
                <w:color w:val="auto"/>
              </w:rPr>
              <w:t>4,055</w:t>
            </w:r>
          </w:p>
        </w:tc>
        <w:tc>
          <w:tcPr>
            <w:tcW w:w="26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ind w:right="11"/>
              <w:spacing w:after="0" w:line="202" w:lineRule="exact"/>
              <w:rPr>
                <w:sz w:val="20"/>
                <w:szCs w:val="20"/>
                <w:color w:val="auto"/>
              </w:rPr>
            </w:pPr>
            <w:r>
              <w:rPr>
                <w:rFonts w:ascii="Arial" w:cs="Arial" w:eastAsia="Arial" w:hAnsi="Arial"/>
                <w:sz w:val="18"/>
                <w:szCs w:val="18"/>
                <w:color w:val="auto"/>
              </w:rPr>
              <w:t>7,973</w:t>
            </w:r>
          </w:p>
        </w:tc>
        <w:tc>
          <w:tcPr>
            <w:tcW w:w="60" w:type="dxa"/>
            <w:vAlign w:val="bottom"/>
            <w:shd w:val="clear" w:color="auto" w:fill="CCEEFF"/>
          </w:tcPr>
          <w:p>
            <w:pPr>
              <w:spacing w:after="0"/>
              <w:rPr>
                <w:sz w:val="17"/>
                <w:szCs w:val="17"/>
                <w:color w:val="auto"/>
              </w:rPr>
            </w:pPr>
          </w:p>
        </w:tc>
      </w:tr>
      <w:tr>
        <w:trPr>
          <w:trHeight w:val="203"/>
        </w:trPr>
        <w:tc>
          <w:tcPr>
            <w:tcW w:w="6820" w:type="dxa"/>
            <w:vAlign w:val="bottom"/>
          </w:tcPr>
          <w:p>
            <w:pPr>
              <w:ind w:left="120"/>
              <w:spacing w:after="0" w:line="202" w:lineRule="exact"/>
              <w:rPr>
                <w:sz w:val="20"/>
                <w:szCs w:val="20"/>
                <w:color w:val="auto"/>
              </w:rPr>
            </w:pPr>
            <w:r>
              <w:rPr>
                <w:rFonts w:ascii="Arial" w:cs="Arial" w:eastAsia="Arial" w:hAnsi="Arial"/>
                <w:sz w:val="18"/>
                <w:szCs w:val="18"/>
                <w:color w:val="auto"/>
              </w:rPr>
              <w:t>Accounts receivable, net of allowances of $3,498 (2020) and $3,366 (2019)</w:t>
            </w:r>
          </w:p>
        </w:tc>
        <w:tc>
          <w:tcPr>
            <w:tcW w:w="160" w:type="dxa"/>
            <w:vAlign w:val="bottom"/>
          </w:tcPr>
          <w:p>
            <w:pPr>
              <w:spacing w:after="0"/>
              <w:rPr>
                <w:sz w:val="17"/>
                <w:szCs w:val="17"/>
                <w:color w:val="auto"/>
              </w:rPr>
            </w:pPr>
          </w:p>
        </w:tc>
        <w:tc>
          <w:tcPr>
            <w:tcW w:w="820" w:type="dxa"/>
            <w:vAlign w:val="bottom"/>
          </w:tcPr>
          <w:p>
            <w:pPr>
              <w:jc w:val="right"/>
              <w:ind w:right="31"/>
              <w:spacing w:after="0" w:line="202" w:lineRule="exact"/>
              <w:rPr>
                <w:sz w:val="20"/>
                <w:szCs w:val="20"/>
                <w:color w:val="auto"/>
              </w:rPr>
            </w:pPr>
            <w:r>
              <w:rPr>
                <w:rFonts w:ascii="Arial" w:cs="Arial" w:eastAsia="Arial" w:hAnsi="Arial"/>
                <w:sz w:val="18"/>
                <w:szCs w:val="18"/>
                <w:color w:val="auto"/>
              </w:rPr>
              <w:t>63,668</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jc w:val="right"/>
              <w:ind w:right="11"/>
              <w:spacing w:after="0" w:line="202" w:lineRule="exact"/>
              <w:rPr>
                <w:sz w:val="20"/>
                <w:szCs w:val="20"/>
                <w:color w:val="auto"/>
              </w:rPr>
            </w:pPr>
            <w:r>
              <w:rPr>
                <w:rFonts w:ascii="Arial" w:cs="Arial" w:eastAsia="Arial" w:hAnsi="Arial"/>
                <w:sz w:val="18"/>
                <w:szCs w:val="18"/>
                <w:color w:val="auto"/>
              </w:rPr>
              <w:t>63,423</w:t>
            </w:r>
          </w:p>
        </w:tc>
        <w:tc>
          <w:tcPr>
            <w:tcW w:w="60" w:type="dxa"/>
            <w:vAlign w:val="bottom"/>
          </w:tcPr>
          <w:p>
            <w:pPr>
              <w:spacing w:after="0"/>
              <w:rPr>
                <w:sz w:val="17"/>
                <w:szCs w:val="17"/>
                <w:color w:val="auto"/>
              </w:rPr>
            </w:pPr>
          </w:p>
        </w:tc>
      </w:tr>
      <w:tr>
        <w:trPr>
          <w:trHeight w:val="203"/>
        </w:trPr>
        <w:tc>
          <w:tcPr>
            <w:tcW w:w="6820" w:type="dxa"/>
            <w:vAlign w:val="bottom"/>
            <w:shd w:val="clear" w:color="auto" w:fill="CCEEFF"/>
          </w:tcPr>
          <w:p>
            <w:pPr>
              <w:ind w:left="120"/>
              <w:spacing w:after="0" w:line="202" w:lineRule="exact"/>
              <w:rPr>
                <w:sz w:val="20"/>
                <w:szCs w:val="20"/>
                <w:color w:val="auto"/>
              </w:rPr>
            </w:pPr>
            <w:r>
              <w:rPr>
                <w:rFonts w:ascii="Arial" w:cs="Arial" w:eastAsia="Arial" w:hAnsi="Arial"/>
                <w:sz w:val="18"/>
                <w:szCs w:val="18"/>
                <w:color w:val="auto"/>
              </w:rPr>
              <w:t>Inventories, net</w:t>
            </w:r>
          </w:p>
        </w:tc>
        <w:tc>
          <w:tcPr>
            <w:tcW w:w="160" w:type="dxa"/>
            <w:vAlign w:val="bottom"/>
            <w:shd w:val="clear" w:color="auto" w:fill="CCEEFF"/>
          </w:tcPr>
          <w:p>
            <w:pPr>
              <w:spacing w:after="0"/>
              <w:rPr>
                <w:sz w:val="17"/>
                <w:szCs w:val="17"/>
                <w:color w:val="auto"/>
              </w:rPr>
            </w:pPr>
          </w:p>
        </w:tc>
        <w:tc>
          <w:tcPr>
            <w:tcW w:w="820" w:type="dxa"/>
            <w:vAlign w:val="bottom"/>
            <w:shd w:val="clear" w:color="auto" w:fill="CCEEFF"/>
          </w:tcPr>
          <w:p>
            <w:pPr>
              <w:jc w:val="right"/>
              <w:ind w:right="31"/>
              <w:spacing w:after="0" w:line="202" w:lineRule="exact"/>
              <w:rPr>
                <w:sz w:val="20"/>
                <w:szCs w:val="20"/>
                <w:color w:val="auto"/>
              </w:rPr>
            </w:pPr>
            <w:r>
              <w:rPr>
                <w:rFonts w:ascii="Arial" w:cs="Arial" w:eastAsia="Arial" w:hAnsi="Arial"/>
                <w:sz w:val="18"/>
                <w:szCs w:val="18"/>
                <w:color w:val="auto"/>
              </w:rPr>
              <w:t>41,787</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jc w:val="right"/>
              <w:ind w:right="11"/>
              <w:spacing w:after="0" w:line="202" w:lineRule="exact"/>
              <w:rPr>
                <w:sz w:val="20"/>
                <w:szCs w:val="20"/>
                <w:color w:val="auto"/>
              </w:rPr>
            </w:pPr>
            <w:r>
              <w:rPr>
                <w:rFonts w:ascii="Arial" w:cs="Arial" w:eastAsia="Arial" w:hAnsi="Arial"/>
                <w:sz w:val="18"/>
                <w:szCs w:val="18"/>
                <w:color w:val="auto"/>
              </w:rPr>
              <w:t>36,889</w:t>
            </w:r>
          </w:p>
        </w:tc>
        <w:tc>
          <w:tcPr>
            <w:tcW w:w="60" w:type="dxa"/>
            <w:vAlign w:val="bottom"/>
            <w:shd w:val="clear" w:color="auto" w:fill="CCEEFF"/>
          </w:tcPr>
          <w:p>
            <w:pPr>
              <w:spacing w:after="0"/>
              <w:rPr>
                <w:sz w:val="17"/>
                <w:szCs w:val="17"/>
                <w:color w:val="auto"/>
              </w:rPr>
            </w:pPr>
          </w:p>
        </w:tc>
      </w:tr>
      <w:tr>
        <w:trPr>
          <w:trHeight w:val="203"/>
        </w:trPr>
        <w:tc>
          <w:tcPr>
            <w:tcW w:w="6820" w:type="dxa"/>
            <w:vAlign w:val="bottom"/>
          </w:tcPr>
          <w:p>
            <w:pPr>
              <w:ind w:left="120"/>
              <w:spacing w:after="0" w:line="202" w:lineRule="exact"/>
              <w:rPr>
                <w:sz w:val="20"/>
                <w:szCs w:val="20"/>
                <w:color w:val="auto"/>
              </w:rPr>
            </w:pPr>
            <w:r>
              <w:rPr>
                <w:rFonts w:ascii="Arial" w:cs="Arial" w:eastAsia="Arial" w:hAnsi="Arial"/>
                <w:sz w:val="18"/>
                <w:szCs w:val="18"/>
                <w:color w:val="auto"/>
              </w:rPr>
              <w:t>Prepaid expenses and other current assets</w:t>
            </w:r>
          </w:p>
        </w:tc>
        <w:tc>
          <w:tcPr>
            <w:tcW w:w="160" w:type="dxa"/>
            <w:vAlign w:val="bottom"/>
          </w:tcPr>
          <w:p>
            <w:pPr>
              <w:spacing w:after="0"/>
              <w:rPr>
                <w:sz w:val="17"/>
                <w:szCs w:val="17"/>
                <w:color w:val="auto"/>
              </w:rPr>
            </w:pPr>
          </w:p>
        </w:tc>
        <w:tc>
          <w:tcPr>
            <w:tcW w:w="820" w:type="dxa"/>
            <w:vAlign w:val="bottom"/>
          </w:tcPr>
          <w:p>
            <w:pPr>
              <w:jc w:val="right"/>
              <w:ind w:right="31"/>
              <w:spacing w:after="0" w:line="202" w:lineRule="exact"/>
              <w:rPr>
                <w:sz w:val="20"/>
                <w:szCs w:val="20"/>
                <w:color w:val="auto"/>
              </w:rPr>
            </w:pPr>
            <w:r>
              <w:rPr>
                <w:rFonts w:ascii="Arial" w:cs="Arial" w:eastAsia="Arial" w:hAnsi="Arial"/>
                <w:sz w:val="18"/>
                <w:szCs w:val="18"/>
                <w:color w:val="auto"/>
              </w:rPr>
              <w:t>10,733</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jc w:val="right"/>
              <w:ind w:right="11"/>
              <w:spacing w:after="0" w:line="202" w:lineRule="exact"/>
              <w:rPr>
                <w:sz w:val="20"/>
                <w:szCs w:val="20"/>
                <w:color w:val="auto"/>
              </w:rPr>
            </w:pPr>
            <w:r>
              <w:rPr>
                <w:rFonts w:ascii="Arial" w:cs="Arial" w:eastAsia="Arial" w:hAnsi="Arial"/>
                <w:sz w:val="18"/>
                <w:szCs w:val="18"/>
                <w:color w:val="auto"/>
              </w:rPr>
              <w:t>9,027</w:t>
            </w:r>
          </w:p>
        </w:tc>
        <w:tc>
          <w:tcPr>
            <w:tcW w:w="60" w:type="dxa"/>
            <w:vAlign w:val="bottom"/>
          </w:tcPr>
          <w:p>
            <w:pPr>
              <w:spacing w:after="0"/>
              <w:rPr>
                <w:sz w:val="17"/>
                <w:szCs w:val="17"/>
                <w:color w:val="auto"/>
              </w:rPr>
            </w:pPr>
          </w:p>
        </w:tc>
      </w:tr>
      <w:tr>
        <w:trPr>
          <w:trHeight w:val="203"/>
        </w:trPr>
        <w:tc>
          <w:tcPr>
            <w:tcW w:w="6820" w:type="dxa"/>
            <w:vAlign w:val="bottom"/>
            <w:shd w:val="clear" w:color="auto" w:fill="CCEEFF"/>
          </w:tcPr>
          <w:p>
            <w:pPr>
              <w:ind w:left="120"/>
              <w:spacing w:after="0" w:line="202" w:lineRule="exact"/>
              <w:rPr>
                <w:sz w:val="20"/>
                <w:szCs w:val="20"/>
                <w:color w:val="auto"/>
              </w:rPr>
            </w:pPr>
            <w:r>
              <w:rPr>
                <w:rFonts w:ascii="Arial" w:cs="Arial" w:eastAsia="Arial" w:hAnsi="Arial"/>
                <w:sz w:val="18"/>
                <w:szCs w:val="18"/>
                <w:color w:val="auto"/>
              </w:rPr>
              <w:t>Advances to suppliers</w:t>
            </w:r>
          </w:p>
        </w:tc>
        <w:tc>
          <w:tcPr>
            <w:tcW w:w="160" w:type="dxa"/>
            <w:vAlign w:val="bottom"/>
            <w:shd w:val="clear" w:color="auto" w:fill="CCEEFF"/>
          </w:tcPr>
          <w:p>
            <w:pPr>
              <w:spacing w:after="0"/>
              <w:rPr>
                <w:sz w:val="17"/>
                <w:szCs w:val="17"/>
                <w:color w:val="auto"/>
              </w:rPr>
            </w:pPr>
          </w:p>
        </w:tc>
        <w:tc>
          <w:tcPr>
            <w:tcW w:w="820" w:type="dxa"/>
            <w:vAlign w:val="bottom"/>
            <w:shd w:val="clear" w:color="auto" w:fill="CCEEFF"/>
          </w:tcPr>
          <w:p>
            <w:pPr>
              <w:jc w:val="right"/>
              <w:ind w:right="31"/>
              <w:spacing w:after="0" w:line="202" w:lineRule="exact"/>
              <w:rPr>
                <w:sz w:val="20"/>
                <w:szCs w:val="20"/>
                <w:color w:val="auto"/>
              </w:rPr>
            </w:pPr>
            <w:r>
              <w:rPr>
                <w:rFonts w:ascii="Arial" w:cs="Arial" w:eastAsia="Arial" w:hAnsi="Arial"/>
                <w:sz w:val="18"/>
                <w:szCs w:val="18"/>
                <w:color w:val="auto"/>
              </w:rPr>
              <w:t>5,061</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jc w:val="right"/>
              <w:ind w:right="11"/>
              <w:spacing w:after="0" w:line="202" w:lineRule="exact"/>
              <w:rPr>
                <w:sz w:val="20"/>
                <w:szCs w:val="20"/>
                <w:color w:val="auto"/>
              </w:rPr>
            </w:pPr>
            <w:r>
              <w:rPr>
                <w:rFonts w:ascii="Arial" w:cs="Arial" w:eastAsia="Arial" w:hAnsi="Arial"/>
                <w:sz w:val="18"/>
                <w:szCs w:val="18"/>
                <w:color w:val="auto"/>
              </w:rPr>
              <w:t>7,338</w:t>
            </w:r>
          </w:p>
        </w:tc>
        <w:tc>
          <w:tcPr>
            <w:tcW w:w="60" w:type="dxa"/>
            <w:vAlign w:val="bottom"/>
            <w:shd w:val="clear" w:color="auto" w:fill="CCEEFF"/>
          </w:tcPr>
          <w:p>
            <w:pPr>
              <w:spacing w:after="0"/>
              <w:rPr>
                <w:sz w:val="17"/>
                <w:szCs w:val="17"/>
                <w:color w:val="auto"/>
              </w:rPr>
            </w:pPr>
          </w:p>
        </w:tc>
      </w:tr>
      <w:tr>
        <w:trPr>
          <w:trHeight w:val="203"/>
        </w:trPr>
        <w:tc>
          <w:tcPr>
            <w:tcW w:w="6820" w:type="dxa"/>
            <w:vAlign w:val="bottom"/>
            <w:tcBorders>
              <w:bottom w:val="single" w:sz="8" w:color="CCEEFF"/>
            </w:tcBorders>
          </w:tcPr>
          <w:p>
            <w:pPr>
              <w:ind w:left="120"/>
              <w:spacing w:after="0" w:line="202" w:lineRule="exact"/>
              <w:rPr>
                <w:sz w:val="20"/>
                <w:szCs w:val="20"/>
                <w:color w:val="auto"/>
              </w:rPr>
            </w:pPr>
            <w:r>
              <w:rPr>
                <w:rFonts w:ascii="Arial" w:cs="Arial" w:eastAsia="Arial" w:hAnsi="Arial"/>
                <w:sz w:val="18"/>
                <w:szCs w:val="18"/>
                <w:color w:val="auto"/>
              </w:rPr>
              <w:t>Income taxes receivable</w:t>
            </w:r>
          </w:p>
        </w:tc>
        <w:tc>
          <w:tcPr>
            <w:tcW w:w="16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ind w:right="31"/>
              <w:spacing w:after="0" w:line="202" w:lineRule="exact"/>
              <w:rPr>
                <w:sz w:val="20"/>
                <w:szCs w:val="20"/>
                <w:color w:val="auto"/>
              </w:rPr>
            </w:pPr>
            <w:r>
              <w:rPr>
                <w:rFonts w:ascii="Arial" w:cs="Arial" w:eastAsia="Arial" w:hAnsi="Arial"/>
                <w:sz w:val="18"/>
                <w:szCs w:val="18"/>
                <w:color w:val="auto"/>
              </w:rPr>
              <w:t>10,591</w:t>
            </w:r>
          </w:p>
        </w:tc>
        <w:tc>
          <w:tcPr>
            <w:tcW w:w="16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11"/>
              <w:spacing w:after="0" w:line="202" w:lineRule="exact"/>
              <w:rPr>
                <w:sz w:val="20"/>
                <w:szCs w:val="20"/>
                <w:color w:val="auto"/>
              </w:rPr>
            </w:pPr>
            <w:r>
              <w:rPr>
                <w:rFonts w:ascii="Arial" w:cs="Arial" w:eastAsia="Arial" w:hAnsi="Arial"/>
                <w:sz w:val="18"/>
                <w:szCs w:val="18"/>
                <w:color w:val="auto"/>
              </w:rPr>
              <w:t>2,865</w:t>
            </w:r>
          </w:p>
        </w:tc>
        <w:tc>
          <w:tcPr>
            <w:tcW w:w="60" w:type="dxa"/>
            <w:vAlign w:val="bottom"/>
            <w:tcBorders>
              <w:bottom w:val="single" w:sz="8" w:color="CCEEFF"/>
            </w:tcBorders>
          </w:tcPr>
          <w:p>
            <w:pPr>
              <w:spacing w:after="0"/>
              <w:rPr>
                <w:sz w:val="17"/>
                <w:szCs w:val="17"/>
                <w:color w:val="auto"/>
              </w:rPr>
            </w:pPr>
          </w:p>
        </w:tc>
      </w:tr>
      <w:tr>
        <w:trPr>
          <w:trHeight w:val="196"/>
        </w:trPr>
        <w:tc>
          <w:tcPr>
            <w:tcW w:w="6820" w:type="dxa"/>
            <w:vAlign w:val="bottom"/>
            <w:shd w:val="clear" w:color="auto" w:fill="CCEEFF"/>
          </w:tcPr>
          <w:p>
            <w:pPr>
              <w:ind w:left="260"/>
              <w:spacing w:after="0" w:line="196" w:lineRule="exact"/>
              <w:rPr>
                <w:sz w:val="20"/>
                <w:szCs w:val="20"/>
                <w:color w:val="auto"/>
              </w:rPr>
            </w:pPr>
            <w:r>
              <w:rPr>
                <w:rFonts w:ascii="Arial" w:cs="Arial" w:eastAsia="Arial" w:hAnsi="Arial"/>
                <w:sz w:val="18"/>
                <w:szCs w:val="18"/>
                <w:color w:val="auto"/>
              </w:rPr>
              <w:t>Total current assets</w:t>
            </w:r>
          </w:p>
        </w:tc>
        <w:tc>
          <w:tcPr>
            <w:tcW w:w="160" w:type="dxa"/>
            <w:vAlign w:val="bottom"/>
            <w:shd w:val="clear" w:color="auto" w:fill="CCEEFF"/>
          </w:tcPr>
          <w:p>
            <w:pPr>
              <w:spacing w:after="0"/>
              <w:rPr>
                <w:sz w:val="17"/>
                <w:szCs w:val="17"/>
                <w:color w:val="auto"/>
              </w:rPr>
            </w:pPr>
          </w:p>
        </w:tc>
        <w:tc>
          <w:tcPr>
            <w:tcW w:w="820" w:type="dxa"/>
            <w:vAlign w:val="bottom"/>
            <w:shd w:val="clear" w:color="auto" w:fill="CCEEFF"/>
          </w:tcPr>
          <w:p>
            <w:pPr>
              <w:jc w:val="right"/>
              <w:ind w:right="31"/>
              <w:spacing w:after="0" w:line="196" w:lineRule="exact"/>
              <w:rPr>
                <w:sz w:val="20"/>
                <w:szCs w:val="20"/>
                <w:color w:val="auto"/>
              </w:rPr>
            </w:pPr>
            <w:r>
              <w:rPr>
                <w:rFonts w:ascii="Arial" w:cs="Arial" w:eastAsia="Arial" w:hAnsi="Arial"/>
                <w:sz w:val="18"/>
                <w:szCs w:val="18"/>
                <w:color w:val="auto"/>
              </w:rPr>
              <w:t>135,895</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jc w:val="right"/>
              <w:ind w:right="11"/>
              <w:spacing w:after="0" w:line="196" w:lineRule="exact"/>
              <w:rPr>
                <w:sz w:val="20"/>
                <w:szCs w:val="20"/>
                <w:color w:val="auto"/>
              </w:rPr>
            </w:pPr>
            <w:r>
              <w:rPr>
                <w:rFonts w:ascii="Arial" w:cs="Arial" w:eastAsia="Arial" w:hAnsi="Arial"/>
                <w:sz w:val="18"/>
                <w:szCs w:val="18"/>
                <w:color w:val="auto"/>
              </w:rPr>
              <w:t>127,515</w:t>
            </w:r>
          </w:p>
        </w:tc>
        <w:tc>
          <w:tcPr>
            <w:tcW w:w="60" w:type="dxa"/>
            <w:vAlign w:val="bottom"/>
            <w:shd w:val="clear" w:color="auto" w:fill="CCEEFF"/>
          </w:tcPr>
          <w:p>
            <w:pPr>
              <w:spacing w:after="0"/>
              <w:rPr>
                <w:sz w:val="17"/>
                <w:szCs w:val="17"/>
                <w:color w:val="auto"/>
              </w:rPr>
            </w:pPr>
          </w:p>
        </w:tc>
      </w:tr>
      <w:tr>
        <w:trPr>
          <w:trHeight w:val="203"/>
        </w:trPr>
        <w:tc>
          <w:tcPr>
            <w:tcW w:w="6820" w:type="dxa"/>
            <w:vAlign w:val="bottom"/>
          </w:tcPr>
          <w:p>
            <w:pPr>
              <w:spacing w:after="0" w:line="202" w:lineRule="exact"/>
              <w:rPr>
                <w:sz w:val="20"/>
                <w:szCs w:val="20"/>
                <w:color w:val="auto"/>
              </w:rPr>
            </w:pPr>
            <w:r>
              <w:rPr>
                <w:rFonts w:ascii="Arial" w:cs="Arial" w:eastAsia="Arial" w:hAnsi="Arial"/>
                <w:sz w:val="18"/>
                <w:szCs w:val="18"/>
                <w:color w:val="auto"/>
              </w:rPr>
              <w:t>Property, plant, and equipment, net</w:t>
            </w:r>
          </w:p>
        </w:tc>
        <w:tc>
          <w:tcPr>
            <w:tcW w:w="160" w:type="dxa"/>
            <w:vAlign w:val="bottom"/>
          </w:tcPr>
          <w:p>
            <w:pPr>
              <w:spacing w:after="0"/>
              <w:rPr>
                <w:sz w:val="17"/>
                <w:szCs w:val="17"/>
                <w:color w:val="auto"/>
              </w:rPr>
            </w:pPr>
          </w:p>
        </w:tc>
        <w:tc>
          <w:tcPr>
            <w:tcW w:w="820" w:type="dxa"/>
            <w:vAlign w:val="bottom"/>
          </w:tcPr>
          <w:p>
            <w:pPr>
              <w:jc w:val="right"/>
              <w:ind w:right="31"/>
              <w:spacing w:after="0" w:line="202" w:lineRule="exact"/>
              <w:rPr>
                <w:sz w:val="20"/>
                <w:szCs w:val="20"/>
                <w:color w:val="auto"/>
              </w:rPr>
            </w:pPr>
            <w:r>
              <w:rPr>
                <w:rFonts w:ascii="Arial" w:cs="Arial" w:eastAsia="Arial" w:hAnsi="Arial"/>
                <w:sz w:val="18"/>
                <w:szCs w:val="18"/>
                <w:color w:val="auto"/>
              </w:rPr>
              <w:t>130,270</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jc w:val="right"/>
              <w:ind w:right="11"/>
              <w:spacing w:after="0" w:line="202" w:lineRule="exact"/>
              <w:rPr>
                <w:sz w:val="20"/>
                <w:szCs w:val="20"/>
                <w:color w:val="auto"/>
              </w:rPr>
            </w:pPr>
            <w:r>
              <w:rPr>
                <w:rFonts w:ascii="Arial" w:cs="Arial" w:eastAsia="Arial" w:hAnsi="Arial"/>
                <w:sz w:val="18"/>
                <w:szCs w:val="18"/>
                <w:color w:val="auto"/>
              </w:rPr>
              <w:t>132,098</w:t>
            </w:r>
          </w:p>
        </w:tc>
        <w:tc>
          <w:tcPr>
            <w:tcW w:w="60" w:type="dxa"/>
            <w:vAlign w:val="bottom"/>
          </w:tcPr>
          <w:p>
            <w:pPr>
              <w:spacing w:after="0"/>
              <w:rPr>
                <w:sz w:val="17"/>
                <w:szCs w:val="17"/>
                <w:color w:val="auto"/>
              </w:rPr>
            </w:pPr>
          </w:p>
        </w:tc>
      </w:tr>
      <w:tr>
        <w:trPr>
          <w:trHeight w:val="203"/>
        </w:trPr>
        <w:tc>
          <w:tcPr>
            <w:tcW w:w="68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Operating lease right-of-use assets</w:t>
            </w:r>
          </w:p>
        </w:tc>
        <w:tc>
          <w:tcPr>
            <w:tcW w:w="160" w:type="dxa"/>
            <w:vAlign w:val="bottom"/>
            <w:shd w:val="clear" w:color="auto" w:fill="CCEEFF"/>
          </w:tcPr>
          <w:p>
            <w:pPr>
              <w:spacing w:after="0"/>
              <w:rPr>
                <w:sz w:val="17"/>
                <w:szCs w:val="17"/>
                <w:color w:val="auto"/>
              </w:rPr>
            </w:pPr>
          </w:p>
        </w:tc>
        <w:tc>
          <w:tcPr>
            <w:tcW w:w="820" w:type="dxa"/>
            <w:vAlign w:val="bottom"/>
            <w:shd w:val="clear" w:color="auto" w:fill="CCEEFF"/>
          </w:tcPr>
          <w:p>
            <w:pPr>
              <w:jc w:val="right"/>
              <w:ind w:right="31"/>
              <w:spacing w:after="0" w:line="202" w:lineRule="exact"/>
              <w:rPr>
                <w:sz w:val="20"/>
                <w:szCs w:val="20"/>
                <w:color w:val="auto"/>
              </w:rPr>
            </w:pPr>
            <w:r>
              <w:rPr>
                <w:rFonts w:ascii="Arial" w:cs="Arial" w:eastAsia="Arial" w:hAnsi="Arial"/>
                <w:sz w:val="18"/>
                <w:szCs w:val="18"/>
                <w:color w:val="auto"/>
              </w:rPr>
              <w:t>60,262</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w:t>
            </w:r>
          </w:p>
        </w:tc>
      </w:tr>
      <w:tr>
        <w:trPr>
          <w:trHeight w:val="203"/>
        </w:trPr>
        <w:tc>
          <w:tcPr>
            <w:tcW w:w="6820" w:type="dxa"/>
            <w:vAlign w:val="bottom"/>
          </w:tcPr>
          <w:p>
            <w:pPr>
              <w:spacing w:after="0" w:line="202" w:lineRule="exact"/>
              <w:rPr>
                <w:sz w:val="20"/>
                <w:szCs w:val="20"/>
                <w:color w:val="auto"/>
              </w:rPr>
            </w:pPr>
            <w:r>
              <w:rPr>
                <w:rFonts w:ascii="Arial" w:cs="Arial" w:eastAsia="Arial" w:hAnsi="Arial"/>
                <w:sz w:val="18"/>
                <w:szCs w:val="18"/>
                <w:color w:val="auto"/>
              </w:rPr>
              <w:t>Investment in Limoneira Company</w:t>
            </w:r>
          </w:p>
        </w:tc>
        <w:tc>
          <w:tcPr>
            <w:tcW w:w="160" w:type="dxa"/>
            <w:vAlign w:val="bottom"/>
          </w:tcPr>
          <w:p>
            <w:pPr>
              <w:spacing w:after="0"/>
              <w:rPr>
                <w:sz w:val="17"/>
                <w:szCs w:val="17"/>
                <w:color w:val="auto"/>
              </w:rPr>
            </w:pPr>
          </w:p>
        </w:tc>
        <w:tc>
          <w:tcPr>
            <w:tcW w:w="820" w:type="dxa"/>
            <w:vAlign w:val="bottom"/>
          </w:tcPr>
          <w:p>
            <w:pPr>
              <w:jc w:val="right"/>
              <w:ind w:right="31"/>
              <w:spacing w:after="0" w:line="202" w:lineRule="exact"/>
              <w:rPr>
                <w:sz w:val="20"/>
                <w:szCs w:val="20"/>
                <w:color w:val="auto"/>
              </w:rPr>
            </w:pPr>
            <w:r>
              <w:rPr>
                <w:rFonts w:ascii="Arial" w:cs="Arial" w:eastAsia="Arial" w:hAnsi="Arial"/>
                <w:sz w:val="18"/>
                <w:szCs w:val="18"/>
                <w:color w:val="auto"/>
              </w:rPr>
              <w:t>23,197</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jc w:val="right"/>
              <w:ind w:right="11"/>
              <w:spacing w:after="0" w:line="202" w:lineRule="exact"/>
              <w:rPr>
                <w:sz w:val="20"/>
                <w:szCs w:val="20"/>
                <w:color w:val="auto"/>
              </w:rPr>
            </w:pPr>
            <w:r>
              <w:rPr>
                <w:rFonts w:ascii="Arial" w:cs="Arial" w:eastAsia="Arial" w:hAnsi="Arial"/>
                <w:sz w:val="18"/>
                <w:szCs w:val="18"/>
                <w:color w:val="auto"/>
              </w:rPr>
              <w:t>31,734</w:t>
            </w:r>
          </w:p>
        </w:tc>
        <w:tc>
          <w:tcPr>
            <w:tcW w:w="60" w:type="dxa"/>
            <w:vAlign w:val="bottom"/>
          </w:tcPr>
          <w:p>
            <w:pPr>
              <w:spacing w:after="0"/>
              <w:rPr>
                <w:sz w:val="17"/>
                <w:szCs w:val="17"/>
                <w:color w:val="auto"/>
              </w:rPr>
            </w:pPr>
          </w:p>
        </w:tc>
      </w:tr>
      <w:tr>
        <w:trPr>
          <w:trHeight w:val="202"/>
        </w:trPr>
        <w:tc>
          <w:tcPr>
            <w:tcW w:w="68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Investment in unconsolidated entities</w:t>
            </w:r>
          </w:p>
        </w:tc>
        <w:tc>
          <w:tcPr>
            <w:tcW w:w="160" w:type="dxa"/>
            <w:vAlign w:val="bottom"/>
            <w:shd w:val="clear" w:color="auto" w:fill="CCEEFF"/>
          </w:tcPr>
          <w:p>
            <w:pPr>
              <w:spacing w:after="0"/>
              <w:rPr>
                <w:sz w:val="17"/>
                <w:szCs w:val="17"/>
                <w:color w:val="auto"/>
              </w:rPr>
            </w:pPr>
          </w:p>
        </w:tc>
        <w:tc>
          <w:tcPr>
            <w:tcW w:w="820" w:type="dxa"/>
            <w:vAlign w:val="bottom"/>
            <w:shd w:val="clear" w:color="auto" w:fill="CCEEFF"/>
          </w:tcPr>
          <w:p>
            <w:pPr>
              <w:jc w:val="right"/>
              <w:ind w:right="31"/>
              <w:spacing w:after="0" w:line="202" w:lineRule="exact"/>
              <w:rPr>
                <w:sz w:val="20"/>
                <w:szCs w:val="20"/>
                <w:color w:val="auto"/>
              </w:rPr>
            </w:pPr>
            <w:r>
              <w:rPr>
                <w:rFonts w:ascii="Arial" w:cs="Arial" w:eastAsia="Arial" w:hAnsi="Arial"/>
                <w:sz w:val="18"/>
                <w:szCs w:val="18"/>
                <w:color w:val="auto"/>
              </w:rPr>
              <w:t>6,065</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jc w:val="right"/>
              <w:ind w:right="11"/>
              <w:spacing w:after="0" w:line="202" w:lineRule="exact"/>
              <w:rPr>
                <w:sz w:val="20"/>
                <w:szCs w:val="20"/>
                <w:color w:val="auto"/>
              </w:rPr>
            </w:pPr>
            <w:r>
              <w:rPr>
                <w:rFonts w:ascii="Arial" w:cs="Arial" w:eastAsia="Arial" w:hAnsi="Arial"/>
                <w:sz w:val="18"/>
                <w:szCs w:val="18"/>
                <w:color w:val="auto"/>
              </w:rPr>
              <w:t>10,722</w:t>
            </w:r>
          </w:p>
        </w:tc>
        <w:tc>
          <w:tcPr>
            <w:tcW w:w="60" w:type="dxa"/>
            <w:vAlign w:val="bottom"/>
            <w:shd w:val="clear" w:color="auto" w:fill="CCEEFF"/>
          </w:tcPr>
          <w:p>
            <w:pPr>
              <w:spacing w:after="0"/>
              <w:rPr>
                <w:sz w:val="17"/>
                <w:szCs w:val="17"/>
                <w:color w:val="auto"/>
              </w:rPr>
            </w:pPr>
          </w:p>
        </w:tc>
      </w:tr>
      <w:tr>
        <w:trPr>
          <w:trHeight w:val="203"/>
        </w:trPr>
        <w:tc>
          <w:tcPr>
            <w:tcW w:w="6820" w:type="dxa"/>
            <w:vAlign w:val="bottom"/>
          </w:tcPr>
          <w:p>
            <w:pPr>
              <w:spacing w:after="0" w:line="202" w:lineRule="exact"/>
              <w:rPr>
                <w:sz w:val="20"/>
                <w:szCs w:val="20"/>
                <w:color w:val="auto"/>
              </w:rPr>
            </w:pPr>
            <w:r>
              <w:rPr>
                <w:rFonts w:ascii="Arial" w:cs="Arial" w:eastAsia="Arial" w:hAnsi="Arial"/>
                <w:sz w:val="18"/>
                <w:szCs w:val="18"/>
                <w:color w:val="auto"/>
              </w:rPr>
              <w:t>Deferred income taxes</w:t>
            </w:r>
          </w:p>
        </w:tc>
        <w:tc>
          <w:tcPr>
            <w:tcW w:w="160" w:type="dxa"/>
            <w:vAlign w:val="bottom"/>
          </w:tcPr>
          <w:p>
            <w:pPr>
              <w:spacing w:after="0"/>
              <w:rPr>
                <w:sz w:val="17"/>
                <w:szCs w:val="17"/>
                <w:color w:val="auto"/>
              </w:rPr>
            </w:pPr>
          </w:p>
        </w:tc>
        <w:tc>
          <w:tcPr>
            <w:tcW w:w="820" w:type="dxa"/>
            <w:vAlign w:val="bottom"/>
          </w:tcPr>
          <w:p>
            <w:pPr>
              <w:jc w:val="right"/>
              <w:ind w:right="31"/>
              <w:spacing w:after="0" w:line="202" w:lineRule="exact"/>
              <w:rPr>
                <w:sz w:val="20"/>
                <w:szCs w:val="20"/>
                <w:color w:val="auto"/>
              </w:rPr>
            </w:pPr>
            <w:r>
              <w:rPr>
                <w:rFonts w:ascii="Arial" w:cs="Arial" w:eastAsia="Arial" w:hAnsi="Arial"/>
                <w:sz w:val="18"/>
                <w:szCs w:val="18"/>
                <w:color w:val="auto"/>
              </w:rPr>
              <w:t>2,486</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jc w:val="right"/>
              <w:ind w:right="11"/>
              <w:spacing w:after="0" w:line="202" w:lineRule="exact"/>
              <w:rPr>
                <w:sz w:val="20"/>
                <w:szCs w:val="20"/>
                <w:color w:val="auto"/>
              </w:rPr>
            </w:pPr>
            <w:r>
              <w:rPr>
                <w:rFonts w:ascii="Arial" w:cs="Arial" w:eastAsia="Arial" w:hAnsi="Arial"/>
                <w:sz w:val="18"/>
                <w:szCs w:val="18"/>
                <w:color w:val="auto"/>
              </w:rPr>
              <w:t>3,447</w:t>
            </w:r>
          </w:p>
        </w:tc>
        <w:tc>
          <w:tcPr>
            <w:tcW w:w="60" w:type="dxa"/>
            <w:vAlign w:val="bottom"/>
          </w:tcPr>
          <w:p>
            <w:pPr>
              <w:spacing w:after="0"/>
              <w:rPr>
                <w:sz w:val="17"/>
                <w:szCs w:val="17"/>
                <w:color w:val="auto"/>
              </w:rPr>
            </w:pPr>
          </w:p>
        </w:tc>
      </w:tr>
      <w:tr>
        <w:trPr>
          <w:trHeight w:val="203"/>
        </w:trPr>
        <w:tc>
          <w:tcPr>
            <w:tcW w:w="68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Goodwill</w:t>
            </w:r>
          </w:p>
        </w:tc>
        <w:tc>
          <w:tcPr>
            <w:tcW w:w="160" w:type="dxa"/>
            <w:vAlign w:val="bottom"/>
            <w:shd w:val="clear" w:color="auto" w:fill="CCEEFF"/>
          </w:tcPr>
          <w:p>
            <w:pPr>
              <w:spacing w:after="0"/>
              <w:rPr>
                <w:sz w:val="17"/>
                <w:szCs w:val="17"/>
                <w:color w:val="auto"/>
              </w:rPr>
            </w:pPr>
          </w:p>
        </w:tc>
        <w:tc>
          <w:tcPr>
            <w:tcW w:w="820" w:type="dxa"/>
            <w:vAlign w:val="bottom"/>
            <w:shd w:val="clear" w:color="auto" w:fill="CCEEFF"/>
          </w:tcPr>
          <w:p>
            <w:pPr>
              <w:jc w:val="right"/>
              <w:ind w:right="31"/>
              <w:spacing w:after="0" w:line="202" w:lineRule="exact"/>
              <w:rPr>
                <w:sz w:val="20"/>
                <w:szCs w:val="20"/>
                <w:color w:val="auto"/>
              </w:rPr>
            </w:pPr>
            <w:r>
              <w:rPr>
                <w:rFonts w:ascii="Arial" w:cs="Arial" w:eastAsia="Arial" w:hAnsi="Arial"/>
                <w:sz w:val="18"/>
                <w:szCs w:val="18"/>
                <w:color w:val="auto"/>
              </w:rPr>
              <w:t>28,568</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jc w:val="right"/>
              <w:ind w:right="11"/>
              <w:spacing w:after="0" w:line="202" w:lineRule="exact"/>
              <w:rPr>
                <w:sz w:val="20"/>
                <w:szCs w:val="20"/>
                <w:color w:val="auto"/>
              </w:rPr>
            </w:pPr>
            <w:r>
              <w:rPr>
                <w:rFonts w:ascii="Arial" w:cs="Arial" w:eastAsia="Arial" w:hAnsi="Arial"/>
                <w:sz w:val="18"/>
                <w:szCs w:val="18"/>
                <w:color w:val="auto"/>
              </w:rPr>
              <w:t>18,262</w:t>
            </w:r>
          </w:p>
        </w:tc>
        <w:tc>
          <w:tcPr>
            <w:tcW w:w="60" w:type="dxa"/>
            <w:vAlign w:val="bottom"/>
            <w:shd w:val="clear" w:color="auto" w:fill="CCEEFF"/>
          </w:tcPr>
          <w:p>
            <w:pPr>
              <w:spacing w:after="0"/>
              <w:rPr>
                <w:sz w:val="17"/>
                <w:szCs w:val="17"/>
                <w:color w:val="auto"/>
              </w:rPr>
            </w:pPr>
          </w:p>
        </w:tc>
      </w:tr>
      <w:tr>
        <w:trPr>
          <w:trHeight w:val="202"/>
        </w:trPr>
        <w:tc>
          <w:tcPr>
            <w:tcW w:w="6820" w:type="dxa"/>
            <w:vAlign w:val="bottom"/>
          </w:tcPr>
          <w:p>
            <w:pPr>
              <w:spacing w:after="0" w:line="201" w:lineRule="exact"/>
              <w:rPr>
                <w:sz w:val="20"/>
                <w:szCs w:val="20"/>
                <w:color w:val="auto"/>
              </w:rPr>
            </w:pPr>
            <w:r>
              <w:rPr>
                <w:rFonts w:ascii="Arial" w:cs="Arial" w:eastAsia="Arial" w:hAnsi="Arial"/>
                <w:sz w:val="18"/>
                <w:szCs w:val="18"/>
                <w:color w:val="auto"/>
              </w:rPr>
              <w:t>Notes receivable from FreshRealm</w:t>
            </w:r>
          </w:p>
        </w:tc>
        <w:tc>
          <w:tcPr>
            <w:tcW w:w="160" w:type="dxa"/>
            <w:vAlign w:val="bottom"/>
          </w:tcPr>
          <w:p>
            <w:pPr>
              <w:spacing w:after="0"/>
              <w:rPr>
                <w:sz w:val="17"/>
                <w:szCs w:val="17"/>
                <w:color w:val="auto"/>
              </w:rPr>
            </w:pPr>
          </w:p>
        </w:tc>
        <w:tc>
          <w:tcPr>
            <w:tcW w:w="820" w:type="dxa"/>
            <w:vAlign w:val="bottom"/>
          </w:tcPr>
          <w:p>
            <w:pPr>
              <w:jc w:val="right"/>
              <w:spacing w:after="0" w:line="201" w:lineRule="exact"/>
              <w:rPr>
                <w:sz w:val="20"/>
                <w:szCs w:val="20"/>
                <w:color w:val="auto"/>
              </w:rPr>
            </w:pPr>
            <w:r>
              <w:rPr>
                <w:rFonts w:ascii="Arial" w:cs="Arial" w:eastAsia="Arial" w:hAnsi="Arial"/>
                <w:sz w:val="18"/>
                <w:szCs w:val="18"/>
                <w:color w:val="auto"/>
              </w:rPr>
              <w:t>—</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jc w:val="right"/>
              <w:ind w:right="11"/>
              <w:spacing w:after="0" w:line="201" w:lineRule="exact"/>
              <w:rPr>
                <w:sz w:val="20"/>
                <w:szCs w:val="20"/>
                <w:color w:val="auto"/>
              </w:rPr>
            </w:pPr>
            <w:r>
              <w:rPr>
                <w:rFonts w:ascii="Arial" w:cs="Arial" w:eastAsia="Arial" w:hAnsi="Arial"/>
                <w:sz w:val="18"/>
                <w:szCs w:val="18"/>
                <w:color w:val="auto"/>
              </w:rPr>
              <w:t>35,241</w:t>
            </w:r>
          </w:p>
        </w:tc>
        <w:tc>
          <w:tcPr>
            <w:tcW w:w="60" w:type="dxa"/>
            <w:vAlign w:val="bottom"/>
          </w:tcPr>
          <w:p>
            <w:pPr>
              <w:spacing w:after="0"/>
              <w:rPr>
                <w:sz w:val="17"/>
                <w:szCs w:val="17"/>
                <w:color w:val="auto"/>
              </w:rPr>
            </w:pPr>
          </w:p>
        </w:tc>
      </w:tr>
      <w:tr>
        <w:trPr>
          <w:trHeight w:val="203"/>
        </w:trPr>
        <w:tc>
          <w:tcPr>
            <w:tcW w:w="6820" w:type="dxa"/>
            <w:vAlign w:val="bottom"/>
          </w:tcPr>
          <w:p>
            <w:pPr>
              <w:spacing w:after="0" w:line="203" w:lineRule="exact"/>
              <w:rPr>
                <w:sz w:val="20"/>
                <w:szCs w:val="20"/>
                <w:color w:val="auto"/>
              </w:rPr>
            </w:pPr>
            <w:r>
              <w:rPr>
                <w:rFonts w:ascii="Arial" w:cs="Arial" w:eastAsia="Arial" w:hAnsi="Arial"/>
                <w:sz w:val="18"/>
                <w:szCs w:val="18"/>
                <w:color w:val="auto"/>
              </w:rPr>
              <w:t>Intangibles, net</w:t>
            </w:r>
          </w:p>
        </w:tc>
        <w:tc>
          <w:tcPr>
            <w:tcW w:w="160" w:type="dxa"/>
            <w:vAlign w:val="bottom"/>
          </w:tcPr>
          <w:p>
            <w:pPr>
              <w:spacing w:after="0"/>
              <w:rPr>
                <w:sz w:val="17"/>
                <w:szCs w:val="17"/>
                <w:color w:val="auto"/>
              </w:rPr>
            </w:pPr>
          </w:p>
        </w:tc>
        <w:tc>
          <w:tcPr>
            <w:tcW w:w="820" w:type="dxa"/>
            <w:vAlign w:val="bottom"/>
          </w:tcPr>
          <w:p>
            <w:pPr>
              <w:jc w:val="right"/>
              <w:spacing w:after="0" w:line="203" w:lineRule="exact"/>
              <w:rPr>
                <w:sz w:val="20"/>
                <w:szCs w:val="20"/>
                <w:color w:val="auto"/>
              </w:rPr>
            </w:pPr>
            <w:r>
              <w:rPr>
                <w:rFonts w:ascii="Arial" w:cs="Arial" w:eastAsia="Arial" w:hAnsi="Arial"/>
                <w:sz w:val="18"/>
                <w:szCs w:val="18"/>
                <w:color w:val="auto"/>
              </w:rPr>
              <w:t>10,323</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jc w:val="right"/>
              <w:spacing w:after="0" w:line="203" w:lineRule="exact"/>
              <w:rPr>
                <w:sz w:val="20"/>
                <w:szCs w:val="20"/>
                <w:color w:val="auto"/>
              </w:rPr>
            </w:pPr>
            <w:r>
              <w:rPr>
                <w:rFonts w:ascii="Arial" w:cs="Arial" w:eastAsia="Arial" w:hAnsi="Arial"/>
                <w:sz w:val="18"/>
                <w:szCs w:val="18"/>
                <w:color w:val="auto"/>
              </w:rPr>
              <w:t>435</w:t>
            </w:r>
          </w:p>
        </w:tc>
        <w:tc>
          <w:tcPr>
            <w:tcW w:w="60" w:type="dxa"/>
            <w:vAlign w:val="bottom"/>
          </w:tcPr>
          <w:p>
            <w:pPr>
              <w:spacing w:after="0"/>
              <w:rPr>
                <w:sz w:val="17"/>
                <w:szCs w:val="17"/>
                <w:color w:val="auto"/>
              </w:rPr>
            </w:pPr>
          </w:p>
        </w:tc>
      </w:tr>
      <w:tr>
        <w:trPr>
          <w:trHeight w:val="203"/>
        </w:trPr>
        <w:tc>
          <w:tcPr>
            <w:tcW w:w="68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Other assets</w:t>
            </w:r>
          </w:p>
        </w:tc>
        <w:tc>
          <w:tcPr>
            <w:tcW w:w="16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jc w:val="right"/>
              <w:ind w:right="31"/>
              <w:spacing w:after="0" w:line="202" w:lineRule="exact"/>
              <w:rPr>
                <w:sz w:val="20"/>
                <w:szCs w:val="20"/>
                <w:color w:val="auto"/>
              </w:rPr>
            </w:pPr>
            <w:r>
              <w:rPr>
                <w:rFonts w:ascii="Arial" w:cs="Arial" w:eastAsia="Arial" w:hAnsi="Arial"/>
                <w:sz w:val="18"/>
                <w:szCs w:val="18"/>
                <w:color w:val="auto"/>
              </w:rPr>
              <w:t>32,558</w:t>
            </w:r>
          </w:p>
        </w:tc>
        <w:tc>
          <w:tcPr>
            <w:tcW w:w="16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780" w:type="dxa"/>
            <w:vAlign w:val="bottom"/>
            <w:tcBorders>
              <w:bottom w:val="single" w:sz="8" w:color="auto"/>
            </w:tcBorders>
            <w:shd w:val="clear" w:color="auto" w:fill="CCEEFF"/>
          </w:tcPr>
          <w:p>
            <w:pPr>
              <w:jc w:val="right"/>
              <w:ind w:right="11"/>
              <w:spacing w:after="0" w:line="202" w:lineRule="exact"/>
              <w:rPr>
                <w:sz w:val="20"/>
                <w:szCs w:val="20"/>
                <w:color w:val="auto"/>
              </w:rPr>
            </w:pPr>
            <w:r>
              <w:rPr>
                <w:rFonts w:ascii="Arial" w:cs="Arial" w:eastAsia="Arial" w:hAnsi="Arial"/>
                <w:sz w:val="18"/>
                <w:szCs w:val="18"/>
                <w:color w:val="auto"/>
              </w:rPr>
              <w:t>30,906</w:t>
            </w:r>
          </w:p>
        </w:tc>
        <w:tc>
          <w:tcPr>
            <w:tcW w:w="60" w:type="dxa"/>
            <w:vAlign w:val="bottom"/>
            <w:shd w:val="clear" w:color="auto" w:fill="CCEEFF"/>
          </w:tcPr>
          <w:p>
            <w:pPr>
              <w:spacing w:after="0"/>
              <w:rPr>
                <w:sz w:val="17"/>
                <w:szCs w:val="17"/>
                <w:color w:val="auto"/>
              </w:rPr>
            </w:pPr>
          </w:p>
        </w:tc>
      </w:tr>
      <w:tr>
        <w:trPr>
          <w:trHeight w:val="196"/>
        </w:trPr>
        <w:tc>
          <w:tcPr>
            <w:tcW w:w="682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tcPr>
          <w:p>
            <w:pPr>
              <w:jc w:val="right"/>
              <w:ind w:right="31"/>
              <w:spacing w:after="0" w:line="196" w:lineRule="exact"/>
              <w:rPr>
                <w:sz w:val="20"/>
                <w:szCs w:val="20"/>
                <w:color w:val="auto"/>
              </w:rPr>
            </w:pPr>
            <w:r>
              <w:rPr>
                <w:rFonts w:ascii="Arial" w:cs="Arial" w:eastAsia="Arial" w:hAnsi="Arial"/>
                <w:sz w:val="18"/>
                <w:szCs w:val="18"/>
                <w:color w:val="auto"/>
              </w:rPr>
              <w:t>429,624</w:t>
            </w:r>
          </w:p>
        </w:tc>
        <w:tc>
          <w:tcPr>
            <w:tcW w:w="16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bottom w:val="single" w:sz="8" w:color="auto"/>
            </w:tcBorders>
          </w:tcPr>
          <w:p>
            <w:pPr>
              <w:jc w:val="right"/>
              <w:ind w:right="11"/>
              <w:spacing w:after="0" w:line="196" w:lineRule="exact"/>
              <w:rPr>
                <w:sz w:val="20"/>
                <w:szCs w:val="20"/>
                <w:color w:val="auto"/>
              </w:rPr>
            </w:pPr>
            <w:r>
              <w:rPr>
                <w:rFonts w:ascii="Arial" w:cs="Arial" w:eastAsia="Arial" w:hAnsi="Arial"/>
                <w:sz w:val="18"/>
                <w:szCs w:val="18"/>
                <w:color w:val="auto"/>
              </w:rPr>
              <w:t>390,360</w:t>
            </w:r>
          </w:p>
        </w:tc>
        <w:tc>
          <w:tcPr>
            <w:tcW w:w="60" w:type="dxa"/>
            <w:vAlign w:val="bottom"/>
            <w:tcBorders>
              <w:bottom w:val="single" w:sz="8" w:color="CCEEFF"/>
            </w:tcBorders>
          </w:tcPr>
          <w:p>
            <w:pPr>
              <w:spacing w:after="0"/>
              <w:rPr>
                <w:sz w:val="17"/>
                <w:szCs w:val="17"/>
                <w:color w:val="auto"/>
              </w:rPr>
            </w:pPr>
          </w:p>
        </w:tc>
      </w:tr>
      <w:tr>
        <w:trPr>
          <w:trHeight w:val="196"/>
        </w:trPr>
        <w:tc>
          <w:tcPr>
            <w:tcW w:w="682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Liabilities and shareholders’ equity</w:t>
            </w:r>
          </w:p>
        </w:tc>
        <w:tc>
          <w:tcPr>
            <w:tcW w:w="16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r>
      <w:tr>
        <w:trPr>
          <w:trHeight w:val="202"/>
        </w:trPr>
        <w:tc>
          <w:tcPr>
            <w:tcW w:w="6820" w:type="dxa"/>
            <w:vAlign w:val="bottom"/>
          </w:tcPr>
          <w:p>
            <w:pPr>
              <w:spacing w:after="0" w:line="202" w:lineRule="exact"/>
              <w:rPr>
                <w:sz w:val="20"/>
                <w:szCs w:val="20"/>
                <w:color w:val="auto"/>
              </w:rPr>
            </w:pPr>
            <w:r>
              <w:rPr>
                <w:rFonts w:ascii="Arial" w:cs="Arial" w:eastAsia="Arial" w:hAnsi="Arial"/>
                <w:sz w:val="18"/>
                <w:szCs w:val="18"/>
                <w:color w:val="auto"/>
              </w:rPr>
              <w:t>Current liabilities:</w:t>
            </w:r>
          </w:p>
        </w:tc>
        <w:tc>
          <w:tcPr>
            <w:tcW w:w="1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03"/>
        </w:trPr>
        <w:tc>
          <w:tcPr>
            <w:tcW w:w="6820" w:type="dxa"/>
            <w:vAlign w:val="bottom"/>
            <w:shd w:val="clear" w:color="auto" w:fill="CCEEFF"/>
          </w:tcPr>
          <w:p>
            <w:pPr>
              <w:ind w:left="120"/>
              <w:spacing w:after="0" w:line="202" w:lineRule="exact"/>
              <w:rPr>
                <w:sz w:val="20"/>
                <w:szCs w:val="20"/>
                <w:color w:val="auto"/>
              </w:rPr>
            </w:pPr>
            <w:r>
              <w:rPr>
                <w:rFonts w:ascii="Arial" w:cs="Arial" w:eastAsia="Arial" w:hAnsi="Arial"/>
                <w:sz w:val="18"/>
                <w:szCs w:val="18"/>
                <w:color w:val="auto"/>
              </w:rPr>
              <w:t>Payable to growers</w:t>
            </w:r>
          </w:p>
        </w:tc>
        <w:tc>
          <w:tcPr>
            <w:tcW w:w="1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ind w:right="31"/>
              <w:spacing w:after="0" w:line="202" w:lineRule="exact"/>
              <w:rPr>
                <w:sz w:val="20"/>
                <w:szCs w:val="20"/>
                <w:color w:val="auto"/>
              </w:rPr>
            </w:pPr>
            <w:r>
              <w:rPr>
                <w:rFonts w:ascii="Arial" w:cs="Arial" w:eastAsia="Arial" w:hAnsi="Arial"/>
                <w:sz w:val="18"/>
                <w:szCs w:val="18"/>
                <w:color w:val="auto"/>
              </w:rPr>
              <w:t>11,346</w:t>
            </w:r>
          </w:p>
        </w:tc>
        <w:tc>
          <w:tcPr>
            <w:tcW w:w="26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ind w:right="11"/>
              <w:spacing w:after="0" w:line="202" w:lineRule="exact"/>
              <w:rPr>
                <w:sz w:val="20"/>
                <w:szCs w:val="20"/>
                <w:color w:val="auto"/>
              </w:rPr>
            </w:pPr>
            <w:r>
              <w:rPr>
                <w:rFonts w:ascii="Arial" w:cs="Arial" w:eastAsia="Arial" w:hAnsi="Arial"/>
                <w:sz w:val="18"/>
                <w:szCs w:val="18"/>
                <w:color w:val="auto"/>
              </w:rPr>
              <w:t>13,463</w:t>
            </w:r>
          </w:p>
        </w:tc>
        <w:tc>
          <w:tcPr>
            <w:tcW w:w="60" w:type="dxa"/>
            <w:vAlign w:val="bottom"/>
            <w:shd w:val="clear" w:color="auto" w:fill="CCEEFF"/>
          </w:tcPr>
          <w:p>
            <w:pPr>
              <w:spacing w:after="0"/>
              <w:rPr>
                <w:sz w:val="17"/>
                <w:szCs w:val="17"/>
                <w:color w:val="auto"/>
              </w:rPr>
            </w:pPr>
          </w:p>
        </w:tc>
      </w:tr>
      <w:tr>
        <w:trPr>
          <w:trHeight w:val="203"/>
        </w:trPr>
        <w:tc>
          <w:tcPr>
            <w:tcW w:w="6820" w:type="dxa"/>
            <w:vAlign w:val="bottom"/>
          </w:tcPr>
          <w:p>
            <w:pPr>
              <w:ind w:left="120"/>
              <w:spacing w:after="0" w:line="202" w:lineRule="exact"/>
              <w:rPr>
                <w:sz w:val="20"/>
                <w:szCs w:val="20"/>
                <w:color w:val="auto"/>
              </w:rPr>
            </w:pPr>
            <w:r>
              <w:rPr>
                <w:rFonts w:ascii="Arial" w:cs="Arial" w:eastAsia="Arial" w:hAnsi="Arial"/>
                <w:sz w:val="18"/>
                <w:szCs w:val="18"/>
                <w:color w:val="auto"/>
              </w:rPr>
              <w:t>Trade accounts payable</w:t>
            </w:r>
          </w:p>
        </w:tc>
        <w:tc>
          <w:tcPr>
            <w:tcW w:w="160" w:type="dxa"/>
            <w:vAlign w:val="bottom"/>
          </w:tcPr>
          <w:p>
            <w:pPr>
              <w:spacing w:after="0"/>
              <w:rPr>
                <w:sz w:val="17"/>
                <w:szCs w:val="17"/>
                <w:color w:val="auto"/>
              </w:rPr>
            </w:pPr>
          </w:p>
        </w:tc>
        <w:tc>
          <w:tcPr>
            <w:tcW w:w="820" w:type="dxa"/>
            <w:vAlign w:val="bottom"/>
          </w:tcPr>
          <w:p>
            <w:pPr>
              <w:jc w:val="right"/>
              <w:ind w:right="31"/>
              <w:spacing w:after="0" w:line="202" w:lineRule="exact"/>
              <w:rPr>
                <w:sz w:val="20"/>
                <w:szCs w:val="20"/>
                <w:color w:val="auto"/>
              </w:rPr>
            </w:pPr>
            <w:r>
              <w:rPr>
                <w:rFonts w:ascii="Arial" w:cs="Arial" w:eastAsia="Arial" w:hAnsi="Arial"/>
                <w:sz w:val="18"/>
                <w:szCs w:val="18"/>
                <w:color w:val="auto"/>
              </w:rPr>
              <w:t>9,384</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jc w:val="right"/>
              <w:ind w:right="11"/>
              <w:spacing w:after="0" w:line="202" w:lineRule="exact"/>
              <w:rPr>
                <w:sz w:val="20"/>
                <w:szCs w:val="20"/>
                <w:color w:val="auto"/>
              </w:rPr>
            </w:pPr>
            <w:r>
              <w:rPr>
                <w:rFonts w:ascii="Arial" w:cs="Arial" w:eastAsia="Arial" w:hAnsi="Arial"/>
                <w:sz w:val="18"/>
                <w:szCs w:val="18"/>
                <w:color w:val="auto"/>
              </w:rPr>
              <w:t>17,421</w:t>
            </w:r>
          </w:p>
        </w:tc>
        <w:tc>
          <w:tcPr>
            <w:tcW w:w="60" w:type="dxa"/>
            <w:vAlign w:val="bottom"/>
          </w:tcPr>
          <w:p>
            <w:pPr>
              <w:spacing w:after="0"/>
              <w:rPr>
                <w:sz w:val="17"/>
                <w:szCs w:val="17"/>
                <w:color w:val="auto"/>
              </w:rPr>
            </w:pPr>
          </w:p>
        </w:tc>
      </w:tr>
      <w:tr>
        <w:trPr>
          <w:trHeight w:val="203"/>
        </w:trPr>
        <w:tc>
          <w:tcPr>
            <w:tcW w:w="6820" w:type="dxa"/>
            <w:vAlign w:val="bottom"/>
            <w:shd w:val="clear" w:color="auto" w:fill="CCEEFF"/>
          </w:tcPr>
          <w:p>
            <w:pPr>
              <w:ind w:left="120"/>
              <w:spacing w:after="0" w:line="202" w:lineRule="exact"/>
              <w:rPr>
                <w:sz w:val="20"/>
                <w:szCs w:val="20"/>
                <w:color w:val="auto"/>
              </w:rPr>
            </w:pPr>
            <w:r>
              <w:rPr>
                <w:rFonts w:ascii="Arial" w:cs="Arial" w:eastAsia="Arial" w:hAnsi="Arial"/>
                <w:sz w:val="18"/>
                <w:szCs w:val="18"/>
                <w:color w:val="auto"/>
              </w:rPr>
              <w:t>Accrued expenses</w:t>
            </w:r>
          </w:p>
        </w:tc>
        <w:tc>
          <w:tcPr>
            <w:tcW w:w="160" w:type="dxa"/>
            <w:vAlign w:val="bottom"/>
            <w:shd w:val="clear" w:color="auto" w:fill="CCEEFF"/>
          </w:tcPr>
          <w:p>
            <w:pPr>
              <w:spacing w:after="0"/>
              <w:rPr>
                <w:sz w:val="17"/>
                <w:szCs w:val="17"/>
                <w:color w:val="auto"/>
              </w:rPr>
            </w:pPr>
          </w:p>
        </w:tc>
        <w:tc>
          <w:tcPr>
            <w:tcW w:w="820" w:type="dxa"/>
            <w:vAlign w:val="bottom"/>
            <w:shd w:val="clear" w:color="auto" w:fill="CCEEFF"/>
          </w:tcPr>
          <w:p>
            <w:pPr>
              <w:jc w:val="right"/>
              <w:ind w:right="31"/>
              <w:spacing w:after="0" w:line="202" w:lineRule="exact"/>
              <w:rPr>
                <w:sz w:val="20"/>
                <w:szCs w:val="20"/>
                <w:color w:val="auto"/>
              </w:rPr>
            </w:pPr>
            <w:r>
              <w:rPr>
                <w:rFonts w:ascii="Arial" w:cs="Arial" w:eastAsia="Arial" w:hAnsi="Arial"/>
                <w:sz w:val="18"/>
                <w:szCs w:val="18"/>
                <w:color w:val="auto"/>
              </w:rPr>
              <w:t>36,922</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jc w:val="right"/>
              <w:ind w:right="11"/>
              <w:spacing w:after="0" w:line="202" w:lineRule="exact"/>
              <w:rPr>
                <w:sz w:val="20"/>
                <w:szCs w:val="20"/>
                <w:color w:val="auto"/>
              </w:rPr>
            </w:pPr>
            <w:r>
              <w:rPr>
                <w:rFonts w:ascii="Arial" w:cs="Arial" w:eastAsia="Arial" w:hAnsi="Arial"/>
                <w:sz w:val="18"/>
                <w:szCs w:val="18"/>
                <w:color w:val="auto"/>
              </w:rPr>
              <w:t>39,629</w:t>
            </w:r>
          </w:p>
        </w:tc>
        <w:tc>
          <w:tcPr>
            <w:tcW w:w="60" w:type="dxa"/>
            <w:vAlign w:val="bottom"/>
            <w:shd w:val="clear" w:color="auto" w:fill="CCEEFF"/>
          </w:tcPr>
          <w:p>
            <w:pPr>
              <w:spacing w:after="0"/>
              <w:rPr>
                <w:sz w:val="17"/>
                <w:szCs w:val="17"/>
                <w:color w:val="auto"/>
              </w:rPr>
            </w:pPr>
          </w:p>
        </w:tc>
      </w:tr>
      <w:tr>
        <w:trPr>
          <w:trHeight w:val="203"/>
        </w:trPr>
        <w:tc>
          <w:tcPr>
            <w:tcW w:w="6820" w:type="dxa"/>
            <w:vAlign w:val="bottom"/>
          </w:tcPr>
          <w:p>
            <w:pPr>
              <w:ind w:left="120"/>
              <w:spacing w:after="0" w:line="202" w:lineRule="exact"/>
              <w:rPr>
                <w:sz w:val="20"/>
                <w:szCs w:val="20"/>
                <w:color w:val="auto"/>
              </w:rPr>
            </w:pPr>
            <w:r>
              <w:rPr>
                <w:rFonts w:ascii="Arial" w:cs="Arial" w:eastAsia="Arial" w:hAnsi="Arial"/>
                <w:sz w:val="18"/>
                <w:szCs w:val="18"/>
                <w:color w:val="auto"/>
              </w:rPr>
              <w:t>Short-term borrowings</w:t>
            </w:r>
          </w:p>
        </w:tc>
        <w:tc>
          <w:tcPr>
            <w:tcW w:w="160" w:type="dxa"/>
            <w:vAlign w:val="bottom"/>
          </w:tcPr>
          <w:p>
            <w:pPr>
              <w:spacing w:after="0"/>
              <w:rPr>
                <w:sz w:val="17"/>
                <w:szCs w:val="17"/>
                <w:color w:val="auto"/>
              </w:rPr>
            </w:pPr>
          </w:p>
        </w:tc>
        <w:tc>
          <w:tcPr>
            <w:tcW w:w="820" w:type="dxa"/>
            <w:vAlign w:val="bottom"/>
          </w:tcPr>
          <w:p>
            <w:pPr>
              <w:jc w:val="right"/>
              <w:ind w:right="31"/>
              <w:spacing w:after="0" w:line="202" w:lineRule="exact"/>
              <w:rPr>
                <w:sz w:val="20"/>
                <w:szCs w:val="20"/>
                <w:color w:val="auto"/>
              </w:rPr>
            </w:pPr>
            <w:r>
              <w:rPr>
                <w:rFonts w:ascii="Arial" w:cs="Arial" w:eastAsia="Arial" w:hAnsi="Arial"/>
                <w:sz w:val="18"/>
                <w:szCs w:val="18"/>
                <w:color w:val="auto"/>
              </w:rPr>
              <w:t>20,550</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w:t>
            </w:r>
          </w:p>
        </w:tc>
      </w:tr>
      <w:tr>
        <w:trPr>
          <w:trHeight w:val="405"/>
        </w:trPr>
        <w:tc>
          <w:tcPr>
            <w:tcW w:w="68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Dividend payable</w:t>
            </w:r>
          </w:p>
        </w:tc>
        <w:tc>
          <w:tcPr>
            <w:tcW w:w="160" w:type="dxa"/>
            <w:vAlign w:val="bottom"/>
            <w:shd w:val="clear" w:color="auto" w:fill="CCEEFF"/>
          </w:tcPr>
          <w:p>
            <w:pPr>
              <w:spacing w:after="0"/>
              <w:rPr>
                <w:sz w:val="24"/>
                <w:szCs w:val="2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20,343</w:t>
            </w:r>
          </w:p>
        </w:tc>
        <w:tc>
          <w:tcPr>
            <w:tcW w:w="1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19,354</w:t>
            </w:r>
          </w:p>
        </w:tc>
        <w:tc>
          <w:tcPr>
            <w:tcW w:w="60" w:type="dxa"/>
            <w:vAlign w:val="bottom"/>
            <w:shd w:val="clear" w:color="auto" w:fill="CCEEFF"/>
          </w:tcPr>
          <w:p>
            <w:pPr>
              <w:spacing w:after="0"/>
              <w:rPr>
                <w:sz w:val="24"/>
                <w:szCs w:val="24"/>
                <w:color w:val="auto"/>
              </w:rPr>
            </w:pPr>
          </w:p>
        </w:tc>
      </w:tr>
      <w:tr>
        <w:trPr>
          <w:trHeight w:val="203"/>
        </w:trPr>
        <w:tc>
          <w:tcPr>
            <w:tcW w:w="6820" w:type="dxa"/>
            <w:vAlign w:val="bottom"/>
          </w:tcPr>
          <w:p>
            <w:pPr>
              <w:ind w:left="120"/>
              <w:spacing w:after="0" w:line="202" w:lineRule="exact"/>
              <w:rPr>
                <w:sz w:val="20"/>
                <w:szCs w:val="20"/>
                <w:color w:val="auto"/>
              </w:rPr>
            </w:pPr>
            <w:r>
              <w:rPr>
                <w:rFonts w:ascii="Arial" w:cs="Arial" w:eastAsia="Arial" w:hAnsi="Arial"/>
                <w:sz w:val="18"/>
                <w:szCs w:val="18"/>
                <w:color w:val="auto"/>
              </w:rPr>
              <w:t>Current portion of operating leases</w:t>
            </w:r>
          </w:p>
        </w:tc>
        <w:tc>
          <w:tcPr>
            <w:tcW w:w="160" w:type="dxa"/>
            <w:vAlign w:val="bottom"/>
          </w:tcPr>
          <w:p>
            <w:pPr>
              <w:spacing w:after="0"/>
              <w:rPr>
                <w:sz w:val="17"/>
                <w:szCs w:val="17"/>
                <w:color w:val="auto"/>
              </w:rPr>
            </w:pPr>
          </w:p>
        </w:tc>
        <w:tc>
          <w:tcPr>
            <w:tcW w:w="820" w:type="dxa"/>
            <w:vAlign w:val="bottom"/>
          </w:tcPr>
          <w:p>
            <w:pPr>
              <w:jc w:val="right"/>
              <w:ind w:right="31"/>
              <w:spacing w:after="0" w:line="202" w:lineRule="exact"/>
              <w:rPr>
                <w:sz w:val="20"/>
                <w:szCs w:val="20"/>
                <w:color w:val="auto"/>
              </w:rPr>
            </w:pPr>
            <w:r>
              <w:rPr>
                <w:rFonts w:ascii="Arial" w:cs="Arial" w:eastAsia="Arial" w:hAnsi="Arial"/>
                <w:sz w:val="18"/>
                <w:szCs w:val="18"/>
                <w:color w:val="auto"/>
              </w:rPr>
              <w:t>6,443</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w:t>
            </w:r>
          </w:p>
        </w:tc>
      </w:tr>
      <w:tr>
        <w:trPr>
          <w:trHeight w:val="203"/>
        </w:trPr>
        <w:tc>
          <w:tcPr>
            <w:tcW w:w="6820" w:type="dxa"/>
            <w:vAlign w:val="bottom"/>
            <w:shd w:val="clear" w:color="auto" w:fill="CCEEFF"/>
          </w:tcPr>
          <w:p>
            <w:pPr>
              <w:ind w:left="120"/>
              <w:spacing w:after="0" w:line="202" w:lineRule="exact"/>
              <w:rPr>
                <w:sz w:val="20"/>
                <w:szCs w:val="20"/>
                <w:color w:val="auto"/>
              </w:rPr>
            </w:pPr>
            <w:r>
              <w:rPr>
                <w:rFonts w:ascii="Arial" w:cs="Arial" w:eastAsia="Arial" w:hAnsi="Arial"/>
                <w:sz w:val="18"/>
                <w:szCs w:val="18"/>
                <w:color w:val="auto"/>
              </w:rPr>
              <w:t>Current portion of long-term obligations and finance leases</w:t>
            </w:r>
          </w:p>
        </w:tc>
        <w:tc>
          <w:tcPr>
            <w:tcW w:w="16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jc w:val="right"/>
              <w:ind w:right="31"/>
              <w:spacing w:after="0" w:line="202" w:lineRule="exact"/>
              <w:rPr>
                <w:sz w:val="20"/>
                <w:szCs w:val="20"/>
                <w:color w:val="auto"/>
              </w:rPr>
            </w:pPr>
            <w:r>
              <w:rPr>
                <w:rFonts w:ascii="Arial" w:cs="Arial" w:eastAsia="Arial" w:hAnsi="Arial"/>
                <w:sz w:val="18"/>
                <w:szCs w:val="18"/>
                <w:color w:val="auto"/>
              </w:rPr>
              <w:t>1,343</w:t>
            </w:r>
          </w:p>
        </w:tc>
        <w:tc>
          <w:tcPr>
            <w:tcW w:w="16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780" w:type="dxa"/>
            <w:vAlign w:val="bottom"/>
            <w:tcBorders>
              <w:bottom w:val="single" w:sz="8" w:color="auto"/>
            </w:tcBorders>
            <w:shd w:val="clear" w:color="auto" w:fill="CCEEFF"/>
          </w:tcPr>
          <w:p>
            <w:pPr>
              <w:jc w:val="right"/>
              <w:ind w:right="11"/>
              <w:spacing w:after="0" w:line="202" w:lineRule="exact"/>
              <w:rPr>
                <w:sz w:val="20"/>
                <w:szCs w:val="20"/>
                <w:color w:val="auto"/>
              </w:rPr>
            </w:pPr>
            <w:r>
              <w:rPr>
                <w:rFonts w:ascii="Arial" w:cs="Arial" w:eastAsia="Arial" w:hAnsi="Arial"/>
                <w:sz w:val="18"/>
                <w:szCs w:val="18"/>
                <w:color w:val="auto"/>
              </w:rPr>
              <w:t>762</w:t>
            </w:r>
          </w:p>
        </w:tc>
        <w:tc>
          <w:tcPr>
            <w:tcW w:w="60" w:type="dxa"/>
            <w:vAlign w:val="bottom"/>
            <w:shd w:val="clear" w:color="auto" w:fill="CCEEFF"/>
          </w:tcPr>
          <w:p>
            <w:pPr>
              <w:spacing w:after="0"/>
              <w:rPr>
                <w:sz w:val="17"/>
                <w:szCs w:val="17"/>
                <w:color w:val="auto"/>
              </w:rPr>
            </w:pPr>
          </w:p>
        </w:tc>
      </w:tr>
      <w:tr>
        <w:trPr>
          <w:trHeight w:val="196"/>
        </w:trPr>
        <w:tc>
          <w:tcPr>
            <w:tcW w:w="6820" w:type="dxa"/>
            <w:vAlign w:val="bottom"/>
          </w:tcPr>
          <w:p>
            <w:pPr>
              <w:ind w:left="260"/>
              <w:spacing w:after="0" w:line="196" w:lineRule="exact"/>
              <w:rPr>
                <w:sz w:val="20"/>
                <w:szCs w:val="20"/>
                <w:color w:val="auto"/>
              </w:rPr>
            </w:pPr>
            <w:r>
              <w:rPr>
                <w:rFonts w:ascii="Arial" w:cs="Arial" w:eastAsia="Arial" w:hAnsi="Arial"/>
                <w:sz w:val="18"/>
                <w:szCs w:val="18"/>
                <w:color w:val="auto"/>
              </w:rPr>
              <w:t>Total current liabilities</w:t>
            </w:r>
          </w:p>
        </w:tc>
        <w:tc>
          <w:tcPr>
            <w:tcW w:w="160" w:type="dxa"/>
            <w:vAlign w:val="bottom"/>
          </w:tcPr>
          <w:p>
            <w:pPr>
              <w:spacing w:after="0"/>
              <w:rPr>
                <w:sz w:val="17"/>
                <w:szCs w:val="17"/>
                <w:color w:val="auto"/>
              </w:rPr>
            </w:pPr>
          </w:p>
        </w:tc>
        <w:tc>
          <w:tcPr>
            <w:tcW w:w="820" w:type="dxa"/>
            <w:vAlign w:val="bottom"/>
          </w:tcPr>
          <w:p>
            <w:pPr>
              <w:jc w:val="right"/>
              <w:ind w:right="31"/>
              <w:spacing w:after="0" w:line="196" w:lineRule="exact"/>
              <w:rPr>
                <w:sz w:val="20"/>
                <w:szCs w:val="20"/>
                <w:color w:val="auto"/>
              </w:rPr>
            </w:pPr>
            <w:r>
              <w:rPr>
                <w:rFonts w:ascii="Arial" w:cs="Arial" w:eastAsia="Arial" w:hAnsi="Arial"/>
                <w:sz w:val="18"/>
                <w:szCs w:val="18"/>
                <w:color w:val="auto"/>
              </w:rPr>
              <w:t>106,331</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jc w:val="right"/>
              <w:ind w:right="11"/>
              <w:spacing w:after="0" w:line="196" w:lineRule="exact"/>
              <w:rPr>
                <w:sz w:val="20"/>
                <w:szCs w:val="20"/>
                <w:color w:val="auto"/>
              </w:rPr>
            </w:pPr>
            <w:r>
              <w:rPr>
                <w:rFonts w:ascii="Arial" w:cs="Arial" w:eastAsia="Arial" w:hAnsi="Arial"/>
                <w:sz w:val="18"/>
                <w:szCs w:val="18"/>
                <w:color w:val="auto"/>
              </w:rPr>
              <w:t>90,629</w:t>
            </w:r>
          </w:p>
        </w:tc>
        <w:tc>
          <w:tcPr>
            <w:tcW w:w="60" w:type="dxa"/>
            <w:vAlign w:val="bottom"/>
          </w:tcPr>
          <w:p>
            <w:pPr>
              <w:spacing w:after="0"/>
              <w:rPr>
                <w:sz w:val="17"/>
                <w:szCs w:val="17"/>
                <w:color w:val="auto"/>
              </w:rPr>
            </w:pPr>
          </w:p>
        </w:tc>
      </w:tr>
      <w:tr>
        <w:trPr>
          <w:trHeight w:val="203"/>
        </w:trPr>
        <w:tc>
          <w:tcPr>
            <w:tcW w:w="68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Long-term liabilities:</w:t>
            </w:r>
          </w:p>
        </w:tc>
        <w:tc>
          <w:tcPr>
            <w:tcW w:w="16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r>
      <w:tr>
        <w:trPr>
          <w:trHeight w:val="202"/>
        </w:trPr>
        <w:tc>
          <w:tcPr>
            <w:tcW w:w="6820" w:type="dxa"/>
            <w:vAlign w:val="bottom"/>
          </w:tcPr>
          <w:p>
            <w:pPr>
              <w:ind w:left="120"/>
              <w:spacing w:after="0" w:line="202" w:lineRule="exact"/>
              <w:rPr>
                <w:sz w:val="20"/>
                <w:szCs w:val="20"/>
                <w:color w:val="auto"/>
              </w:rPr>
            </w:pPr>
            <w:r>
              <w:rPr>
                <w:rFonts w:ascii="Arial" w:cs="Arial" w:eastAsia="Arial" w:hAnsi="Arial"/>
                <w:sz w:val="18"/>
                <w:szCs w:val="18"/>
                <w:color w:val="auto"/>
              </w:rPr>
              <w:t>Long-term operating leases, less current portion</w:t>
            </w:r>
          </w:p>
        </w:tc>
        <w:tc>
          <w:tcPr>
            <w:tcW w:w="160" w:type="dxa"/>
            <w:vAlign w:val="bottom"/>
          </w:tcPr>
          <w:p>
            <w:pPr>
              <w:spacing w:after="0"/>
              <w:rPr>
                <w:sz w:val="17"/>
                <w:szCs w:val="17"/>
                <w:color w:val="auto"/>
              </w:rPr>
            </w:pPr>
          </w:p>
        </w:tc>
        <w:tc>
          <w:tcPr>
            <w:tcW w:w="820" w:type="dxa"/>
            <w:vAlign w:val="bottom"/>
          </w:tcPr>
          <w:p>
            <w:pPr>
              <w:jc w:val="right"/>
              <w:ind w:right="31"/>
              <w:spacing w:after="0" w:line="202" w:lineRule="exact"/>
              <w:rPr>
                <w:sz w:val="20"/>
                <w:szCs w:val="20"/>
                <w:color w:val="auto"/>
              </w:rPr>
            </w:pPr>
            <w:r>
              <w:rPr>
                <w:rFonts w:ascii="Arial" w:cs="Arial" w:eastAsia="Arial" w:hAnsi="Arial"/>
                <w:sz w:val="18"/>
                <w:szCs w:val="18"/>
                <w:color w:val="auto"/>
              </w:rPr>
              <w:t>58,273</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w:t>
            </w:r>
          </w:p>
        </w:tc>
      </w:tr>
      <w:tr>
        <w:trPr>
          <w:trHeight w:val="203"/>
        </w:trPr>
        <w:tc>
          <w:tcPr>
            <w:tcW w:w="6820" w:type="dxa"/>
            <w:vAlign w:val="bottom"/>
            <w:shd w:val="clear" w:color="auto" w:fill="CCEEFF"/>
          </w:tcPr>
          <w:p>
            <w:pPr>
              <w:ind w:left="120"/>
              <w:spacing w:after="0" w:line="202" w:lineRule="exact"/>
              <w:rPr>
                <w:sz w:val="20"/>
                <w:szCs w:val="20"/>
                <w:color w:val="auto"/>
              </w:rPr>
            </w:pPr>
            <w:r>
              <w:rPr>
                <w:rFonts w:ascii="Arial" w:cs="Arial" w:eastAsia="Arial" w:hAnsi="Arial"/>
                <w:sz w:val="18"/>
                <w:szCs w:val="18"/>
                <w:color w:val="auto"/>
              </w:rPr>
              <w:t>Long-term obligations and finance leases, less current portion</w:t>
            </w:r>
          </w:p>
        </w:tc>
        <w:tc>
          <w:tcPr>
            <w:tcW w:w="160" w:type="dxa"/>
            <w:vAlign w:val="bottom"/>
            <w:shd w:val="clear" w:color="auto" w:fill="CCEEFF"/>
          </w:tcPr>
          <w:p>
            <w:pPr>
              <w:spacing w:after="0"/>
              <w:rPr>
                <w:sz w:val="17"/>
                <w:szCs w:val="17"/>
                <w:color w:val="auto"/>
              </w:rPr>
            </w:pPr>
          </w:p>
        </w:tc>
        <w:tc>
          <w:tcPr>
            <w:tcW w:w="820" w:type="dxa"/>
            <w:vAlign w:val="bottom"/>
            <w:shd w:val="clear" w:color="auto" w:fill="CCEEFF"/>
          </w:tcPr>
          <w:p>
            <w:pPr>
              <w:jc w:val="right"/>
              <w:ind w:right="31"/>
              <w:spacing w:after="0" w:line="202" w:lineRule="exact"/>
              <w:rPr>
                <w:sz w:val="20"/>
                <w:szCs w:val="20"/>
                <w:color w:val="auto"/>
              </w:rPr>
            </w:pPr>
            <w:r>
              <w:rPr>
                <w:rFonts w:ascii="Arial" w:cs="Arial" w:eastAsia="Arial" w:hAnsi="Arial"/>
                <w:sz w:val="18"/>
                <w:szCs w:val="18"/>
                <w:color w:val="auto"/>
              </w:rPr>
              <w:t>5,716</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jc w:val="right"/>
              <w:ind w:right="11"/>
              <w:spacing w:after="0" w:line="202" w:lineRule="exact"/>
              <w:rPr>
                <w:sz w:val="20"/>
                <w:szCs w:val="20"/>
                <w:color w:val="auto"/>
              </w:rPr>
            </w:pPr>
            <w:r>
              <w:rPr>
                <w:rFonts w:ascii="Arial" w:cs="Arial" w:eastAsia="Arial" w:hAnsi="Arial"/>
                <w:sz w:val="18"/>
                <w:szCs w:val="18"/>
                <w:color w:val="auto"/>
              </w:rPr>
              <w:t>5,412</w:t>
            </w:r>
          </w:p>
        </w:tc>
        <w:tc>
          <w:tcPr>
            <w:tcW w:w="60" w:type="dxa"/>
            <w:vAlign w:val="bottom"/>
            <w:shd w:val="clear" w:color="auto" w:fill="CCEEFF"/>
          </w:tcPr>
          <w:p>
            <w:pPr>
              <w:spacing w:after="0"/>
              <w:rPr>
                <w:sz w:val="17"/>
                <w:szCs w:val="17"/>
                <w:color w:val="auto"/>
              </w:rPr>
            </w:pPr>
          </w:p>
        </w:tc>
      </w:tr>
      <w:tr>
        <w:trPr>
          <w:trHeight w:val="203"/>
        </w:trPr>
        <w:tc>
          <w:tcPr>
            <w:tcW w:w="6820" w:type="dxa"/>
            <w:vAlign w:val="bottom"/>
          </w:tcPr>
          <w:p>
            <w:pPr>
              <w:ind w:left="120"/>
              <w:spacing w:after="0" w:line="202" w:lineRule="exact"/>
              <w:rPr>
                <w:sz w:val="20"/>
                <w:szCs w:val="20"/>
                <w:color w:val="auto"/>
              </w:rPr>
            </w:pPr>
            <w:r>
              <w:rPr>
                <w:rFonts w:ascii="Arial" w:cs="Arial" w:eastAsia="Arial" w:hAnsi="Arial"/>
                <w:sz w:val="18"/>
                <w:szCs w:val="18"/>
                <w:color w:val="auto"/>
              </w:rPr>
              <w:t>Deferred rent</w:t>
            </w:r>
          </w:p>
        </w:tc>
        <w:tc>
          <w:tcPr>
            <w:tcW w:w="160" w:type="dxa"/>
            <w:vAlign w:val="bottom"/>
          </w:tcPr>
          <w:p>
            <w:pPr>
              <w:spacing w:after="0"/>
              <w:rPr>
                <w:sz w:val="17"/>
                <w:szCs w:val="17"/>
                <w:color w:val="auto"/>
              </w:rPr>
            </w:pPr>
          </w:p>
        </w:tc>
        <w:tc>
          <w:tcPr>
            <w:tcW w:w="82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jc w:val="right"/>
              <w:ind w:right="11"/>
              <w:spacing w:after="0" w:line="202" w:lineRule="exact"/>
              <w:rPr>
                <w:sz w:val="20"/>
                <w:szCs w:val="20"/>
                <w:color w:val="auto"/>
              </w:rPr>
            </w:pPr>
            <w:r>
              <w:rPr>
                <w:rFonts w:ascii="Arial" w:cs="Arial" w:eastAsia="Arial" w:hAnsi="Arial"/>
                <w:sz w:val="18"/>
                <w:szCs w:val="18"/>
                <w:color w:val="auto"/>
              </w:rPr>
              <w:t>3,681</w:t>
            </w:r>
          </w:p>
        </w:tc>
        <w:tc>
          <w:tcPr>
            <w:tcW w:w="60" w:type="dxa"/>
            <w:vAlign w:val="bottom"/>
          </w:tcPr>
          <w:p>
            <w:pPr>
              <w:spacing w:after="0"/>
              <w:rPr>
                <w:sz w:val="17"/>
                <w:szCs w:val="17"/>
                <w:color w:val="auto"/>
              </w:rPr>
            </w:pPr>
          </w:p>
        </w:tc>
      </w:tr>
      <w:tr>
        <w:trPr>
          <w:trHeight w:val="203"/>
        </w:trPr>
        <w:tc>
          <w:tcPr>
            <w:tcW w:w="6820" w:type="dxa"/>
            <w:vAlign w:val="bottom"/>
            <w:shd w:val="clear" w:color="auto" w:fill="CCEEFF"/>
          </w:tcPr>
          <w:p>
            <w:pPr>
              <w:ind w:left="120"/>
              <w:spacing w:after="0" w:line="202" w:lineRule="exact"/>
              <w:rPr>
                <w:sz w:val="20"/>
                <w:szCs w:val="20"/>
                <w:color w:val="auto"/>
              </w:rPr>
            </w:pPr>
            <w:r>
              <w:rPr>
                <w:rFonts w:ascii="Arial" w:cs="Arial" w:eastAsia="Arial" w:hAnsi="Arial"/>
                <w:sz w:val="18"/>
                <w:szCs w:val="18"/>
                <w:color w:val="auto"/>
              </w:rPr>
              <w:t>Other long-term liabilities</w:t>
            </w:r>
          </w:p>
        </w:tc>
        <w:tc>
          <w:tcPr>
            <w:tcW w:w="16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jc w:val="right"/>
              <w:ind w:right="31"/>
              <w:spacing w:after="0" w:line="202" w:lineRule="exact"/>
              <w:rPr>
                <w:sz w:val="20"/>
                <w:szCs w:val="20"/>
                <w:color w:val="auto"/>
              </w:rPr>
            </w:pPr>
            <w:r>
              <w:rPr>
                <w:rFonts w:ascii="Arial" w:cs="Arial" w:eastAsia="Arial" w:hAnsi="Arial"/>
                <w:sz w:val="18"/>
                <w:szCs w:val="18"/>
                <w:color w:val="auto"/>
              </w:rPr>
              <w:t>3,302</w:t>
            </w:r>
          </w:p>
        </w:tc>
        <w:tc>
          <w:tcPr>
            <w:tcW w:w="16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780" w:type="dxa"/>
            <w:vAlign w:val="bottom"/>
            <w:tcBorders>
              <w:bottom w:val="single" w:sz="8" w:color="auto"/>
            </w:tcBorders>
            <w:shd w:val="clear" w:color="auto" w:fill="CCEEFF"/>
          </w:tcPr>
          <w:p>
            <w:pPr>
              <w:jc w:val="right"/>
              <w:ind w:right="11"/>
              <w:spacing w:after="0" w:line="202" w:lineRule="exact"/>
              <w:rPr>
                <w:sz w:val="20"/>
                <w:szCs w:val="20"/>
                <w:color w:val="auto"/>
              </w:rPr>
            </w:pPr>
            <w:r>
              <w:rPr>
                <w:rFonts w:ascii="Arial" w:cs="Arial" w:eastAsia="Arial" w:hAnsi="Arial"/>
                <w:sz w:val="18"/>
                <w:szCs w:val="18"/>
                <w:color w:val="auto"/>
              </w:rPr>
              <w:t>4,769</w:t>
            </w:r>
          </w:p>
        </w:tc>
        <w:tc>
          <w:tcPr>
            <w:tcW w:w="60" w:type="dxa"/>
            <w:vAlign w:val="bottom"/>
            <w:shd w:val="clear" w:color="auto" w:fill="CCEEFF"/>
          </w:tcPr>
          <w:p>
            <w:pPr>
              <w:spacing w:after="0"/>
              <w:rPr>
                <w:sz w:val="17"/>
                <w:szCs w:val="17"/>
                <w:color w:val="auto"/>
              </w:rPr>
            </w:pPr>
          </w:p>
        </w:tc>
      </w:tr>
      <w:tr>
        <w:trPr>
          <w:trHeight w:val="196"/>
        </w:trPr>
        <w:tc>
          <w:tcPr>
            <w:tcW w:w="6820" w:type="dxa"/>
            <w:vAlign w:val="bottom"/>
          </w:tcPr>
          <w:p>
            <w:pPr>
              <w:ind w:left="260"/>
              <w:spacing w:after="0" w:line="196" w:lineRule="exact"/>
              <w:rPr>
                <w:sz w:val="20"/>
                <w:szCs w:val="20"/>
                <w:color w:val="auto"/>
              </w:rPr>
            </w:pPr>
            <w:r>
              <w:rPr>
                <w:rFonts w:ascii="Arial" w:cs="Arial" w:eastAsia="Arial" w:hAnsi="Arial"/>
                <w:sz w:val="18"/>
                <w:szCs w:val="18"/>
                <w:color w:val="auto"/>
              </w:rPr>
              <w:t>Total long-term liabilities</w:t>
            </w:r>
          </w:p>
        </w:tc>
        <w:tc>
          <w:tcPr>
            <w:tcW w:w="160" w:type="dxa"/>
            <w:vAlign w:val="bottom"/>
          </w:tcPr>
          <w:p>
            <w:pPr>
              <w:spacing w:after="0"/>
              <w:rPr>
                <w:sz w:val="17"/>
                <w:szCs w:val="17"/>
                <w:color w:val="auto"/>
              </w:rPr>
            </w:pPr>
          </w:p>
        </w:tc>
        <w:tc>
          <w:tcPr>
            <w:tcW w:w="820" w:type="dxa"/>
            <w:vAlign w:val="bottom"/>
          </w:tcPr>
          <w:p>
            <w:pPr>
              <w:jc w:val="right"/>
              <w:ind w:right="31"/>
              <w:spacing w:after="0" w:line="196" w:lineRule="exact"/>
              <w:rPr>
                <w:sz w:val="20"/>
                <w:szCs w:val="20"/>
                <w:color w:val="auto"/>
              </w:rPr>
            </w:pPr>
            <w:r>
              <w:rPr>
                <w:rFonts w:ascii="Arial" w:cs="Arial" w:eastAsia="Arial" w:hAnsi="Arial"/>
                <w:sz w:val="18"/>
                <w:szCs w:val="18"/>
                <w:color w:val="auto"/>
              </w:rPr>
              <w:t>67,291</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jc w:val="right"/>
              <w:ind w:right="11"/>
              <w:spacing w:after="0" w:line="196" w:lineRule="exact"/>
              <w:rPr>
                <w:sz w:val="20"/>
                <w:szCs w:val="20"/>
                <w:color w:val="auto"/>
              </w:rPr>
            </w:pPr>
            <w:r>
              <w:rPr>
                <w:rFonts w:ascii="Arial" w:cs="Arial" w:eastAsia="Arial" w:hAnsi="Arial"/>
                <w:sz w:val="18"/>
                <w:szCs w:val="18"/>
                <w:color w:val="auto"/>
              </w:rPr>
              <w:t>13,862</w:t>
            </w:r>
          </w:p>
        </w:tc>
        <w:tc>
          <w:tcPr>
            <w:tcW w:w="60" w:type="dxa"/>
            <w:vAlign w:val="bottom"/>
          </w:tcPr>
          <w:p>
            <w:pPr>
              <w:spacing w:after="0"/>
              <w:rPr>
                <w:sz w:val="17"/>
                <w:szCs w:val="17"/>
                <w:color w:val="auto"/>
              </w:rPr>
            </w:pPr>
          </w:p>
        </w:tc>
      </w:tr>
      <w:tr>
        <w:trPr>
          <w:trHeight w:val="203"/>
        </w:trPr>
        <w:tc>
          <w:tcPr>
            <w:tcW w:w="68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Commitments and contingencies</w:t>
            </w:r>
          </w:p>
        </w:tc>
        <w:tc>
          <w:tcPr>
            <w:tcW w:w="16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r>
      <w:tr>
        <w:trPr>
          <w:trHeight w:val="203"/>
        </w:trPr>
        <w:tc>
          <w:tcPr>
            <w:tcW w:w="6820" w:type="dxa"/>
            <w:vAlign w:val="bottom"/>
            <w:tcBorders>
              <w:bottom w:val="single" w:sz="8" w:color="CCEEFF"/>
            </w:tcBorders>
          </w:tcPr>
          <w:p>
            <w:pPr>
              <w:spacing w:after="0" w:line="202" w:lineRule="exact"/>
              <w:rPr>
                <w:sz w:val="20"/>
                <w:szCs w:val="20"/>
                <w:color w:val="auto"/>
              </w:rPr>
            </w:pPr>
            <w:r>
              <w:rPr>
                <w:rFonts w:ascii="Arial" w:cs="Arial" w:eastAsia="Arial" w:hAnsi="Arial"/>
                <w:sz w:val="18"/>
                <w:szCs w:val="18"/>
                <w:color w:val="auto"/>
              </w:rPr>
              <w:t>Total shareholders’ equity</w:t>
            </w:r>
          </w:p>
        </w:tc>
        <w:tc>
          <w:tcPr>
            <w:tcW w:w="16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ind w:right="31"/>
              <w:spacing w:after="0" w:line="202" w:lineRule="exact"/>
              <w:rPr>
                <w:sz w:val="20"/>
                <w:szCs w:val="20"/>
                <w:color w:val="auto"/>
              </w:rPr>
            </w:pPr>
            <w:r>
              <w:rPr>
                <w:rFonts w:ascii="Arial" w:cs="Arial" w:eastAsia="Arial" w:hAnsi="Arial"/>
                <w:sz w:val="18"/>
                <w:szCs w:val="18"/>
                <w:color w:val="auto"/>
              </w:rPr>
              <w:t>256,002</w:t>
            </w:r>
          </w:p>
        </w:tc>
        <w:tc>
          <w:tcPr>
            <w:tcW w:w="16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11"/>
              <w:spacing w:after="0" w:line="202" w:lineRule="exact"/>
              <w:rPr>
                <w:sz w:val="20"/>
                <w:szCs w:val="20"/>
                <w:color w:val="auto"/>
              </w:rPr>
            </w:pPr>
            <w:r>
              <w:rPr>
                <w:rFonts w:ascii="Arial" w:cs="Arial" w:eastAsia="Arial" w:hAnsi="Arial"/>
                <w:sz w:val="18"/>
                <w:szCs w:val="18"/>
                <w:color w:val="auto"/>
              </w:rPr>
              <w:t>285,869</w:t>
            </w:r>
          </w:p>
        </w:tc>
        <w:tc>
          <w:tcPr>
            <w:tcW w:w="60" w:type="dxa"/>
            <w:vAlign w:val="bottom"/>
            <w:tcBorders>
              <w:bottom w:val="single" w:sz="8" w:color="CCEEFF"/>
            </w:tcBorders>
          </w:tcPr>
          <w:p>
            <w:pPr>
              <w:spacing w:after="0"/>
              <w:rPr>
                <w:sz w:val="17"/>
                <w:szCs w:val="17"/>
                <w:color w:val="auto"/>
              </w:rPr>
            </w:pPr>
          </w:p>
        </w:tc>
      </w:tr>
      <w:tr>
        <w:trPr>
          <w:trHeight w:val="196"/>
        </w:trPr>
        <w:tc>
          <w:tcPr>
            <w:tcW w:w="682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shd w:val="clear" w:color="auto" w:fill="CCEEFF"/>
          </w:tcPr>
          <w:p>
            <w:pPr>
              <w:jc w:val="right"/>
              <w:ind w:right="31"/>
              <w:spacing w:after="0" w:line="196" w:lineRule="exact"/>
              <w:rPr>
                <w:sz w:val="20"/>
                <w:szCs w:val="20"/>
                <w:color w:val="auto"/>
              </w:rPr>
            </w:pPr>
            <w:r>
              <w:rPr>
                <w:rFonts w:ascii="Arial" w:cs="Arial" w:eastAsia="Arial" w:hAnsi="Arial"/>
                <w:sz w:val="18"/>
                <w:szCs w:val="18"/>
                <w:color w:val="auto"/>
              </w:rPr>
              <w:t>429,624</w:t>
            </w:r>
          </w:p>
        </w:tc>
        <w:tc>
          <w:tcPr>
            <w:tcW w:w="16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bottom w:val="single" w:sz="8" w:color="auto"/>
            </w:tcBorders>
            <w:shd w:val="clear" w:color="auto" w:fill="CCEEFF"/>
          </w:tcPr>
          <w:p>
            <w:pPr>
              <w:jc w:val="right"/>
              <w:ind w:right="11"/>
              <w:spacing w:after="0" w:line="196" w:lineRule="exact"/>
              <w:rPr>
                <w:sz w:val="20"/>
                <w:szCs w:val="20"/>
                <w:color w:val="auto"/>
              </w:rPr>
            </w:pPr>
            <w:r>
              <w:rPr>
                <w:rFonts w:ascii="Arial" w:cs="Arial" w:eastAsia="Arial" w:hAnsi="Arial"/>
                <w:sz w:val="18"/>
                <w:szCs w:val="18"/>
                <w:color w:val="auto"/>
              </w:rPr>
              <w:t>390,360</w:t>
            </w:r>
          </w:p>
        </w:tc>
        <w:tc>
          <w:tcPr>
            <w:tcW w:w="60" w:type="dxa"/>
            <w:vAlign w:val="bottom"/>
            <w:tcBorders>
              <w:bottom w:val="single" w:sz="8" w:color="CCEEFF"/>
            </w:tcBorders>
            <w:shd w:val="clear" w:color="auto" w:fill="CCEEFF"/>
          </w:tcPr>
          <w:p>
            <w:pPr>
              <w:spacing w:after="0"/>
              <w:rPr>
                <w:sz w:val="17"/>
                <w:szCs w:val="17"/>
                <w:color w:val="auto"/>
              </w:rPr>
            </w:pPr>
          </w:p>
        </w:tc>
      </w:tr>
      <w:tr>
        <w:trPr>
          <w:trHeight w:val="20"/>
        </w:trPr>
        <w:tc>
          <w:tcPr>
            <w:tcW w:w="68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61" w:lineRule="exact"/>
        <w:rPr>
          <w:sz w:val="20"/>
          <w:szCs w:val="20"/>
          <w:color w:val="auto"/>
        </w:rPr>
      </w:pPr>
    </w:p>
    <w:p>
      <w:pPr>
        <w:ind w:left="60" w:right="319"/>
        <w:spacing w:after="0" w:line="257" w:lineRule="auto"/>
        <w:rPr>
          <w:sz w:val="20"/>
          <w:szCs w:val="20"/>
          <w:color w:val="auto"/>
        </w:rPr>
      </w:pPr>
      <w:r>
        <w:rPr>
          <w:rFonts w:ascii="Arial" w:cs="Arial" w:eastAsia="Arial" w:hAnsi="Arial"/>
          <w:sz w:val="14"/>
          <w:szCs w:val="14"/>
          <w:color w:val="auto"/>
        </w:rPr>
        <w:t>N</w:t>
      </w:r>
      <w:r>
        <w:rPr>
          <w:rFonts w:ascii="Arial" w:cs="Arial" w:eastAsia="Arial" w:hAnsi="Arial"/>
          <w:sz w:val="17"/>
          <w:szCs w:val="17"/>
          <w:color w:val="auto"/>
        </w:rPr>
        <w:t>ote: Beginning on November 1, 2019 we adopted ASU 842, Leases. Under this new standard both finance</w:t>
      </w:r>
      <w:r>
        <w:rPr>
          <w:rFonts w:ascii="Arial" w:cs="Arial" w:eastAsia="Arial" w:hAnsi="Arial"/>
          <w:sz w:val="14"/>
          <w:szCs w:val="14"/>
          <w:color w:val="auto"/>
        </w:rPr>
        <w:t xml:space="preserve"> </w:t>
      </w:r>
      <w:r>
        <w:rPr>
          <w:rFonts w:ascii="Arial" w:cs="Arial" w:eastAsia="Arial" w:hAnsi="Arial"/>
          <w:sz w:val="17"/>
          <w:szCs w:val="17"/>
          <w:color w:val="auto"/>
        </w:rPr>
        <w:t>leases and operating leases result in the lessee recognizing a right of use asset and a corresponding lease liability on the balance sheet. Previously, operating leases were expensed through the income statement and did not require recognition of a right-of-use asset or corresponding liability on the balance sheet.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857885</wp:posOffset>
            </wp:positionV>
            <wp:extent cx="5657850" cy="2540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661" w:right="1440" w:bottom="1440" w:gutter="0" w:footer="0" w:header="0"/>
        </w:sectPr>
      </w:pPr>
    </w:p>
    <w:bookmarkStart w:id="11" w:name="page12"/>
    <w:bookmarkEnd w:id="11"/>
    <w:p>
      <w:pPr>
        <w:ind w:left="60"/>
        <w:spacing w:after="0"/>
        <w:rPr>
          <w:sz w:val="20"/>
          <w:szCs w:val="20"/>
          <w:color w:val="auto"/>
        </w:rPr>
      </w:pPr>
      <w:r>
        <w:rPr>
          <w:rFonts w:ascii="Arial" w:cs="Arial" w:eastAsia="Arial" w:hAnsi="Arial"/>
          <w:sz w:val="18"/>
          <w:szCs w:val="18"/>
          <w:i w:val="1"/>
          <w:iCs w:val="1"/>
          <w:color w:val="auto"/>
        </w:rPr>
        <w:t>Calavo Growers, Inc.</w:t>
      </w:r>
    </w:p>
    <w:p>
      <w:pPr>
        <w:spacing w:after="0" w:line="14"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page 9 of 14</w:t>
      </w:r>
    </w:p>
    <w:p>
      <w:pPr>
        <w:spacing w:after="0" w:line="17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CALAVO GROWERS, INC.</w:t>
      </w:r>
    </w:p>
    <w:p>
      <w:pPr>
        <w:spacing w:after="0" w:line="21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CONSOLIDATED CONDENSED STATEMENTS OF OPERATIONS (UNAUDITED)</w:t>
      </w:r>
    </w:p>
    <w:p>
      <w:pPr>
        <w:spacing w:after="0" w:line="1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 except per share amounts)</w:t>
      </w:r>
    </w:p>
    <w:p>
      <w:pPr>
        <w:spacing w:after="0" w:line="253" w:lineRule="exact"/>
        <w:rPr>
          <w:sz w:val="20"/>
          <w:szCs w:val="20"/>
          <w:color w:val="auto"/>
        </w:rPr>
      </w:pPr>
    </w:p>
    <w:tbl>
      <w:tblPr>
        <w:tblLayout w:type="fixed"/>
        <w:tblInd w:w="40" w:type="dxa"/>
        <w:tblCellMar>
          <w:top w:w="0" w:type="dxa"/>
          <w:left w:w="0" w:type="dxa"/>
          <w:bottom w:w="0" w:type="dxa"/>
          <w:right w:w="0" w:type="dxa"/>
        </w:tblCellMar>
      </w:tblPr>
      <w:tr>
        <w:trPr>
          <w:trHeight w:val="190"/>
        </w:trPr>
        <w:tc>
          <w:tcPr>
            <w:tcW w:w="20" w:type="dxa"/>
            <w:vAlign w:val="bottom"/>
          </w:tcPr>
          <w:p>
            <w:pPr>
              <w:spacing w:after="0"/>
              <w:rPr>
                <w:sz w:val="16"/>
                <w:szCs w:val="16"/>
                <w:color w:val="auto"/>
              </w:rPr>
            </w:pPr>
          </w:p>
        </w:tc>
        <w:tc>
          <w:tcPr>
            <w:tcW w:w="42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40" w:type="dxa"/>
            <w:vAlign w:val="bottom"/>
            <w:gridSpan w:val="5"/>
          </w:tcPr>
          <w:p>
            <w:pPr>
              <w:jc w:val="right"/>
              <w:ind w:right="500"/>
              <w:spacing w:after="0"/>
              <w:rPr>
                <w:sz w:val="20"/>
                <w:szCs w:val="20"/>
                <w:color w:val="auto"/>
              </w:rPr>
            </w:pPr>
            <w:r>
              <w:rPr>
                <w:rFonts w:ascii="Arial" w:cs="Arial" w:eastAsia="Arial" w:hAnsi="Arial"/>
                <w:sz w:val="14"/>
                <w:szCs w:val="14"/>
                <w:b w:val="1"/>
                <w:bCs w:val="1"/>
                <w:color w:val="auto"/>
              </w:rPr>
              <w:t>Three months ended</w:t>
            </w:r>
          </w:p>
        </w:tc>
        <w:tc>
          <w:tcPr>
            <w:tcW w:w="260" w:type="dxa"/>
            <w:vAlign w:val="bottom"/>
          </w:tcPr>
          <w:p>
            <w:pPr>
              <w:spacing w:after="0"/>
              <w:rPr>
                <w:sz w:val="16"/>
                <w:szCs w:val="16"/>
                <w:color w:val="auto"/>
              </w:rPr>
            </w:pPr>
          </w:p>
        </w:tc>
        <w:tc>
          <w:tcPr>
            <w:tcW w:w="2180" w:type="dxa"/>
            <w:vAlign w:val="bottom"/>
            <w:gridSpan w:val="5"/>
          </w:tcPr>
          <w:p>
            <w:pPr>
              <w:ind w:left="540"/>
              <w:spacing w:after="0"/>
              <w:rPr>
                <w:sz w:val="20"/>
                <w:szCs w:val="20"/>
                <w:color w:val="auto"/>
              </w:rPr>
            </w:pPr>
            <w:r>
              <w:rPr>
                <w:rFonts w:ascii="Arial" w:cs="Arial" w:eastAsia="Arial" w:hAnsi="Arial"/>
                <w:sz w:val="14"/>
                <w:szCs w:val="14"/>
                <w:b w:val="1"/>
                <w:bCs w:val="1"/>
                <w:color w:val="auto"/>
              </w:rPr>
              <w:t>Year ended</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42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40" w:type="dxa"/>
            <w:vAlign w:val="bottom"/>
            <w:gridSpan w:val="5"/>
          </w:tcPr>
          <w:p>
            <w:pPr>
              <w:jc w:val="right"/>
              <w:ind w:right="820"/>
              <w:spacing w:after="0"/>
              <w:rPr>
                <w:sz w:val="20"/>
                <w:szCs w:val="20"/>
                <w:color w:val="auto"/>
              </w:rPr>
            </w:pPr>
            <w:r>
              <w:rPr>
                <w:rFonts w:ascii="Arial" w:cs="Arial" w:eastAsia="Arial" w:hAnsi="Arial"/>
                <w:sz w:val="14"/>
                <w:szCs w:val="14"/>
                <w:b w:val="1"/>
                <w:bCs w:val="1"/>
                <w:color w:val="auto"/>
              </w:rPr>
              <w:t>October 31,</w:t>
            </w:r>
          </w:p>
        </w:tc>
        <w:tc>
          <w:tcPr>
            <w:tcW w:w="260" w:type="dxa"/>
            <w:vAlign w:val="bottom"/>
          </w:tcPr>
          <w:p>
            <w:pPr>
              <w:spacing w:after="0"/>
              <w:rPr>
                <w:sz w:val="16"/>
                <w:szCs w:val="16"/>
                <w:color w:val="auto"/>
              </w:rPr>
            </w:pPr>
          </w:p>
        </w:tc>
        <w:tc>
          <w:tcPr>
            <w:tcW w:w="2180" w:type="dxa"/>
            <w:vAlign w:val="bottom"/>
            <w:gridSpan w:val="5"/>
          </w:tcPr>
          <w:p>
            <w:pPr>
              <w:ind w:left="540"/>
              <w:spacing w:after="0"/>
              <w:rPr>
                <w:sz w:val="20"/>
                <w:szCs w:val="20"/>
                <w:color w:val="auto"/>
              </w:rPr>
            </w:pPr>
            <w:r>
              <w:rPr>
                <w:rFonts w:ascii="Arial" w:cs="Arial" w:eastAsia="Arial" w:hAnsi="Arial"/>
                <w:sz w:val="14"/>
                <w:szCs w:val="14"/>
                <w:b w:val="1"/>
                <w:bCs w:val="1"/>
                <w:color w:val="auto"/>
              </w:rPr>
              <w:t>October 31,</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200" w:type="dxa"/>
            <w:vAlign w:val="bottom"/>
          </w:tcPr>
          <w:p>
            <w:pPr>
              <w:spacing w:after="0"/>
              <w:rPr>
                <w:sz w:val="17"/>
                <w:szCs w:val="17"/>
                <w:color w:val="auto"/>
              </w:rPr>
            </w:pPr>
          </w:p>
        </w:tc>
        <w:tc>
          <w:tcPr>
            <w:tcW w:w="220" w:type="dxa"/>
            <w:vAlign w:val="bottom"/>
            <w:tcBorders>
              <w:top w:val="single" w:sz="8" w:color="auto"/>
              <w:bottom w:val="single" w:sz="8" w:color="auto"/>
            </w:tcBorders>
          </w:tcPr>
          <w:p>
            <w:pPr>
              <w:spacing w:after="0"/>
              <w:rPr>
                <w:sz w:val="17"/>
                <w:szCs w:val="17"/>
                <w:color w:val="auto"/>
              </w:rPr>
            </w:pPr>
          </w:p>
        </w:tc>
        <w:tc>
          <w:tcPr>
            <w:tcW w:w="900" w:type="dxa"/>
            <w:vAlign w:val="bottom"/>
            <w:tcBorders>
              <w:top w:val="single" w:sz="8" w:color="auto"/>
              <w:bottom w:val="single" w:sz="8" w:color="auto"/>
            </w:tcBorders>
          </w:tcPr>
          <w:p>
            <w:pPr>
              <w:jc w:val="right"/>
              <w:ind w:right="332"/>
              <w:spacing w:after="0"/>
              <w:rPr>
                <w:sz w:val="20"/>
                <w:szCs w:val="20"/>
                <w:color w:val="auto"/>
              </w:rPr>
            </w:pPr>
            <w:r>
              <w:rPr>
                <w:rFonts w:ascii="Arial" w:cs="Arial" w:eastAsia="Arial" w:hAnsi="Arial"/>
                <w:sz w:val="14"/>
                <w:szCs w:val="14"/>
                <w:b w:val="1"/>
                <w:bCs w:val="1"/>
                <w:color w:val="auto"/>
              </w:rPr>
              <w:t>2020</w:t>
            </w:r>
          </w:p>
        </w:tc>
        <w:tc>
          <w:tcPr>
            <w:tcW w:w="160" w:type="dxa"/>
            <w:vAlign w:val="bottom"/>
            <w:tcBorders>
              <w:top w:val="single" w:sz="8" w:color="auto"/>
            </w:tcBorders>
          </w:tcPr>
          <w:p>
            <w:pPr>
              <w:spacing w:after="0"/>
              <w:rPr>
                <w:sz w:val="17"/>
                <w:szCs w:val="17"/>
                <w:color w:val="auto"/>
              </w:rPr>
            </w:pPr>
          </w:p>
        </w:tc>
        <w:tc>
          <w:tcPr>
            <w:tcW w:w="120" w:type="dxa"/>
            <w:vAlign w:val="bottom"/>
            <w:tcBorders>
              <w:top w:val="single" w:sz="8" w:color="auto"/>
              <w:bottom w:val="single" w:sz="8" w:color="auto"/>
            </w:tcBorders>
          </w:tcPr>
          <w:p>
            <w:pPr>
              <w:spacing w:after="0"/>
              <w:rPr>
                <w:sz w:val="17"/>
                <w:szCs w:val="17"/>
                <w:color w:val="auto"/>
              </w:rPr>
            </w:pPr>
          </w:p>
        </w:tc>
        <w:tc>
          <w:tcPr>
            <w:tcW w:w="700" w:type="dxa"/>
            <w:vAlign w:val="bottom"/>
            <w:tcBorders>
              <w:top w:val="single" w:sz="8" w:color="auto"/>
              <w:bottom w:val="single" w:sz="8" w:color="auto"/>
            </w:tcBorders>
          </w:tcPr>
          <w:p>
            <w:pPr>
              <w:jc w:val="right"/>
              <w:ind w:right="191"/>
              <w:spacing w:after="0"/>
              <w:rPr>
                <w:sz w:val="20"/>
                <w:szCs w:val="20"/>
                <w:color w:val="auto"/>
              </w:rPr>
            </w:pPr>
            <w:r>
              <w:rPr>
                <w:rFonts w:ascii="Arial" w:cs="Arial" w:eastAsia="Arial" w:hAnsi="Arial"/>
                <w:sz w:val="14"/>
                <w:szCs w:val="14"/>
                <w:b w:val="1"/>
                <w:bCs w:val="1"/>
                <w:color w:val="auto"/>
              </w:rPr>
              <w:t>2019</w:t>
            </w:r>
          </w:p>
        </w:tc>
        <w:tc>
          <w:tcPr>
            <w:tcW w:w="160" w:type="dxa"/>
            <w:vAlign w:val="bottom"/>
          </w:tcPr>
          <w:p>
            <w:pPr>
              <w:spacing w:after="0"/>
              <w:rPr>
                <w:sz w:val="17"/>
                <w:szCs w:val="17"/>
                <w:color w:val="auto"/>
              </w:rPr>
            </w:pPr>
          </w:p>
        </w:tc>
        <w:tc>
          <w:tcPr>
            <w:tcW w:w="260" w:type="dxa"/>
            <w:vAlign w:val="bottom"/>
            <w:tcBorders>
              <w:top w:val="single" w:sz="8" w:color="auto"/>
              <w:bottom w:val="single" w:sz="8" w:color="auto"/>
            </w:tcBorders>
          </w:tcPr>
          <w:p>
            <w:pPr>
              <w:spacing w:after="0"/>
              <w:rPr>
                <w:sz w:val="17"/>
                <w:szCs w:val="17"/>
                <w:color w:val="auto"/>
              </w:rPr>
            </w:pPr>
          </w:p>
        </w:tc>
        <w:tc>
          <w:tcPr>
            <w:tcW w:w="1000" w:type="dxa"/>
            <w:vAlign w:val="bottom"/>
            <w:tcBorders>
              <w:top w:val="single" w:sz="8" w:color="auto"/>
              <w:bottom w:val="single" w:sz="8" w:color="auto"/>
            </w:tcBorders>
          </w:tcPr>
          <w:p>
            <w:pPr>
              <w:jc w:val="right"/>
              <w:ind w:right="412"/>
              <w:spacing w:after="0"/>
              <w:rPr>
                <w:sz w:val="20"/>
                <w:szCs w:val="20"/>
                <w:color w:val="auto"/>
              </w:rPr>
            </w:pPr>
            <w:r>
              <w:rPr>
                <w:rFonts w:ascii="Arial" w:cs="Arial" w:eastAsia="Arial" w:hAnsi="Arial"/>
                <w:sz w:val="14"/>
                <w:szCs w:val="14"/>
                <w:b w:val="1"/>
                <w:bCs w:val="1"/>
                <w:color w:val="auto"/>
              </w:rPr>
              <w:t>2020</w:t>
            </w:r>
          </w:p>
        </w:tc>
        <w:tc>
          <w:tcPr>
            <w:tcW w:w="160" w:type="dxa"/>
            <w:vAlign w:val="bottom"/>
            <w:tcBorders>
              <w:top w:val="single" w:sz="8" w:color="auto"/>
            </w:tcBorders>
          </w:tcPr>
          <w:p>
            <w:pPr>
              <w:spacing w:after="0"/>
              <w:rPr>
                <w:sz w:val="17"/>
                <w:szCs w:val="17"/>
                <w:color w:val="auto"/>
              </w:rPr>
            </w:pPr>
          </w:p>
        </w:tc>
        <w:tc>
          <w:tcPr>
            <w:tcW w:w="100" w:type="dxa"/>
            <w:vAlign w:val="bottom"/>
            <w:tcBorders>
              <w:top w:val="single" w:sz="8" w:color="auto"/>
              <w:bottom w:val="single" w:sz="8" w:color="auto"/>
            </w:tcBorders>
          </w:tcPr>
          <w:p>
            <w:pPr>
              <w:spacing w:after="0"/>
              <w:rPr>
                <w:sz w:val="17"/>
                <w:szCs w:val="17"/>
                <w:color w:val="auto"/>
              </w:rPr>
            </w:pPr>
          </w:p>
        </w:tc>
        <w:tc>
          <w:tcPr>
            <w:tcW w:w="860" w:type="dxa"/>
            <w:vAlign w:val="bottom"/>
            <w:tcBorders>
              <w:top w:val="single" w:sz="8" w:color="auto"/>
              <w:bottom w:val="single" w:sz="8" w:color="auto"/>
            </w:tcBorders>
          </w:tcPr>
          <w:p>
            <w:pPr>
              <w:jc w:val="right"/>
              <w:ind w:right="251"/>
              <w:spacing w:after="0"/>
              <w:rPr>
                <w:sz w:val="20"/>
                <w:szCs w:val="20"/>
                <w:color w:val="auto"/>
              </w:rPr>
            </w:pPr>
            <w:r>
              <w:rPr>
                <w:rFonts w:ascii="Arial" w:cs="Arial" w:eastAsia="Arial" w:hAnsi="Arial"/>
                <w:sz w:val="14"/>
                <w:szCs w:val="14"/>
                <w:b w:val="1"/>
                <w:bCs w:val="1"/>
                <w:color w:val="auto"/>
              </w:rPr>
              <w:t>2019</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vMerge w:val="restart"/>
          </w:tcPr>
          <w:p>
            <w:pPr>
              <w:spacing w:after="0"/>
              <w:rPr>
                <w:sz w:val="17"/>
                <w:szCs w:val="17"/>
                <w:color w:val="auto"/>
              </w:rPr>
            </w:pPr>
          </w:p>
        </w:tc>
        <w:tc>
          <w:tcPr>
            <w:tcW w:w="4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42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Net sales</w:t>
            </w:r>
          </w:p>
        </w:tc>
        <w:tc>
          <w:tcPr>
            <w:tcW w:w="220" w:type="dxa"/>
            <w:vAlign w:val="bottom"/>
            <w:shd w:val="clear" w:color="auto" w:fill="CCEEFF"/>
          </w:tcPr>
          <w:p>
            <w:pPr>
              <w:jc w:val="right"/>
              <w:ind w:right="30"/>
              <w:spacing w:after="0" w:line="202" w:lineRule="exact"/>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234,430</w:t>
            </w: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95"/>
              </w:rPr>
              <w:t>292,175</w:t>
            </w:r>
          </w:p>
        </w:tc>
        <w:tc>
          <w:tcPr>
            <w:tcW w:w="160" w:type="dxa"/>
            <w:vAlign w:val="bottom"/>
            <w:shd w:val="clear" w:color="auto" w:fill="CCEEFF"/>
          </w:tcPr>
          <w:p>
            <w:pPr>
              <w:spacing w:after="0"/>
              <w:rPr>
                <w:sz w:val="17"/>
                <w:szCs w:val="17"/>
                <w:color w:val="auto"/>
              </w:rPr>
            </w:pPr>
          </w:p>
        </w:tc>
        <w:tc>
          <w:tcPr>
            <w:tcW w:w="260" w:type="dxa"/>
            <w:vAlign w:val="bottom"/>
            <w:shd w:val="clear" w:color="auto" w:fill="CCEEFF"/>
          </w:tcPr>
          <w:p>
            <w:pPr>
              <w:jc w:val="right"/>
              <w:ind w:right="50"/>
              <w:spacing w:after="0" w:line="202" w:lineRule="exact"/>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1,059,371</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97"/>
              </w:rPr>
              <w:t>1,195,777</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200" w:type="dxa"/>
            <w:vAlign w:val="bottom"/>
            <w:tcBorders>
              <w:bottom w:val="single" w:sz="8" w:color="CCEEFF"/>
            </w:tcBorders>
          </w:tcPr>
          <w:p>
            <w:pPr>
              <w:spacing w:after="0" w:line="202" w:lineRule="exact"/>
              <w:rPr>
                <w:sz w:val="20"/>
                <w:szCs w:val="20"/>
                <w:color w:val="auto"/>
              </w:rPr>
            </w:pPr>
            <w:r>
              <w:rPr>
                <w:rFonts w:ascii="Arial" w:cs="Arial" w:eastAsia="Arial" w:hAnsi="Arial"/>
                <w:sz w:val="18"/>
                <w:szCs w:val="18"/>
                <w:color w:val="auto"/>
              </w:rPr>
              <w:t>Cost of sales</w:t>
            </w:r>
          </w:p>
        </w:tc>
        <w:tc>
          <w:tcPr>
            <w:tcW w:w="22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213,250</w:t>
            </w:r>
          </w:p>
        </w:tc>
        <w:tc>
          <w:tcPr>
            <w:tcW w:w="16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w w:val="95"/>
              </w:rPr>
              <w:t>267,542</w:t>
            </w:r>
          </w:p>
        </w:tc>
        <w:tc>
          <w:tcPr>
            <w:tcW w:w="16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969,473</w:t>
            </w:r>
          </w:p>
        </w:tc>
        <w:tc>
          <w:tcPr>
            <w:tcW w:w="16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w w:val="97"/>
              </w:rPr>
              <w:t>1,067,695</w:t>
            </w:r>
          </w:p>
        </w:tc>
        <w:tc>
          <w:tcPr>
            <w:tcW w:w="60" w:type="dxa"/>
            <w:vAlign w:val="bottom"/>
            <w:tcBorders>
              <w:bottom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20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Gross profit</w:t>
            </w: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21,180</w:t>
            </w: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24,633</w:t>
            </w:r>
          </w:p>
        </w:tc>
        <w:tc>
          <w:tcPr>
            <w:tcW w:w="1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89,898</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128,082</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200" w:type="dxa"/>
            <w:vAlign w:val="bottom"/>
          </w:tcPr>
          <w:p>
            <w:pPr>
              <w:spacing w:after="0" w:line="202" w:lineRule="exact"/>
              <w:rPr>
                <w:sz w:val="20"/>
                <w:szCs w:val="20"/>
                <w:color w:val="auto"/>
              </w:rPr>
            </w:pPr>
            <w:r>
              <w:rPr>
                <w:rFonts w:ascii="Arial" w:cs="Arial" w:eastAsia="Arial" w:hAnsi="Arial"/>
                <w:sz w:val="18"/>
                <w:szCs w:val="18"/>
                <w:color w:val="auto"/>
              </w:rPr>
              <w:t>Selling, general and administrative</w:t>
            </w:r>
          </w:p>
        </w:tc>
        <w:tc>
          <w:tcPr>
            <w:tcW w:w="220" w:type="dxa"/>
            <w:vAlign w:val="bottom"/>
          </w:tcPr>
          <w:p>
            <w:pPr>
              <w:spacing w:after="0"/>
              <w:rPr>
                <w:sz w:val="17"/>
                <w:szCs w:val="17"/>
                <w:color w:val="auto"/>
              </w:rPr>
            </w:pPr>
          </w:p>
        </w:tc>
        <w:tc>
          <w:tcPr>
            <w:tcW w:w="900" w:type="dxa"/>
            <w:vAlign w:val="bottom"/>
          </w:tcPr>
          <w:p>
            <w:pPr>
              <w:jc w:val="right"/>
              <w:spacing w:after="0" w:line="202" w:lineRule="exact"/>
              <w:rPr>
                <w:sz w:val="20"/>
                <w:szCs w:val="20"/>
                <w:color w:val="auto"/>
              </w:rPr>
            </w:pPr>
            <w:r>
              <w:rPr>
                <w:rFonts w:ascii="Arial" w:cs="Arial" w:eastAsia="Arial" w:hAnsi="Arial"/>
                <w:sz w:val="18"/>
                <w:szCs w:val="18"/>
                <w:color w:val="auto"/>
              </w:rPr>
              <w:t>13,726</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jc w:val="right"/>
              <w:spacing w:after="0" w:line="202" w:lineRule="exact"/>
              <w:rPr>
                <w:sz w:val="20"/>
                <w:szCs w:val="20"/>
                <w:color w:val="auto"/>
              </w:rPr>
            </w:pPr>
            <w:r>
              <w:rPr>
                <w:rFonts w:ascii="Arial" w:cs="Arial" w:eastAsia="Arial" w:hAnsi="Arial"/>
                <w:sz w:val="18"/>
                <w:szCs w:val="18"/>
                <w:color w:val="auto"/>
              </w:rPr>
              <w:t>14,885</w:t>
            </w:r>
          </w:p>
        </w:tc>
        <w:tc>
          <w:tcPr>
            <w:tcW w:w="1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0" w:type="dxa"/>
            <w:vAlign w:val="bottom"/>
          </w:tcPr>
          <w:p>
            <w:pPr>
              <w:jc w:val="right"/>
              <w:spacing w:after="0" w:line="202" w:lineRule="exact"/>
              <w:rPr>
                <w:sz w:val="20"/>
                <w:szCs w:val="20"/>
                <w:color w:val="auto"/>
              </w:rPr>
            </w:pPr>
            <w:r>
              <w:rPr>
                <w:rFonts w:ascii="Arial" w:cs="Arial" w:eastAsia="Arial" w:hAnsi="Arial"/>
                <w:sz w:val="18"/>
                <w:szCs w:val="18"/>
                <w:color w:val="auto"/>
              </w:rPr>
              <w:t>57,952</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jc w:val="right"/>
              <w:spacing w:after="0" w:line="202" w:lineRule="exact"/>
              <w:rPr>
                <w:sz w:val="20"/>
                <w:szCs w:val="20"/>
                <w:color w:val="auto"/>
              </w:rPr>
            </w:pPr>
            <w:r>
              <w:rPr>
                <w:rFonts w:ascii="Arial" w:cs="Arial" w:eastAsia="Arial" w:hAnsi="Arial"/>
                <w:sz w:val="18"/>
                <w:szCs w:val="18"/>
                <w:color w:val="auto"/>
              </w:rPr>
              <w:t>59,113</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2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Gain on sale of Temecula packinghouse</w:t>
            </w:r>
          </w:p>
        </w:tc>
        <w:tc>
          <w:tcPr>
            <w:tcW w:w="220" w:type="dxa"/>
            <w:vAlign w:val="bottom"/>
            <w:tcBorders>
              <w:bottom w:val="single" w:sz="8" w:color="auto"/>
            </w:tcBorders>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54</w:t>
            </w:r>
          </w:p>
        </w:tc>
        <w:tc>
          <w:tcPr>
            <w:tcW w:w="16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70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75</w:t>
            </w:r>
          </w:p>
        </w:tc>
        <w:tc>
          <w:tcPr>
            <w:tcW w:w="160" w:type="dxa"/>
            <w:vAlign w:val="bottom"/>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100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216</w:t>
            </w:r>
          </w:p>
        </w:tc>
        <w:tc>
          <w:tcPr>
            <w:tcW w:w="16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2,077</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220" w:type="dxa"/>
            <w:vAlign w:val="bottom"/>
            <w:gridSpan w:val="2"/>
          </w:tcPr>
          <w:p>
            <w:pPr>
              <w:ind w:left="20"/>
              <w:spacing w:after="0" w:line="196" w:lineRule="exact"/>
              <w:rPr>
                <w:sz w:val="20"/>
                <w:szCs w:val="20"/>
                <w:color w:val="auto"/>
              </w:rPr>
            </w:pPr>
            <w:r>
              <w:rPr>
                <w:rFonts w:ascii="Arial" w:cs="Arial" w:eastAsia="Arial" w:hAnsi="Arial"/>
                <w:sz w:val="18"/>
                <w:szCs w:val="18"/>
                <w:color w:val="auto"/>
              </w:rPr>
              <w:t>Operating income</w:t>
            </w:r>
          </w:p>
        </w:tc>
        <w:tc>
          <w:tcPr>
            <w:tcW w:w="220" w:type="dxa"/>
            <w:vAlign w:val="bottom"/>
          </w:tcPr>
          <w:p>
            <w:pPr>
              <w:spacing w:after="0"/>
              <w:rPr>
                <w:sz w:val="17"/>
                <w:szCs w:val="17"/>
                <w:color w:val="auto"/>
              </w:rPr>
            </w:pPr>
          </w:p>
        </w:tc>
        <w:tc>
          <w:tcPr>
            <w:tcW w:w="900" w:type="dxa"/>
            <w:vAlign w:val="bottom"/>
          </w:tcPr>
          <w:p>
            <w:pPr>
              <w:jc w:val="right"/>
              <w:spacing w:after="0" w:line="196" w:lineRule="exact"/>
              <w:rPr>
                <w:sz w:val="20"/>
                <w:szCs w:val="20"/>
                <w:color w:val="auto"/>
              </w:rPr>
            </w:pPr>
            <w:r>
              <w:rPr>
                <w:rFonts w:ascii="Arial" w:cs="Arial" w:eastAsia="Arial" w:hAnsi="Arial"/>
                <w:sz w:val="18"/>
                <w:szCs w:val="18"/>
                <w:color w:val="auto"/>
              </w:rPr>
              <w:t>7,508</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jc w:val="right"/>
              <w:spacing w:after="0" w:line="196" w:lineRule="exact"/>
              <w:rPr>
                <w:sz w:val="20"/>
                <w:szCs w:val="20"/>
                <w:color w:val="auto"/>
              </w:rPr>
            </w:pPr>
            <w:r>
              <w:rPr>
                <w:rFonts w:ascii="Arial" w:cs="Arial" w:eastAsia="Arial" w:hAnsi="Arial"/>
                <w:sz w:val="18"/>
                <w:szCs w:val="18"/>
                <w:color w:val="auto"/>
              </w:rPr>
              <w:t>9,823</w:t>
            </w:r>
          </w:p>
        </w:tc>
        <w:tc>
          <w:tcPr>
            <w:tcW w:w="1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0" w:type="dxa"/>
            <w:vAlign w:val="bottom"/>
          </w:tcPr>
          <w:p>
            <w:pPr>
              <w:jc w:val="right"/>
              <w:spacing w:after="0" w:line="196" w:lineRule="exact"/>
              <w:rPr>
                <w:sz w:val="20"/>
                <w:szCs w:val="20"/>
                <w:color w:val="auto"/>
              </w:rPr>
            </w:pPr>
            <w:r>
              <w:rPr>
                <w:rFonts w:ascii="Arial" w:cs="Arial" w:eastAsia="Arial" w:hAnsi="Arial"/>
                <w:sz w:val="18"/>
                <w:szCs w:val="18"/>
                <w:color w:val="auto"/>
              </w:rPr>
              <w:t>32,162</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jc w:val="right"/>
              <w:spacing w:after="0" w:line="196" w:lineRule="exact"/>
              <w:rPr>
                <w:sz w:val="20"/>
                <w:szCs w:val="20"/>
                <w:color w:val="auto"/>
              </w:rPr>
            </w:pPr>
            <w:r>
              <w:rPr>
                <w:rFonts w:ascii="Arial" w:cs="Arial" w:eastAsia="Arial" w:hAnsi="Arial"/>
                <w:sz w:val="18"/>
                <w:szCs w:val="18"/>
                <w:color w:val="auto"/>
              </w:rPr>
              <w:t>71,046</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05"/>
        </w:trPr>
        <w:tc>
          <w:tcPr>
            <w:tcW w:w="20" w:type="dxa"/>
            <w:vAlign w:val="bottom"/>
          </w:tcPr>
          <w:p>
            <w:pPr>
              <w:spacing w:after="0"/>
              <w:rPr>
                <w:sz w:val="24"/>
                <w:szCs w:val="24"/>
                <w:color w:val="auto"/>
              </w:rPr>
            </w:pPr>
          </w:p>
        </w:tc>
        <w:tc>
          <w:tcPr>
            <w:tcW w:w="420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220" w:type="dxa"/>
            <w:vAlign w:val="bottom"/>
            <w:shd w:val="clear" w:color="auto" w:fill="CCEEFF"/>
          </w:tcPr>
          <w:p>
            <w:pPr>
              <w:spacing w:after="0"/>
              <w:rPr>
                <w:sz w:val="24"/>
                <w:szCs w:val="24"/>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w:t>
            </w:r>
          </w:p>
        </w:tc>
        <w:tc>
          <w:tcPr>
            <w:tcW w:w="1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w:t>
            </w:r>
          </w:p>
        </w:tc>
        <w:tc>
          <w:tcPr>
            <w:tcW w:w="16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(877)</w:t>
            </w:r>
          </w:p>
        </w:tc>
        <w:tc>
          <w:tcPr>
            <w:tcW w:w="1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(948)</w:t>
            </w:r>
          </w:p>
        </w:tc>
        <w:tc>
          <w:tcPr>
            <w:tcW w:w="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200" w:type="dxa"/>
            <w:vAlign w:val="bottom"/>
          </w:tcPr>
          <w:p>
            <w:pPr>
              <w:spacing w:after="0" w:line="202" w:lineRule="exact"/>
              <w:rPr>
                <w:sz w:val="20"/>
                <w:szCs w:val="20"/>
                <w:color w:val="auto"/>
              </w:rPr>
            </w:pPr>
            <w:r>
              <w:rPr>
                <w:rFonts w:ascii="Arial" w:cs="Arial" w:eastAsia="Arial" w:hAnsi="Arial"/>
                <w:sz w:val="18"/>
                <w:szCs w:val="18"/>
                <w:color w:val="auto"/>
              </w:rPr>
              <w:t>Other income, net</w:t>
            </w:r>
          </w:p>
        </w:tc>
        <w:tc>
          <w:tcPr>
            <w:tcW w:w="220" w:type="dxa"/>
            <w:vAlign w:val="bottom"/>
          </w:tcPr>
          <w:p>
            <w:pPr>
              <w:spacing w:after="0"/>
              <w:rPr>
                <w:sz w:val="17"/>
                <w:szCs w:val="17"/>
                <w:color w:val="auto"/>
              </w:rPr>
            </w:pPr>
          </w:p>
        </w:tc>
        <w:tc>
          <w:tcPr>
            <w:tcW w:w="900" w:type="dxa"/>
            <w:vAlign w:val="bottom"/>
          </w:tcPr>
          <w:p>
            <w:pPr>
              <w:jc w:val="right"/>
              <w:spacing w:after="0" w:line="202" w:lineRule="exact"/>
              <w:rPr>
                <w:sz w:val="20"/>
                <w:szCs w:val="20"/>
                <w:color w:val="auto"/>
              </w:rPr>
            </w:pPr>
            <w:r>
              <w:rPr>
                <w:rFonts w:ascii="Arial" w:cs="Arial" w:eastAsia="Arial" w:hAnsi="Arial"/>
                <w:sz w:val="18"/>
                <w:szCs w:val="18"/>
                <w:color w:val="auto"/>
              </w:rPr>
              <w:t>301</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jc w:val="right"/>
              <w:spacing w:after="0" w:line="202" w:lineRule="exact"/>
              <w:rPr>
                <w:sz w:val="20"/>
                <w:szCs w:val="20"/>
                <w:color w:val="auto"/>
              </w:rPr>
            </w:pPr>
            <w:r>
              <w:rPr>
                <w:rFonts w:ascii="Arial" w:cs="Arial" w:eastAsia="Arial" w:hAnsi="Arial"/>
                <w:sz w:val="18"/>
                <w:szCs w:val="18"/>
                <w:color w:val="auto"/>
              </w:rPr>
              <w:t>842</w:t>
            </w:r>
          </w:p>
        </w:tc>
        <w:tc>
          <w:tcPr>
            <w:tcW w:w="1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0" w:type="dxa"/>
            <w:vAlign w:val="bottom"/>
          </w:tcPr>
          <w:p>
            <w:pPr>
              <w:jc w:val="right"/>
              <w:spacing w:after="0" w:line="202" w:lineRule="exact"/>
              <w:rPr>
                <w:sz w:val="20"/>
                <w:szCs w:val="20"/>
                <w:color w:val="auto"/>
              </w:rPr>
            </w:pPr>
            <w:r>
              <w:rPr>
                <w:rFonts w:ascii="Arial" w:cs="Arial" w:eastAsia="Arial" w:hAnsi="Arial"/>
                <w:sz w:val="18"/>
                <w:szCs w:val="18"/>
                <w:color w:val="auto"/>
              </w:rPr>
              <w:t>2,551</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jc w:val="right"/>
              <w:spacing w:after="0" w:line="202" w:lineRule="exact"/>
              <w:rPr>
                <w:sz w:val="20"/>
                <w:szCs w:val="20"/>
                <w:color w:val="auto"/>
              </w:rPr>
            </w:pPr>
            <w:r>
              <w:rPr>
                <w:rFonts w:ascii="Arial" w:cs="Arial" w:eastAsia="Arial" w:hAnsi="Arial"/>
                <w:sz w:val="18"/>
                <w:szCs w:val="18"/>
                <w:color w:val="auto"/>
              </w:rPr>
              <w:t>3,174</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2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Loss on reserve for FreshRealm note receivable</w:t>
            </w: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200" w:type="dxa"/>
            <w:vAlign w:val="bottom"/>
            <w:shd w:val="clear" w:color="auto" w:fill="CCEEFF"/>
          </w:tcPr>
          <w:p>
            <w:pPr>
              <w:spacing w:after="0" w:line="203" w:lineRule="exact"/>
              <w:rPr>
                <w:sz w:val="20"/>
                <w:szCs w:val="20"/>
                <w:color w:val="auto"/>
              </w:rPr>
            </w:pPr>
            <w:r>
              <w:rPr>
                <w:rFonts w:ascii="Arial" w:cs="Arial" w:eastAsia="Arial" w:hAnsi="Arial"/>
                <w:sz w:val="18"/>
                <w:szCs w:val="18"/>
                <w:color w:val="auto"/>
              </w:rPr>
              <w:t>and impairment of investment</w:t>
            </w: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(130)</w:t>
            </w: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60"/>
              <w:spacing w:after="0" w:line="203" w:lineRule="exact"/>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(37,322)</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60"/>
              <w:spacing w:after="0" w:line="203"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200" w:type="dxa"/>
            <w:vAlign w:val="bottom"/>
          </w:tcPr>
          <w:p>
            <w:pPr>
              <w:spacing w:after="0" w:line="201" w:lineRule="exact"/>
              <w:rPr>
                <w:sz w:val="20"/>
                <w:szCs w:val="20"/>
                <w:color w:val="auto"/>
              </w:rPr>
            </w:pPr>
            <w:r>
              <w:rPr>
                <w:rFonts w:ascii="Arial" w:cs="Arial" w:eastAsia="Arial" w:hAnsi="Arial"/>
                <w:sz w:val="18"/>
                <w:szCs w:val="18"/>
                <w:color w:val="auto"/>
              </w:rPr>
              <w:t>Unrealized and realized net gain (loss) on</w:t>
            </w: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220" w:type="dxa"/>
            <w:vAlign w:val="bottom"/>
            <w:gridSpan w:val="2"/>
          </w:tcPr>
          <w:p>
            <w:pPr>
              <w:ind w:left="20"/>
              <w:spacing w:after="0" w:line="203" w:lineRule="exact"/>
              <w:rPr>
                <w:sz w:val="20"/>
                <w:szCs w:val="20"/>
                <w:color w:val="auto"/>
              </w:rPr>
            </w:pPr>
            <w:r>
              <w:rPr>
                <w:rFonts w:ascii="Arial" w:cs="Arial" w:eastAsia="Arial" w:hAnsi="Arial"/>
                <w:sz w:val="18"/>
                <w:szCs w:val="18"/>
                <w:color w:val="auto"/>
              </w:rPr>
              <w:t>Limoneira shares</w:t>
            </w:r>
          </w:p>
        </w:tc>
        <w:tc>
          <w:tcPr>
            <w:tcW w:w="220" w:type="dxa"/>
            <w:vAlign w:val="bottom"/>
          </w:tcPr>
          <w:p>
            <w:pPr>
              <w:spacing w:after="0"/>
              <w:rPr>
                <w:sz w:val="17"/>
                <w:szCs w:val="17"/>
                <w:color w:val="auto"/>
              </w:rPr>
            </w:pPr>
          </w:p>
        </w:tc>
        <w:tc>
          <w:tcPr>
            <w:tcW w:w="900" w:type="dxa"/>
            <w:vAlign w:val="bottom"/>
          </w:tcPr>
          <w:p>
            <w:pPr>
              <w:jc w:val="right"/>
              <w:spacing w:after="0" w:line="203" w:lineRule="exact"/>
              <w:rPr>
                <w:sz w:val="20"/>
                <w:szCs w:val="20"/>
                <w:color w:val="auto"/>
              </w:rPr>
            </w:pPr>
            <w:r>
              <w:rPr>
                <w:rFonts w:ascii="Arial" w:cs="Arial" w:eastAsia="Arial" w:hAnsi="Arial"/>
                <w:sz w:val="18"/>
                <w:szCs w:val="18"/>
                <w:color w:val="auto"/>
              </w:rPr>
              <w:t>588</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jc w:val="right"/>
              <w:spacing w:after="0" w:line="203" w:lineRule="exact"/>
              <w:rPr>
                <w:sz w:val="20"/>
                <w:szCs w:val="20"/>
                <w:color w:val="auto"/>
              </w:rPr>
            </w:pPr>
            <w:r>
              <w:rPr>
                <w:rFonts w:ascii="Arial" w:cs="Arial" w:eastAsia="Arial" w:hAnsi="Arial"/>
                <w:sz w:val="18"/>
                <w:szCs w:val="18"/>
                <w:color w:val="auto"/>
              </w:rPr>
              <w:t>(1,460)</w:t>
            </w:r>
          </w:p>
        </w:tc>
        <w:tc>
          <w:tcPr>
            <w:tcW w:w="1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0" w:type="dxa"/>
            <w:vAlign w:val="bottom"/>
          </w:tcPr>
          <w:p>
            <w:pPr>
              <w:jc w:val="right"/>
              <w:spacing w:after="0" w:line="203" w:lineRule="exact"/>
              <w:rPr>
                <w:sz w:val="20"/>
                <w:szCs w:val="20"/>
                <w:color w:val="auto"/>
              </w:rPr>
            </w:pPr>
            <w:r>
              <w:rPr>
                <w:rFonts w:ascii="Arial" w:cs="Arial" w:eastAsia="Arial" w:hAnsi="Arial"/>
                <w:sz w:val="18"/>
                <w:szCs w:val="18"/>
                <w:color w:val="auto"/>
              </w:rPr>
              <w:t>(8,537)</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jc w:val="right"/>
              <w:spacing w:after="0" w:line="203" w:lineRule="exact"/>
              <w:rPr>
                <w:sz w:val="20"/>
                <w:szCs w:val="20"/>
                <w:color w:val="auto"/>
              </w:rPr>
            </w:pPr>
            <w:r>
              <w:rPr>
                <w:rFonts w:ascii="Arial" w:cs="Arial" w:eastAsia="Arial" w:hAnsi="Arial"/>
                <w:sz w:val="18"/>
                <w:szCs w:val="18"/>
                <w:color w:val="auto"/>
              </w:rPr>
              <w:t>(9,722)</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4200" w:type="dxa"/>
            <w:vAlign w:val="bottom"/>
            <w:tcBorders>
              <w:top w:val="single" w:sz="8" w:color="CCEEFF"/>
            </w:tcBorders>
            <w:shd w:val="clear" w:color="auto" w:fill="CCEEFF"/>
          </w:tcPr>
          <w:p>
            <w:pPr>
              <w:spacing w:after="0" w:line="182" w:lineRule="exact"/>
              <w:rPr>
                <w:sz w:val="20"/>
                <w:szCs w:val="20"/>
                <w:color w:val="auto"/>
              </w:rPr>
            </w:pPr>
            <w:r>
              <w:rPr>
                <w:rFonts w:ascii="Arial" w:cs="Arial" w:eastAsia="Arial" w:hAnsi="Arial"/>
                <w:sz w:val="18"/>
                <w:szCs w:val="18"/>
                <w:color w:val="auto"/>
              </w:rPr>
              <w:t>Income (loss) before benefit (provision) for income</w:t>
            </w:r>
          </w:p>
        </w:tc>
        <w:tc>
          <w:tcPr>
            <w:tcW w:w="220" w:type="dxa"/>
            <w:vAlign w:val="bottom"/>
            <w:tcBorders>
              <w:top w:val="single" w:sz="8" w:color="auto"/>
            </w:tcBorders>
            <w:shd w:val="clear" w:color="auto" w:fill="CCEEFF"/>
          </w:tcPr>
          <w:p>
            <w:pPr>
              <w:spacing w:after="0"/>
              <w:rPr>
                <w:sz w:val="15"/>
                <w:szCs w:val="15"/>
                <w:color w:val="auto"/>
              </w:rPr>
            </w:pPr>
          </w:p>
        </w:tc>
        <w:tc>
          <w:tcPr>
            <w:tcW w:w="900" w:type="dxa"/>
            <w:vAlign w:val="bottom"/>
            <w:tcBorders>
              <w:top w:val="single" w:sz="8" w:color="auto"/>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700" w:type="dxa"/>
            <w:vAlign w:val="bottom"/>
            <w:tcBorders>
              <w:top w:val="single" w:sz="8" w:color="auto"/>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260" w:type="dxa"/>
            <w:vAlign w:val="bottom"/>
            <w:tcBorders>
              <w:top w:val="single" w:sz="8" w:color="auto"/>
            </w:tcBorders>
            <w:shd w:val="clear" w:color="auto" w:fill="CCEEFF"/>
          </w:tcPr>
          <w:p>
            <w:pPr>
              <w:spacing w:after="0"/>
              <w:rPr>
                <w:sz w:val="15"/>
                <w:szCs w:val="15"/>
                <w:color w:val="auto"/>
              </w:rPr>
            </w:pPr>
          </w:p>
        </w:tc>
        <w:tc>
          <w:tcPr>
            <w:tcW w:w="1000" w:type="dxa"/>
            <w:vAlign w:val="bottom"/>
            <w:tcBorders>
              <w:top w:val="single" w:sz="8" w:color="auto"/>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860" w:type="dxa"/>
            <w:vAlign w:val="bottom"/>
            <w:tcBorders>
              <w:top w:val="single" w:sz="8" w:color="auto"/>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2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taxes and loss (income) from unconsolidated</w:t>
            </w: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200" w:type="dxa"/>
            <w:vAlign w:val="bottom"/>
            <w:shd w:val="clear" w:color="auto" w:fill="CCEEFF"/>
          </w:tcPr>
          <w:p>
            <w:pPr>
              <w:spacing w:after="0" w:line="203" w:lineRule="exact"/>
              <w:rPr>
                <w:sz w:val="20"/>
                <w:szCs w:val="20"/>
                <w:color w:val="auto"/>
              </w:rPr>
            </w:pPr>
            <w:r>
              <w:rPr>
                <w:rFonts w:ascii="Arial" w:cs="Arial" w:eastAsia="Arial" w:hAnsi="Arial"/>
                <w:sz w:val="18"/>
                <w:szCs w:val="18"/>
                <w:color w:val="auto"/>
              </w:rPr>
              <w:t>entities</w:t>
            </w: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8,122</w:t>
            </w: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9,104</w:t>
            </w:r>
          </w:p>
        </w:tc>
        <w:tc>
          <w:tcPr>
            <w:tcW w:w="1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(12,023)</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63,550</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200" w:type="dxa"/>
            <w:vAlign w:val="bottom"/>
          </w:tcPr>
          <w:p>
            <w:pPr>
              <w:spacing w:after="0" w:line="202" w:lineRule="exact"/>
              <w:rPr>
                <w:sz w:val="20"/>
                <w:szCs w:val="20"/>
                <w:color w:val="auto"/>
              </w:rPr>
            </w:pPr>
            <w:r>
              <w:rPr>
                <w:rFonts w:ascii="Arial" w:cs="Arial" w:eastAsia="Arial" w:hAnsi="Arial"/>
                <w:sz w:val="18"/>
                <w:szCs w:val="18"/>
                <w:color w:val="auto"/>
              </w:rPr>
              <w:t>Income taxes benefit (provision)</w:t>
            </w:r>
          </w:p>
        </w:tc>
        <w:tc>
          <w:tcPr>
            <w:tcW w:w="220" w:type="dxa"/>
            <w:vAlign w:val="bottom"/>
          </w:tcPr>
          <w:p>
            <w:pPr>
              <w:spacing w:after="0"/>
              <w:rPr>
                <w:sz w:val="17"/>
                <w:szCs w:val="17"/>
                <w:color w:val="auto"/>
              </w:rPr>
            </w:pPr>
          </w:p>
        </w:tc>
        <w:tc>
          <w:tcPr>
            <w:tcW w:w="900" w:type="dxa"/>
            <w:vAlign w:val="bottom"/>
          </w:tcPr>
          <w:p>
            <w:pPr>
              <w:jc w:val="right"/>
              <w:spacing w:after="0" w:line="202" w:lineRule="exact"/>
              <w:rPr>
                <w:sz w:val="20"/>
                <w:szCs w:val="20"/>
                <w:color w:val="auto"/>
              </w:rPr>
            </w:pPr>
            <w:r>
              <w:rPr>
                <w:rFonts w:ascii="Arial" w:cs="Arial" w:eastAsia="Arial" w:hAnsi="Arial"/>
                <w:sz w:val="18"/>
                <w:szCs w:val="18"/>
                <w:color w:val="auto"/>
              </w:rPr>
              <w:t>(2,248)</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jc w:val="right"/>
              <w:spacing w:after="0" w:line="202" w:lineRule="exact"/>
              <w:rPr>
                <w:sz w:val="20"/>
                <w:szCs w:val="20"/>
                <w:color w:val="auto"/>
              </w:rPr>
            </w:pPr>
            <w:r>
              <w:rPr>
                <w:rFonts w:ascii="Arial" w:cs="Arial" w:eastAsia="Arial" w:hAnsi="Arial"/>
                <w:sz w:val="18"/>
                <w:szCs w:val="18"/>
                <w:color w:val="auto"/>
              </w:rPr>
              <w:t>(1,789)</w:t>
            </w:r>
          </w:p>
        </w:tc>
        <w:tc>
          <w:tcPr>
            <w:tcW w:w="1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0" w:type="dxa"/>
            <w:vAlign w:val="bottom"/>
          </w:tcPr>
          <w:p>
            <w:pPr>
              <w:jc w:val="right"/>
              <w:spacing w:after="0" w:line="202" w:lineRule="exact"/>
              <w:rPr>
                <w:sz w:val="20"/>
                <w:szCs w:val="20"/>
                <w:color w:val="auto"/>
              </w:rPr>
            </w:pPr>
            <w:r>
              <w:rPr>
                <w:rFonts w:ascii="Arial" w:cs="Arial" w:eastAsia="Arial" w:hAnsi="Arial"/>
                <w:sz w:val="18"/>
                <w:szCs w:val="18"/>
                <w:color w:val="auto"/>
              </w:rPr>
              <w:t>4,292</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jc w:val="right"/>
              <w:spacing w:after="0" w:line="202" w:lineRule="exact"/>
              <w:rPr>
                <w:sz w:val="20"/>
                <w:szCs w:val="20"/>
                <w:color w:val="auto"/>
              </w:rPr>
            </w:pPr>
            <w:r>
              <w:rPr>
                <w:rFonts w:ascii="Arial" w:cs="Arial" w:eastAsia="Arial" w:hAnsi="Arial"/>
                <w:sz w:val="18"/>
                <w:szCs w:val="18"/>
                <w:color w:val="auto"/>
              </w:rPr>
              <w:t>(12,882)</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05"/>
        </w:trPr>
        <w:tc>
          <w:tcPr>
            <w:tcW w:w="20" w:type="dxa"/>
            <w:vAlign w:val="bottom"/>
          </w:tcPr>
          <w:p>
            <w:pPr>
              <w:spacing w:after="0"/>
              <w:rPr>
                <w:sz w:val="24"/>
                <w:szCs w:val="24"/>
                <w:color w:val="auto"/>
              </w:rPr>
            </w:pPr>
          </w:p>
        </w:tc>
        <w:tc>
          <w:tcPr>
            <w:tcW w:w="4200" w:type="dxa"/>
            <w:vAlign w:val="bottom"/>
            <w:shd w:val="clear" w:color="auto" w:fill="CCEEFF"/>
          </w:tcPr>
          <w:p>
            <w:pPr>
              <w:spacing w:after="0"/>
              <w:rPr>
                <w:sz w:val="20"/>
                <w:szCs w:val="20"/>
                <w:color w:val="auto"/>
              </w:rPr>
            </w:pPr>
            <w:r>
              <w:rPr>
                <w:rFonts w:ascii="Arial" w:cs="Arial" w:eastAsia="Arial" w:hAnsi="Arial"/>
                <w:sz w:val="18"/>
                <w:szCs w:val="18"/>
                <w:color w:val="auto"/>
              </w:rPr>
              <w:t>Net (loss) income from unconsolidated entities</w:t>
            </w:r>
          </w:p>
        </w:tc>
        <w:tc>
          <w:tcPr>
            <w:tcW w:w="220" w:type="dxa"/>
            <w:vAlign w:val="bottom"/>
            <w:tcBorders>
              <w:bottom w:val="single" w:sz="8" w:color="auto"/>
            </w:tcBorders>
            <w:shd w:val="clear" w:color="auto" w:fill="CCEEFF"/>
          </w:tcPr>
          <w:p>
            <w:pPr>
              <w:spacing w:after="0"/>
              <w:rPr>
                <w:sz w:val="24"/>
                <w:szCs w:val="24"/>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265</w:t>
            </w:r>
          </w:p>
        </w:tc>
        <w:tc>
          <w:tcPr>
            <w:tcW w:w="160" w:type="dxa"/>
            <w:vAlign w:val="bottom"/>
            <w:shd w:val="clear" w:color="auto" w:fill="CCEEFF"/>
          </w:tcPr>
          <w:p>
            <w:pPr>
              <w:spacing w:after="0"/>
              <w:rPr>
                <w:sz w:val="24"/>
                <w:szCs w:val="24"/>
                <w:color w:val="auto"/>
              </w:rPr>
            </w:pPr>
          </w:p>
        </w:tc>
        <w:tc>
          <w:tcPr>
            <w:tcW w:w="120" w:type="dxa"/>
            <w:vAlign w:val="bottom"/>
            <w:tcBorders>
              <w:bottom w:val="single" w:sz="8" w:color="auto"/>
            </w:tcBorders>
            <w:shd w:val="clear" w:color="auto" w:fill="CCEEFF"/>
          </w:tcPr>
          <w:p>
            <w:pPr>
              <w:spacing w:after="0"/>
              <w:rPr>
                <w:sz w:val="24"/>
                <w:szCs w:val="24"/>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(2,138)</w:t>
            </w:r>
          </w:p>
        </w:tc>
        <w:tc>
          <w:tcPr>
            <w:tcW w:w="160" w:type="dxa"/>
            <w:vAlign w:val="bottom"/>
            <w:shd w:val="clear" w:color="auto" w:fill="CCEEFF"/>
          </w:tcPr>
          <w:p>
            <w:pPr>
              <w:spacing w:after="0"/>
              <w:rPr>
                <w:sz w:val="24"/>
                <w:szCs w:val="24"/>
                <w:color w:val="auto"/>
              </w:rPr>
            </w:pPr>
          </w:p>
        </w:tc>
        <w:tc>
          <w:tcPr>
            <w:tcW w:w="260" w:type="dxa"/>
            <w:vAlign w:val="bottom"/>
            <w:tcBorders>
              <w:bottom w:val="single" w:sz="8" w:color="auto"/>
            </w:tcBorders>
            <w:shd w:val="clear" w:color="auto" w:fill="CCEEFF"/>
          </w:tcPr>
          <w:p>
            <w:pPr>
              <w:spacing w:after="0"/>
              <w:rPr>
                <w:sz w:val="24"/>
                <w:szCs w:val="24"/>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(6,110)</w:t>
            </w:r>
          </w:p>
        </w:tc>
        <w:tc>
          <w:tcPr>
            <w:tcW w:w="160" w:type="dxa"/>
            <w:vAlign w:val="bottom"/>
            <w:shd w:val="clear" w:color="auto" w:fill="CCEEFF"/>
          </w:tcPr>
          <w:p>
            <w:pPr>
              <w:spacing w:after="0"/>
              <w:rPr>
                <w:sz w:val="24"/>
                <w:szCs w:val="24"/>
                <w:color w:val="auto"/>
              </w:rPr>
            </w:pPr>
          </w:p>
        </w:tc>
        <w:tc>
          <w:tcPr>
            <w:tcW w:w="100" w:type="dxa"/>
            <w:vAlign w:val="bottom"/>
            <w:tcBorders>
              <w:bottom w:val="single" w:sz="8" w:color="auto"/>
            </w:tcBorders>
            <w:shd w:val="clear" w:color="auto" w:fill="CCEEFF"/>
          </w:tcPr>
          <w:p>
            <w:pPr>
              <w:spacing w:after="0"/>
              <w:rPr>
                <w:sz w:val="24"/>
                <w:szCs w:val="24"/>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(14,082)</w:t>
            </w:r>
          </w:p>
        </w:tc>
        <w:tc>
          <w:tcPr>
            <w:tcW w:w="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399"/>
        </w:trPr>
        <w:tc>
          <w:tcPr>
            <w:tcW w:w="4220" w:type="dxa"/>
            <w:vAlign w:val="bottom"/>
            <w:gridSpan w:val="2"/>
          </w:tcPr>
          <w:p>
            <w:pPr>
              <w:ind w:left="20"/>
              <w:spacing w:after="0"/>
              <w:rPr>
                <w:sz w:val="20"/>
                <w:szCs w:val="20"/>
                <w:color w:val="auto"/>
              </w:rPr>
            </w:pPr>
            <w:r>
              <w:rPr>
                <w:rFonts w:ascii="Arial" w:cs="Arial" w:eastAsia="Arial" w:hAnsi="Arial"/>
                <w:sz w:val="18"/>
                <w:szCs w:val="18"/>
                <w:color w:val="auto"/>
              </w:rPr>
              <w:t>Net income (loss)</w:t>
            </w:r>
          </w:p>
        </w:tc>
        <w:tc>
          <w:tcPr>
            <w:tcW w:w="22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6,139</w:t>
            </w: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5,177</w:t>
            </w: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(13,841)</w:t>
            </w: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36,586</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2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Less: Net loss (income) attributable to</w:t>
            </w: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200" w:type="dxa"/>
            <w:vAlign w:val="bottom"/>
            <w:shd w:val="clear" w:color="auto" w:fill="CCEEFF"/>
          </w:tcPr>
          <w:p>
            <w:pPr>
              <w:spacing w:after="0" w:line="203" w:lineRule="exact"/>
              <w:rPr>
                <w:sz w:val="20"/>
                <w:szCs w:val="20"/>
                <w:color w:val="auto"/>
              </w:rPr>
            </w:pPr>
            <w:r>
              <w:rPr>
                <w:rFonts w:ascii="Arial" w:cs="Arial" w:eastAsia="Arial" w:hAnsi="Arial"/>
                <w:sz w:val="18"/>
                <w:szCs w:val="18"/>
                <w:color w:val="auto"/>
              </w:rPr>
              <w:t>noncontrolling interest</w:t>
            </w:r>
          </w:p>
        </w:tc>
        <w:tc>
          <w:tcPr>
            <w:tcW w:w="220" w:type="dxa"/>
            <w:vAlign w:val="bottom"/>
            <w:tcBorders>
              <w:bottom w:val="single" w:sz="8" w:color="auto"/>
            </w:tcBorders>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88</w:t>
            </w:r>
          </w:p>
        </w:tc>
        <w:tc>
          <w:tcPr>
            <w:tcW w:w="16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700" w:type="dxa"/>
            <w:vAlign w:val="bottom"/>
            <w:tcBorders>
              <w:bottom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34</w:t>
            </w:r>
          </w:p>
        </w:tc>
        <w:tc>
          <w:tcPr>
            <w:tcW w:w="160" w:type="dxa"/>
            <w:vAlign w:val="bottom"/>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1000" w:type="dxa"/>
            <w:vAlign w:val="bottom"/>
            <w:tcBorders>
              <w:bottom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216</w:t>
            </w:r>
          </w:p>
        </w:tc>
        <w:tc>
          <w:tcPr>
            <w:tcW w:w="16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60</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4220" w:type="dxa"/>
            <w:vAlign w:val="bottom"/>
            <w:gridSpan w:val="2"/>
          </w:tcPr>
          <w:p>
            <w:pPr>
              <w:ind w:left="20"/>
              <w:spacing w:after="0"/>
              <w:rPr>
                <w:sz w:val="20"/>
                <w:szCs w:val="20"/>
                <w:color w:val="auto"/>
              </w:rPr>
            </w:pPr>
            <w:r>
              <w:rPr>
                <w:rFonts w:ascii="Arial" w:cs="Arial" w:eastAsia="Arial" w:hAnsi="Arial"/>
                <w:sz w:val="18"/>
                <w:szCs w:val="18"/>
                <w:color w:val="auto"/>
              </w:rPr>
              <w:t>Net income (loss) attributable to Calavo Growers,</w:t>
            </w:r>
          </w:p>
        </w:tc>
        <w:tc>
          <w:tcPr>
            <w:tcW w:w="220" w:type="dxa"/>
            <w:vAlign w:val="bottom"/>
            <w:vMerge w:val="restart"/>
          </w:tcPr>
          <w:p>
            <w:pPr>
              <w:jc w:val="right"/>
              <w:ind w:right="30"/>
              <w:spacing w:after="0"/>
              <w:rPr>
                <w:sz w:val="20"/>
                <w:szCs w:val="20"/>
                <w:color w:val="auto"/>
              </w:rPr>
            </w:pPr>
            <w:r>
              <w:rPr>
                <w:rFonts w:ascii="Arial" w:cs="Arial" w:eastAsia="Arial" w:hAnsi="Arial"/>
                <w:sz w:val="18"/>
                <w:szCs w:val="18"/>
                <w:color w:val="auto"/>
                <w:w w:val="79"/>
              </w:rPr>
              <w:t>$</w:t>
            </w:r>
          </w:p>
        </w:tc>
        <w:tc>
          <w:tcPr>
            <w:tcW w:w="900" w:type="dxa"/>
            <w:vAlign w:val="bottom"/>
            <w:vMerge w:val="restart"/>
          </w:tcPr>
          <w:p>
            <w:pPr>
              <w:jc w:val="right"/>
              <w:spacing w:after="0"/>
              <w:rPr>
                <w:sz w:val="20"/>
                <w:szCs w:val="20"/>
                <w:color w:val="auto"/>
              </w:rPr>
            </w:pPr>
            <w:r>
              <w:rPr>
                <w:rFonts w:ascii="Arial" w:cs="Arial" w:eastAsia="Arial" w:hAnsi="Arial"/>
                <w:sz w:val="18"/>
                <w:szCs w:val="18"/>
                <w:color w:val="auto"/>
              </w:rPr>
              <w:t>6,227</w:t>
            </w:r>
          </w:p>
        </w:tc>
        <w:tc>
          <w:tcPr>
            <w:tcW w:w="160" w:type="dxa"/>
            <w:vAlign w:val="bottom"/>
          </w:tcPr>
          <w:p>
            <w:pPr>
              <w:spacing w:after="0"/>
              <w:rPr>
                <w:sz w:val="18"/>
                <w:szCs w:val="18"/>
                <w:color w:val="auto"/>
              </w:rPr>
            </w:pPr>
          </w:p>
        </w:tc>
        <w:tc>
          <w:tcPr>
            <w:tcW w:w="120" w:type="dxa"/>
            <w:vAlign w:val="bottom"/>
            <w:vMerge w:val="restart"/>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vMerge w:val="restart"/>
          </w:tcPr>
          <w:p>
            <w:pPr>
              <w:jc w:val="right"/>
              <w:spacing w:after="0"/>
              <w:rPr>
                <w:sz w:val="20"/>
                <w:szCs w:val="20"/>
                <w:color w:val="auto"/>
              </w:rPr>
            </w:pPr>
            <w:r>
              <w:rPr>
                <w:rFonts w:ascii="Arial" w:cs="Arial" w:eastAsia="Arial" w:hAnsi="Arial"/>
                <w:sz w:val="18"/>
                <w:szCs w:val="18"/>
                <w:color w:val="auto"/>
              </w:rPr>
              <w:t>5,211</w:t>
            </w:r>
          </w:p>
        </w:tc>
        <w:tc>
          <w:tcPr>
            <w:tcW w:w="160" w:type="dxa"/>
            <w:vAlign w:val="bottom"/>
          </w:tcPr>
          <w:p>
            <w:pPr>
              <w:spacing w:after="0"/>
              <w:rPr>
                <w:sz w:val="18"/>
                <w:szCs w:val="18"/>
                <w:color w:val="auto"/>
              </w:rPr>
            </w:pPr>
          </w:p>
        </w:tc>
        <w:tc>
          <w:tcPr>
            <w:tcW w:w="260" w:type="dxa"/>
            <w:vAlign w:val="bottom"/>
            <w:vMerge w:val="restart"/>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vMerge w:val="restart"/>
          </w:tcPr>
          <w:p>
            <w:pPr>
              <w:jc w:val="right"/>
              <w:spacing w:after="0"/>
              <w:rPr>
                <w:sz w:val="20"/>
                <w:szCs w:val="20"/>
                <w:color w:val="auto"/>
              </w:rPr>
            </w:pPr>
            <w:r>
              <w:rPr>
                <w:rFonts w:ascii="Arial" w:cs="Arial" w:eastAsia="Arial" w:hAnsi="Arial"/>
                <w:sz w:val="18"/>
                <w:szCs w:val="18"/>
                <w:color w:val="auto"/>
              </w:rPr>
              <w:t>(13,625)</w:t>
            </w:r>
          </w:p>
        </w:tc>
        <w:tc>
          <w:tcPr>
            <w:tcW w:w="160" w:type="dxa"/>
            <w:vAlign w:val="bottom"/>
          </w:tcPr>
          <w:p>
            <w:pPr>
              <w:spacing w:after="0"/>
              <w:rPr>
                <w:sz w:val="18"/>
                <w:szCs w:val="18"/>
                <w:color w:val="auto"/>
              </w:rPr>
            </w:pPr>
          </w:p>
        </w:tc>
        <w:tc>
          <w:tcPr>
            <w:tcW w:w="100" w:type="dxa"/>
            <w:vAlign w:val="bottom"/>
            <w:vMerge w:val="restart"/>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vMerge w:val="restart"/>
          </w:tcPr>
          <w:p>
            <w:pPr>
              <w:jc w:val="right"/>
              <w:spacing w:after="0"/>
              <w:rPr>
                <w:sz w:val="20"/>
                <w:szCs w:val="20"/>
                <w:color w:val="auto"/>
              </w:rPr>
            </w:pPr>
            <w:r>
              <w:rPr>
                <w:rFonts w:ascii="Arial" w:cs="Arial" w:eastAsia="Arial" w:hAnsi="Arial"/>
                <w:sz w:val="18"/>
                <w:szCs w:val="18"/>
                <w:color w:val="auto"/>
              </w:rPr>
              <w:t>36,646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200" w:type="dxa"/>
            <w:vAlign w:val="bottom"/>
            <w:tcBorders>
              <w:bottom w:val="single" w:sz="8" w:color="CCEEFF"/>
            </w:tcBorders>
          </w:tcPr>
          <w:p>
            <w:pPr>
              <w:ind w:left="120"/>
              <w:spacing w:after="0" w:line="190" w:lineRule="exact"/>
              <w:rPr>
                <w:sz w:val="20"/>
                <w:szCs w:val="20"/>
                <w:color w:val="auto"/>
              </w:rPr>
            </w:pPr>
            <w:r>
              <w:rPr>
                <w:rFonts w:ascii="Arial" w:cs="Arial" w:eastAsia="Arial" w:hAnsi="Arial"/>
                <w:sz w:val="18"/>
                <w:szCs w:val="18"/>
                <w:color w:val="auto"/>
              </w:rPr>
              <w:t>Inc.</w:t>
            </w:r>
          </w:p>
        </w:tc>
        <w:tc>
          <w:tcPr>
            <w:tcW w:w="220" w:type="dxa"/>
            <w:vAlign w:val="bottom"/>
            <w:tcBorders>
              <w:bottom w:val="single" w:sz="8" w:color="auto"/>
            </w:tcBorders>
            <w:vMerge w:val="continue"/>
          </w:tcPr>
          <w:p>
            <w:pPr>
              <w:spacing w:after="0"/>
              <w:rPr>
                <w:sz w:val="19"/>
                <w:szCs w:val="19"/>
                <w:color w:val="auto"/>
              </w:rPr>
            </w:pPr>
          </w:p>
        </w:tc>
        <w:tc>
          <w:tcPr>
            <w:tcW w:w="900" w:type="dxa"/>
            <w:vAlign w:val="bottom"/>
            <w:tcBorders>
              <w:bottom w:val="single" w:sz="8" w:color="auto"/>
            </w:tcBorders>
            <w:vMerge w:val="continue"/>
          </w:tcPr>
          <w:p>
            <w:pPr>
              <w:spacing w:after="0"/>
              <w:rPr>
                <w:sz w:val="19"/>
                <w:szCs w:val="19"/>
                <w:color w:val="auto"/>
              </w:rPr>
            </w:pPr>
          </w:p>
        </w:tc>
        <w:tc>
          <w:tcPr>
            <w:tcW w:w="16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vMerge w:val="continue"/>
          </w:tcPr>
          <w:p>
            <w:pPr>
              <w:spacing w:after="0"/>
              <w:rPr>
                <w:sz w:val="19"/>
                <w:szCs w:val="19"/>
                <w:color w:val="auto"/>
              </w:rPr>
            </w:pPr>
          </w:p>
        </w:tc>
        <w:tc>
          <w:tcPr>
            <w:tcW w:w="700" w:type="dxa"/>
            <w:vAlign w:val="bottom"/>
            <w:tcBorders>
              <w:bottom w:val="single" w:sz="8" w:color="auto"/>
            </w:tcBorders>
            <w:vMerge w:val="continue"/>
          </w:tcPr>
          <w:p>
            <w:pPr>
              <w:spacing w:after="0"/>
              <w:rPr>
                <w:sz w:val="19"/>
                <w:szCs w:val="19"/>
                <w:color w:val="auto"/>
              </w:rPr>
            </w:pPr>
          </w:p>
        </w:tc>
        <w:tc>
          <w:tcPr>
            <w:tcW w:w="16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vMerge w:val="continue"/>
          </w:tcPr>
          <w:p>
            <w:pPr>
              <w:spacing w:after="0"/>
              <w:rPr>
                <w:sz w:val="19"/>
                <w:szCs w:val="19"/>
                <w:color w:val="auto"/>
              </w:rPr>
            </w:pPr>
          </w:p>
        </w:tc>
        <w:tc>
          <w:tcPr>
            <w:tcW w:w="1000" w:type="dxa"/>
            <w:vAlign w:val="bottom"/>
            <w:tcBorders>
              <w:bottom w:val="single" w:sz="8" w:color="auto"/>
            </w:tcBorders>
            <w:vMerge w:val="continue"/>
          </w:tcPr>
          <w:p>
            <w:pPr>
              <w:spacing w:after="0"/>
              <w:rPr>
                <w:sz w:val="19"/>
                <w:szCs w:val="19"/>
                <w:color w:val="auto"/>
              </w:rPr>
            </w:pPr>
          </w:p>
        </w:tc>
        <w:tc>
          <w:tcPr>
            <w:tcW w:w="16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vMerge w:val="continue"/>
          </w:tcPr>
          <w:p>
            <w:pPr>
              <w:spacing w:after="0"/>
              <w:rPr>
                <w:sz w:val="19"/>
                <w:szCs w:val="19"/>
                <w:color w:val="auto"/>
              </w:rPr>
            </w:pPr>
          </w:p>
        </w:tc>
        <w:tc>
          <w:tcPr>
            <w:tcW w:w="860" w:type="dxa"/>
            <w:vAlign w:val="bottom"/>
            <w:tcBorders>
              <w:bottom w:val="single" w:sz="8" w:color="auto"/>
            </w:tcBorders>
            <w:vMerge w:val="continue"/>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183"/>
        </w:trPr>
        <w:tc>
          <w:tcPr>
            <w:tcW w:w="20" w:type="dxa"/>
            <w:vAlign w:val="bottom"/>
            <w:vMerge w:val="restart"/>
          </w:tcPr>
          <w:p>
            <w:pPr>
              <w:spacing w:after="0"/>
              <w:rPr>
                <w:sz w:val="15"/>
                <w:szCs w:val="15"/>
                <w:color w:val="auto"/>
              </w:rPr>
            </w:pPr>
          </w:p>
        </w:tc>
        <w:tc>
          <w:tcPr>
            <w:tcW w:w="42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4200" w:type="dxa"/>
            <w:vAlign w:val="bottom"/>
          </w:tcPr>
          <w:p>
            <w:pPr>
              <w:spacing w:after="0" w:line="201" w:lineRule="exact"/>
              <w:rPr>
                <w:sz w:val="20"/>
                <w:szCs w:val="20"/>
                <w:color w:val="auto"/>
              </w:rPr>
            </w:pPr>
            <w:r>
              <w:rPr>
                <w:rFonts w:ascii="Arial" w:cs="Arial" w:eastAsia="Arial" w:hAnsi="Arial"/>
                <w:sz w:val="18"/>
                <w:szCs w:val="18"/>
                <w:color w:val="auto"/>
              </w:rPr>
              <w:t>Calavo Growers, Inc.’s net income (loss) per</w:t>
            </w: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200" w:type="dxa"/>
            <w:vAlign w:val="bottom"/>
          </w:tcPr>
          <w:p>
            <w:pPr>
              <w:ind w:left="120"/>
              <w:spacing w:after="0" w:line="203" w:lineRule="exact"/>
              <w:rPr>
                <w:sz w:val="20"/>
                <w:szCs w:val="20"/>
                <w:color w:val="auto"/>
              </w:rPr>
            </w:pPr>
            <w:r>
              <w:rPr>
                <w:rFonts w:ascii="Arial" w:cs="Arial" w:eastAsia="Arial" w:hAnsi="Arial"/>
                <w:sz w:val="18"/>
                <w:szCs w:val="18"/>
                <w:color w:val="auto"/>
              </w:rPr>
              <w:t>share:</w:t>
            </w: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05"/>
        </w:trPr>
        <w:tc>
          <w:tcPr>
            <w:tcW w:w="20" w:type="dxa"/>
            <w:vAlign w:val="bottom"/>
          </w:tcPr>
          <w:p>
            <w:pPr>
              <w:spacing w:after="0"/>
              <w:rPr>
                <w:sz w:val="24"/>
                <w:szCs w:val="24"/>
                <w:color w:val="auto"/>
              </w:rPr>
            </w:pPr>
          </w:p>
        </w:tc>
        <w:tc>
          <w:tcPr>
            <w:tcW w:w="420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Basic</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0.35</w:t>
            </w:r>
          </w:p>
        </w:tc>
        <w:tc>
          <w:tcPr>
            <w:tcW w:w="16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0.30</w:t>
            </w:r>
          </w:p>
        </w:tc>
        <w:tc>
          <w:tcPr>
            <w:tcW w:w="160" w:type="dxa"/>
            <w:vAlign w:val="bottom"/>
            <w:tcBorders>
              <w:bottom w:val="single" w:sz="8" w:color="CCEEFF"/>
            </w:tcBorders>
            <w:shd w:val="clear" w:color="auto" w:fill="CCEEFF"/>
          </w:tcPr>
          <w:p>
            <w:pPr>
              <w:spacing w:after="0"/>
              <w:rPr>
                <w:sz w:val="24"/>
                <w:szCs w:val="24"/>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(0.78)</w:t>
            </w:r>
          </w:p>
        </w:tc>
        <w:tc>
          <w:tcPr>
            <w:tcW w:w="16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2.09</w:t>
            </w:r>
          </w:p>
        </w:tc>
        <w:tc>
          <w:tcPr>
            <w:tcW w:w="60" w:type="dxa"/>
            <w:vAlign w:val="bottom"/>
            <w:tcBorders>
              <w:bottom w:val="single" w:sz="8" w:color="CCEEFF"/>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2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5"/>
        </w:trPr>
        <w:tc>
          <w:tcPr>
            <w:tcW w:w="20" w:type="dxa"/>
            <w:vAlign w:val="bottom"/>
          </w:tcPr>
          <w:p>
            <w:pPr>
              <w:spacing w:after="0"/>
              <w:rPr>
                <w:sz w:val="24"/>
                <w:szCs w:val="24"/>
                <w:color w:val="auto"/>
              </w:rPr>
            </w:pPr>
          </w:p>
        </w:tc>
        <w:tc>
          <w:tcPr>
            <w:tcW w:w="4200" w:type="dxa"/>
            <w:vAlign w:val="bottom"/>
            <w:tcBorders>
              <w:bottom w:val="single" w:sz="8" w:color="CCEEFF"/>
            </w:tcBorders>
          </w:tcPr>
          <w:p>
            <w:pPr>
              <w:ind w:left="120"/>
              <w:spacing w:after="0"/>
              <w:rPr>
                <w:sz w:val="20"/>
                <w:szCs w:val="20"/>
                <w:color w:val="auto"/>
              </w:rPr>
            </w:pPr>
            <w:r>
              <w:rPr>
                <w:rFonts w:ascii="Arial" w:cs="Arial" w:eastAsia="Arial" w:hAnsi="Arial"/>
                <w:sz w:val="18"/>
                <w:szCs w:val="18"/>
                <w:color w:val="auto"/>
              </w:rPr>
              <w:t>Diluted</w:t>
            </w: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0.35</w:t>
            </w:r>
          </w:p>
        </w:tc>
        <w:tc>
          <w:tcPr>
            <w:tcW w:w="160" w:type="dxa"/>
            <w:vAlign w:val="bottom"/>
            <w:tcBorders>
              <w:bottom w:val="single" w:sz="8" w:color="CCEEFF"/>
            </w:tcBorders>
          </w:tcPr>
          <w:p>
            <w:pPr>
              <w:spacing w:after="0"/>
              <w:rPr>
                <w:sz w:val="24"/>
                <w:szCs w:val="24"/>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0.30</w:t>
            </w:r>
          </w:p>
        </w:tc>
        <w:tc>
          <w:tcPr>
            <w:tcW w:w="160" w:type="dxa"/>
            <w:vAlign w:val="bottom"/>
            <w:tcBorders>
              <w:bottom w:val="single" w:sz="8" w:color="CCEEFF"/>
            </w:tcBorders>
          </w:tcPr>
          <w:p>
            <w:pPr>
              <w:spacing w:after="0"/>
              <w:rPr>
                <w:sz w:val="24"/>
                <w:szCs w:val="24"/>
                <w:color w:val="auto"/>
              </w:rPr>
            </w:pP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(0.78)</w:t>
            </w:r>
          </w:p>
        </w:tc>
        <w:tc>
          <w:tcPr>
            <w:tcW w:w="160" w:type="dxa"/>
            <w:vAlign w:val="bottom"/>
            <w:tcBorders>
              <w:bottom w:val="single" w:sz="8" w:color="CCEEFF"/>
            </w:tcBorders>
          </w:tcPr>
          <w:p>
            <w:pPr>
              <w:spacing w:after="0"/>
              <w:rPr>
                <w:sz w:val="24"/>
                <w:szCs w:val="24"/>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2.08</w:t>
            </w:r>
          </w:p>
        </w:tc>
        <w:tc>
          <w:tcPr>
            <w:tcW w:w="60" w:type="dxa"/>
            <w:vAlign w:val="bottom"/>
            <w:tcBorders>
              <w:bottom w:val="single" w:sz="8" w:color="CCEEFF"/>
            </w:tcBorders>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20" w:type="dxa"/>
            <w:vAlign w:val="bottom"/>
            <w:vMerge w:val="restart"/>
          </w:tcPr>
          <w:p>
            <w:pPr>
              <w:spacing w:after="0"/>
              <w:rPr>
                <w:sz w:val="17"/>
                <w:szCs w:val="17"/>
                <w:color w:val="auto"/>
              </w:rPr>
            </w:pPr>
          </w:p>
        </w:tc>
        <w:tc>
          <w:tcPr>
            <w:tcW w:w="42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4200" w:type="dxa"/>
            <w:vAlign w:val="bottom"/>
          </w:tcPr>
          <w:p>
            <w:pPr>
              <w:spacing w:after="0" w:line="202" w:lineRule="exact"/>
              <w:rPr>
                <w:sz w:val="20"/>
                <w:szCs w:val="20"/>
                <w:color w:val="auto"/>
              </w:rPr>
            </w:pPr>
            <w:r>
              <w:rPr>
                <w:rFonts w:ascii="Arial" w:cs="Arial" w:eastAsia="Arial" w:hAnsi="Arial"/>
                <w:sz w:val="18"/>
                <w:szCs w:val="18"/>
                <w:color w:val="auto"/>
              </w:rPr>
              <w:t>Number of shares used in per share computation:</w:t>
            </w: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200" w:type="dxa"/>
            <w:vAlign w:val="bottom"/>
            <w:shd w:val="clear" w:color="auto" w:fill="CCEEFF"/>
          </w:tcPr>
          <w:p>
            <w:pPr>
              <w:ind w:left="120"/>
              <w:spacing w:after="0" w:line="202" w:lineRule="exact"/>
              <w:rPr>
                <w:sz w:val="20"/>
                <w:szCs w:val="20"/>
                <w:color w:val="auto"/>
              </w:rPr>
            </w:pPr>
            <w:r>
              <w:rPr>
                <w:rFonts w:ascii="Arial" w:cs="Arial" w:eastAsia="Arial" w:hAnsi="Arial"/>
                <w:sz w:val="18"/>
                <w:szCs w:val="18"/>
                <w:color w:val="auto"/>
              </w:rPr>
              <w:t>Basic</w:t>
            </w:r>
          </w:p>
        </w:tc>
        <w:tc>
          <w:tcPr>
            <w:tcW w:w="220" w:type="dxa"/>
            <w:vAlign w:val="bottom"/>
            <w:tcBorders>
              <w:bottom w:val="single" w:sz="8" w:color="auto"/>
            </w:tcBorders>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17,586</w:t>
            </w:r>
          </w:p>
        </w:tc>
        <w:tc>
          <w:tcPr>
            <w:tcW w:w="16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70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17,525</w:t>
            </w:r>
          </w:p>
        </w:tc>
        <w:tc>
          <w:tcPr>
            <w:tcW w:w="160" w:type="dxa"/>
            <w:vAlign w:val="bottom"/>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100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17,564</w:t>
            </w:r>
          </w:p>
        </w:tc>
        <w:tc>
          <w:tcPr>
            <w:tcW w:w="16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17,519</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200" w:type="dxa"/>
            <w:vAlign w:val="bottom"/>
          </w:tcPr>
          <w:p>
            <w:pPr>
              <w:ind w:left="120"/>
              <w:spacing w:after="0" w:line="196" w:lineRule="exact"/>
              <w:rPr>
                <w:sz w:val="20"/>
                <w:szCs w:val="20"/>
                <w:color w:val="auto"/>
              </w:rPr>
            </w:pPr>
            <w:r>
              <w:rPr>
                <w:rFonts w:ascii="Arial" w:cs="Arial" w:eastAsia="Arial" w:hAnsi="Arial"/>
                <w:sz w:val="18"/>
                <w:szCs w:val="18"/>
                <w:color w:val="auto"/>
              </w:rPr>
              <w:t>Diluted</w:t>
            </w:r>
          </w:p>
        </w:tc>
        <w:tc>
          <w:tcPr>
            <w:tcW w:w="22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17,666</w:t>
            </w:r>
          </w:p>
        </w:tc>
        <w:tc>
          <w:tcPr>
            <w:tcW w:w="16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17,604</w:t>
            </w:r>
          </w:p>
        </w:tc>
        <w:tc>
          <w:tcPr>
            <w:tcW w:w="16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17,564</w:t>
            </w:r>
          </w:p>
        </w:tc>
        <w:tc>
          <w:tcPr>
            <w:tcW w:w="16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17,593</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2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80"/>
        </w:trPr>
        <w:tc>
          <w:tcPr>
            <w:tcW w:w="20" w:type="dxa"/>
            <w:vAlign w:val="bottom"/>
            <w:tcBorders>
              <w:bottom w:val="single" w:sz="8" w:color="auto"/>
            </w:tcBorders>
          </w:tcPr>
          <w:p>
            <w:pPr>
              <w:spacing w:after="0"/>
              <w:rPr>
                <w:sz w:val="24"/>
                <w:szCs w:val="24"/>
                <w:color w:val="auto"/>
              </w:rPr>
            </w:pPr>
          </w:p>
        </w:tc>
        <w:tc>
          <w:tcPr>
            <w:tcW w:w="42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661" w:right="1440" w:bottom="1440" w:gutter="0" w:footer="0" w:header="0"/>
        </w:sectPr>
      </w:pPr>
    </w:p>
    <w:bookmarkStart w:id="12" w:name="page13"/>
    <w:bookmarkEnd w:id="12"/>
    <w:p>
      <w:pPr>
        <w:ind w:left="60"/>
        <w:spacing w:after="0"/>
        <w:rPr>
          <w:sz w:val="20"/>
          <w:szCs w:val="20"/>
          <w:color w:val="auto"/>
        </w:rPr>
      </w:pPr>
      <w:r>
        <w:rPr>
          <w:rFonts w:ascii="Arial" w:cs="Arial" w:eastAsia="Arial" w:hAnsi="Arial"/>
          <w:sz w:val="18"/>
          <w:szCs w:val="18"/>
          <w:i w:val="1"/>
          <w:iCs w:val="1"/>
          <w:color w:val="auto"/>
        </w:rPr>
        <w:t>Calavo Growers, Inc.</w:t>
      </w:r>
    </w:p>
    <w:p>
      <w:pPr>
        <w:spacing w:after="0" w:line="14"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page 10 of 14</w:t>
      </w:r>
    </w:p>
    <w:p>
      <w:pPr>
        <w:spacing w:after="0" w:line="17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CALAVO GROWERS, INC.</w:t>
      </w:r>
    </w:p>
    <w:p>
      <w:pPr>
        <w:spacing w:after="0" w:line="21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NET SALES AND GROSS PROFIT BY BUSINESS SEGMENT (UNAUDITED)</w:t>
      </w:r>
    </w:p>
    <w:p>
      <w:pPr>
        <w:spacing w:after="0" w:line="1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w:t>
      </w:r>
    </w:p>
    <w:p>
      <w:pPr>
        <w:spacing w:after="0" w:line="253" w:lineRule="exact"/>
        <w:rPr>
          <w:sz w:val="20"/>
          <w:szCs w:val="20"/>
          <w:color w:val="auto"/>
        </w:rPr>
      </w:pPr>
    </w:p>
    <w:tbl>
      <w:tblPr>
        <w:tblLayout w:type="fixed"/>
        <w:tblInd w:w="40" w:type="dxa"/>
        <w:tblCellMar>
          <w:top w:w="0" w:type="dxa"/>
          <w:left w:w="0" w:type="dxa"/>
          <w:bottom w:w="0" w:type="dxa"/>
          <w:right w:w="0" w:type="dxa"/>
        </w:tblCellMar>
      </w:tblPr>
      <w:tr>
        <w:trPr>
          <w:trHeight w:val="190"/>
        </w:trPr>
        <w:tc>
          <w:tcPr>
            <w:tcW w:w="33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Fresh</w:t>
            </w:r>
          </w:p>
        </w:tc>
        <w:tc>
          <w:tcPr>
            <w:tcW w:w="2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gridSpan w:val="3"/>
          </w:tcPr>
          <w:p>
            <w:pPr>
              <w:ind w:left="100"/>
              <w:spacing w:after="0"/>
              <w:rPr>
                <w:sz w:val="20"/>
                <w:szCs w:val="20"/>
                <w:color w:val="auto"/>
              </w:rPr>
            </w:pPr>
            <w:r>
              <w:rPr>
                <w:rFonts w:ascii="Arial" w:cs="Arial" w:eastAsia="Arial" w:hAnsi="Arial"/>
                <w:sz w:val="14"/>
                <w:szCs w:val="14"/>
                <w:b w:val="1"/>
                <w:bCs w:val="1"/>
                <w:color w:val="auto"/>
              </w:rPr>
              <w:t>Interco.</w:t>
            </w:r>
          </w:p>
        </w:tc>
        <w:tc>
          <w:tcPr>
            <w:tcW w:w="1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40" w:type="dxa"/>
            <w:vAlign w:val="bottom"/>
          </w:tcPr>
          <w:p>
            <w:pPr>
              <w:spacing w:after="0"/>
              <w:rPr>
                <w:sz w:val="16"/>
                <w:szCs w:val="16"/>
                <w:color w:val="auto"/>
              </w:rPr>
            </w:pPr>
          </w:p>
        </w:tc>
      </w:tr>
      <w:tr>
        <w:trPr>
          <w:trHeight w:val="188"/>
        </w:trPr>
        <w:tc>
          <w:tcPr>
            <w:tcW w:w="33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rPr>
              <w:t>products</w:t>
            </w:r>
          </w:p>
        </w:tc>
        <w:tc>
          <w:tcPr>
            <w:tcW w:w="200" w:type="dxa"/>
            <w:vAlign w:val="bottom"/>
          </w:tcPr>
          <w:p>
            <w:pPr>
              <w:spacing w:after="0"/>
              <w:rPr>
                <w:sz w:val="16"/>
                <w:szCs w:val="16"/>
                <w:color w:val="auto"/>
              </w:rPr>
            </w:pPr>
          </w:p>
        </w:tc>
        <w:tc>
          <w:tcPr>
            <w:tcW w:w="1060" w:type="dxa"/>
            <w:vAlign w:val="bottom"/>
            <w:gridSpan w:val="2"/>
          </w:tcPr>
          <w:p>
            <w:pPr>
              <w:ind w:left="180"/>
              <w:spacing w:after="0"/>
              <w:rPr>
                <w:sz w:val="20"/>
                <w:szCs w:val="20"/>
                <w:color w:val="auto"/>
              </w:rPr>
            </w:pPr>
            <w:r>
              <w:rPr>
                <w:rFonts w:ascii="Arial" w:cs="Arial" w:eastAsia="Arial" w:hAnsi="Arial"/>
                <w:sz w:val="14"/>
                <w:szCs w:val="14"/>
                <w:b w:val="1"/>
                <w:bCs w:val="1"/>
                <w:color w:val="auto"/>
              </w:rPr>
              <w:t>RFG</w:t>
            </w:r>
          </w:p>
        </w:tc>
        <w:tc>
          <w:tcPr>
            <w:tcW w:w="1280" w:type="dxa"/>
            <w:vAlign w:val="bottom"/>
            <w:gridSpan w:val="3"/>
          </w:tcPr>
          <w:p>
            <w:pPr>
              <w:ind w:left="80"/>
              <w:spacing w:after="0"/>
              <w:rPr>
                <w:sz w:val="20"/>
                <w:szCs w:val="20"/>
                <w:color w:val="auto"/>
              </w:rPr>
            </w:pPr>
            <w:r>
              <w:rPr>
                <w:rFonts w:ascii="Arial" w:cs="Arial" w:eastAsia="Arial" w:hAnsi="Arial"/>
                <w:sz w:val="14"/>
                <w:szCs w:val="14"/>
                <w:b w:val="1"/>
                <w:bCs w:val="1"/>
                <w:color w:val="auto"/>
              </w:rPr>
              <w:t>Calavo Foods</w:t>
            </w:r>
          </w:p>
        </w:tc>
        <w:tc>
          <w:tcPr>
            <w:tcW w:w="860" w:type="dxa"/>
            <w:vAlign w:val="bottom"/>
            <w:gridSpan w:val="3"/>
          </w:tcPr>
          <w:p>
            <w:pPr>
              <w:ind w:left="80"/>
              <w:spacing w:after="0"/>
              <w:rPr>
                <w:sz w:val="20"/>
                <w:szCs w:val="20"/>
                <w:color w:val="auto"/>
              </w:rPr>
            </w:pPr>
            <w:r>
              <w:rPr>
                <w:rFonts w:ascii="Arial" w:cs="Arial" w:eastAsia="Arial" w:hAnsi="Arial"/>
                <w:sz w:val="14"/>
                <w:szCs w:val="14"/>
                <w:b w:val="1"/>
                <w:bCs w:val="1"/>
                <w:color w:val="auto"/>
              </w:rPr>
              <w:t>Elimins.</w:t>
            </w:r>
          </w:p>
        </w:tc>
        <w:tc>
          <w:tcPr>
            <w:tcW w:w="120" w:type="dxa"/>
            <w:vAlign w:val="bottom"/>
          </w:tcPr>
          <w:p>
            <w:pPr>
              <w:spacing w:after="0"/>
              <w:rPr>
                <w:sz w:val="16"/>
                <w:szCs w:val="16"/>
                <w:color w:val="auto"/>
              </w:rPr>
            </w:pPr>
          </w:p>
        </w:tc>
        <w:tc>
          <w:tcPr>
            <w:tcW w:w="980" w:type="dxa"/>
            <w:vAlign w:val="bottom"/>
            <w:gridSpan w:val="2"/>
          </w:tcPr>
          <w:p>
            <w:pPr>
              <w:ind w:left="240"/>
              <w:spacing w:after="0"/>
              <w:rPr>
                <w:sz w:val="20"/>
                <w:szCs w:val="20"/>
                <w:color w:val="auto"/>
              </w:rPr>
            </w:pPr>
            <w:r>
              <w:rPr>
                <w:rFonts w:ascii="Arial" w:cs="Arial" w:eastAsia="Arial" w:hAnsi="Arial"/>
                <w:sz w:val="14"/>
                <w:szCs w:val="14"/>
                <w:b w:val="1"/>
                <w:bCs w:val="1"/>
                <w:color w:val="auto"/>
              </w:rPr>
              <w:t>Total</w:t>
            </w:r>
          </w:p>
        </w:tc>
      </w:tr>
      <w:tr>
        <w:trPr>
          <w:trHeight w:val="155"/>
        </w:trPr>
        <w:tc>
          <w:tcPr>
            <w:tcW w:w="330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780" w:type="dxa"/>
            <w:vAlign w:val="bottom"/>
            <w:tcBorders>
              <w:top w:val="single" w:sz="8" w:color="auto"/>
            </w:tcBorders>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840" w:type="dxa"/>
            <w:vAlign w:val="bottom"/>
            <w:tcBorders>
              <w:top w:val="single" w:sz="8" w:color="auto"/>
            </w:tcBorders>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280" w:type="dxa"/>
            <w:vAlign w:val="bottom"/>
            <w:tcBorders>
              <w:top w:val="single" w:sz="8" w:color="auto"/>
            </w:tcBorders>
          </w:tcPr>
          <w:p>
            <w:pPr>
              <w:spacing w:after="0"/>
              <w:rPr>
                <w:sz w:val="13"/>
                <w:szCs w:val="13"/>
                <w:color w:val="auto"/>
              </w:rPr>
            </w:pPr>
          </w:p>
        </w:tc>
        <w:tc>
          <w:tcPr>
            <w:tcW w:w="840" w:type="dxa"/>
            <w:vAlign w:val="bottom"/>
            <w:tcBorders>
              <w:top w:val="single" w:sz="8" w:color="auto"/>
            </w:tcBorders>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580" w:type="dxa"/>
            <w:vAlign w:val="bottom"/>
            <w:tcBorders>
              <w:top w:val="single" w:sz="8" w:color="auto"/>
            </w:tcBorders>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940" w:type="dxa"/>
            <w:vAlign w:val="bottom"/>
            <w:tcBorders>
              <w:top w:val="single" w:sz="8" w:color="auto"/>
            </w:tcBorders>
          </w:tcPr>
          <w:p>
            <w:pPr>
              <w:spacing w:after="0"/>
              <w:rPr>
                <w:sz w:val="13"/>
                <w:szCs w:val="13"/>
                <w:color w:val="auto"/>
              </w:rPr>
            </w:pPr>
          </w:p>
        </w:tc>
        <w:tc>
          <w:tcPr>
            <w:tcW w:w="40" w:type="dxa"/>
            <w:vAlign w:val="bottom"/>
          </w:tcPr>
          <w:p>
            <w:pPr>
              <w:spacing w:after="0"/>
              <w:rPr>
                <w:sz w:val="13"/>
                <w:szCs w:val="13"/>
                <w:color w:val="auto"/>
              </w:rPr>
            </w:pPr>
          </w:p>
        </w:tc>
      </w:tr>
      <w:tr>
        <w:trPr>
          <w:trHeight w:val="180"/>
        </w:trPr>
        <w:tc>
          <w:tcPr>
            <w:tcW w:w="3300" w:type="dxa"/>
            <w:vAlign w:val="bottom"/>
            <w:shd w:val="clear" w:color="auto" w:fill="CCEEFF"/>
          </w:tcPr>
          <w:p>
            <w:pPr>
              <w:ind w:left="20"/>
              <w:spacing w:after="0" w:line="180" w:lineRule="exact"/>
              <w:rPr>
                <w:sz w:val="20"/>
                <w:szCs w:val="20"/>
                <w:color w:val="auto"/>
              </w:rPr>
            </w:pPr>
            <w:r>
              <w:rPr>
                <w:rFonts w:ascii="Arial" w:cs="Arial" w:eastAsia="Arial" w:hAnsi="Arial"/>
                <w:sz w:val="18"/>
                <w:szCs w:val="18"/>
                <w:b w:val="1"/>
                <w:bCs w:val="1"/>
                <w:color w:val="auto"/>
              </w:rPr>
              <w:t>Three months ended October 31,</w:t>
            </w:r>
          </w:p>
        </w:tc>
        <w:tc>
          <w:tcPr>
            <w:tcW w:w="12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r>
      <w:tr>
        <w:trPr>
          <w:trHeight w:val="225"/>
        </w:trPr>
        <w:tc>
          <w:tcPr>
            <w:tcW w:w="33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2020</w:t>
            </w:r>
          </w:p>
        </w:tc>
        <w:tc>
          <w:tcPr>
            <w:tcW w:w="1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r>
      <w:tr>
        <w:trPr>
          <w:trHeight w:val="203"/>
        </w:trPr>
        <w:tc>
          <w:tcPr>
            <w:tcW w:w="3300" w:type="dxa"/>
            <w:vAlign w:val="bottom"/>
          </w:tcPr>
          <w:p>
            <w:pPr>
              <w:ind w:left="20"/>
              <w:spacing w:after="0" w:line="202" w:lineRule="exact"/>
              <w:rPr>
                <w:sz w:val="20"/>
                <w:szCs w:val="20"/>
                <w:color w:val="auto"/>
              </w:rPr>
            </w:pPr>
            <w:r>
              <w:rPr>
                <w:rFonts w:ascii="Arial" w:cs="Arial" w:eastAsia="Arial" w:hAnsi="Arial"/>
                <w:sz w:val="18"/>
                <w:szCs w:val="18"/>
                <w:color w:val="auto"/>
              </w:rPr>
              <w:t>Net sales</w:t>
            </w:r>
          </w:p>
        </w:tc>
        <w:tc>
          <w:tcPr>
            <w:tcW w:w="12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780" w:type="dxa"/>
            <w:vAlign w:val="bottom"/>
          </w:tcPr>
          <w:p>
            <w:pPr>
              <w:jc w:val="right"/>
              <w:ind w:right="13"/>
              <w:spacing w:after="0" w:line="202" w:lineRule="exact"/>
              <w:rPr>
                <w:sz w:val="20"/>
                <w:szCs w:val="20"/>
                <w:color w:val="auto"/>
              </w:rPr>
            </w:pPr>
            <w:r>
              <w:rPr>
                <w:rFonts w:ascii="Arial" w:cs="Arial" w:eastAsia="Arial" w:hAnsi="Arial"/>
                <w:sz w:val="18"/>
                <w:szCs w:val="18"/>
                <w:color w:val="auto"/>
              </w:rPr>
              <w:t>118,855</w:t>
            </w:r>
          </w:p>
        </w:tc>
        <w:tc>
          <w:tcPr>
            <w:tcW w:w="200" w:type="dxa"/>
            <w:vAlign w:val="bottom"/>
          </w:tcPr>
          <w:p>
            <w:pPr>
              <w:spacing w:after="0"/>
              <w:rPr>
                <w:sz w:val="17"/>
                <w:szCs w:val="17"/>
                <w:color w:val="auto"/>
              </w:rPr>
            </w:pPr>
          </w:p>
        </w:tc>
        <w:tc>
          <w:tcPr>
            <w:tcW w:w="200" w:type="dxa"/>
            <w:vAlign w:val="bottom"/>
          </w:tcPr>
          <w:p>
            <w:pPr>
              <w:jc w:val="right"/>
              <w:spacing w:after="0" w:line="202" w:lineRule="exact"/>
              <w:rPr>
                <w:sz w:val="20"/>
                <w:szCs w:val="20"/>
                <w:color w:val="auto"/>
              </w:rPr>
            </w:pPr>
            <w:r>
              <w:rPr>
                <w:rFonts w:ascii="Arial" w:cs="Arial" w:eastAsia="Arial" w:hAnsi="Arial"/>
                <w:sz w:val="18"/>
                <w:szCs w:val="18"/>
                <w:color w:val="auto"/>
                <w:w w:val="99"/>
              </w:rPr>
              <w:t>$</w:t>
            </w:r>
          </w:p>
        </w:tc>
        <w:tc>
          <w:tcPr>
            <w:tcW w:w="840" w:type="dxa"/>
            <w:vAlign w:val="bottom"/>
          </w:tcPr>
          <w:p>
            <w:pPr>
              <w:jc w:val="right"/>
              <w:ind w:right="11"/>
              <w:spacing w:after="0" w:line="202" w:lineRule="exact"/>
              <w:rPr>
                <w:sz w:val="20"/>
                <w:szCs w:val="20"/>
                <w:color w:val="auto"/>
              </w:rPr>
            </w:pPr>
            <w:r>
              <w:rPr>
                <w:rFonts w:ascii="Arial" w:cs="Arial" w:eastAsia="Arial" w:hAnsi="Arial"/>
                <w:sz w:val="18"/>
                <w:szCs w:val="18"/>
                <w:color w:val="auto"/>
              </w:rPr>
              <w:t>99,337</w:t>
            </w:r>
          </w:p>
        </w:tc>
        <w:tc>
          <w:tcPr>
            <w:tcW w:w="220" w:type="dxa"/>
            <w:vAlign w:val="bottom"/>
          </w:tcPr>
          <w:p>
            <w:pPr>
              <w:spacing w:after="0"/>
              <w:rPr>
                <w:sz w:val="17"/>
                <w:szCs w:val="17"/>
                <w:color w:val="auto"/>
              </w:rPr>
            </w:pPr>
          </w:p>
        </w:tc>
        <w:tc>
          <w:tcPr>
            <w:tcW w:w="280" w:type="dxa"/>
            <w:vAlign w:val="bottom"/>
          </w:tcPr>
          <w:p>
            <w:pPr>
              <w:jc w:val="right"/>
              <w:ind w:right="92"/>
              <w:spacing w:after="0" w:line="202" w:lineRule="exact"/>
              <w:rPr>
                <w:sz w:val="20"/>
                <w:szCs w:val="20"/>
                <w:color w:val="auto"/>
              </w:rPr>
            </w:pPr>
            <w:r>
              <w:rPr>
                <w:rFonts w:ascii="Arial" w:cs="Arial" w:eastAsia="Arial" w:hAnsi="Arial"/>
                <w:sz w:val="18"/>
                <w:szCs w:val="18"/>
                <w:color w:val="auto"/>
                <w:w w:val="79"/>
              </w:rPr>
              <w:t>$</w:t>
            </w:r>
          </w:p>
        </w:tc>
        <w:tc>
          <w:tcPr>
            <w:tcW w:w="840" w:type="dxa"/>
            <w:vAlign w:val="bottom"/>
          </w:tcPr>
          <w:p>
            <w:pPr>
              <w:jc w:val="right"/>
              <w:ind w:right="10"/>
              <w:spacing w:after="0" w:line="202" w:lineRule="exact"/>
              <w:rPr>
                <w:sz w:val="20"/>
                <w:szCs w:val="20"/>
                <w:color w:val="auto"/>
              </w:rPr>
            </w:pPr>
            <w:r>
              <w:rPr>
                <w:rFonts w:ascii="Arial" w:cs="Arial" w:eastAsia="Arial" w:hAnsi="Arial"/>
                <w:sz w:val="18"/>
                <w:szCs w:val="18"/>
                <w:color w:val="auto"/>
              </w:rPr>
              <w:t>17,916</w:t>
            </w:r>
          </w:p>
        </w:tc>
        <w:tc>
          <w:tcPr>
            <w:tcW w:w="160" w:type="dxa"/>
            <w:vAlign w:val="bottom"/>
          </w:tcPr>
          <w:p>
            <w:pPr>
              <w:spacing w:after="0"/>
              <w:rPr>
                <w:sz w:val="17"/>
                <w:szCs w:val="17"/>
                <w:color w:val="auto"/>
              </w:rPr>
            </w:pPr>
          </w:p>
        </w:tc>
        <w:tc>
          <w:tcPr>
            <w:tcW w:w="12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74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w w:val="98"/>
              </w:rPr>
              <w:t>(1,678)</w:t>
            </w:r>
          </w:p>
        </w:tc>
        <w:tc>
          <w:tcPr>
            <w:tcW w:w="12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940" w:type="dxa"/>
            <w:vAlign w:val="bottom"/>
          </w:tcPr>
          <w:p>
            <w:pPr>
              <w:jc w:val="right"/>
              <w:ind w:right="11"/>
              <w:spacing w:after="0" w:line="202" w:lineRule="exact"/>
              <w:rPr>
                <w:sz w:val="20"/>
                <w:szCs w:val="20"/>
                <w:color w:val="auto"/>
              </w:rPr>
            </w:pPr>
            <w:r>
              <w:rPr>
                <w:rFonts w:ascii="Arial" w:cs="Arial" w:eastAsia="Arial" w:hAnsi="Arial"/>
                <w:sz w:val="18"/>
                <w:szCs w:val="18"/>
                <w:color w:val="auto"/>
              </w:rPr>
              <w:t>234,430</w:t>
            </w:r>
          </w:p>
        </w:tc>
        <w:tc>
          <w:tcPr>
            <w:tcW w:w="40" w:type="dxa"/>
            <w:vAlign w:val="bottom"/>
          </w:tcPr>
          <w:p>
            <w:pPr>
              <w:spacing w:after="0"/>
              <w:rPr>
                <w:sz w:val="17"/>
                <w:szCs w:val="17"/>
                <w:color w:val="auto"/>
              </w:rPr>
            </w:pPr>
          </w:p>
        </w:tc>
      </w:tr>
      <w:tr>
        <w:trPr>
          <w:trHeight w:val="203"/>
        </w:trPr>
        <w:tc>
          <w:tcPr>
            <w:tcW w:w="330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Cost of sales</w:t>
            </w: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jc w:val="right"/>
              <w:ind w:right="13"/>
              <w:spacing w:after="0" w:line="202" w:lineRule="exact"/>
              <w:rPr>
                <w:sz w:val="20"/>
                <w:szCs w:val="20"/>
                <w:color w:val="auto"/>
              </w:rPr>
            </w:pPr>
            <w:r>
              <w:rPr>
                <w:rFonts w:ascii="Arial" w:cs="Arial" w:eastAsia="Arial" w:hAnsi="Arial"/>
                <w:sz w:val="18"/>
                <w:szCs w:val="18"/>
                <w:color w:val="auto"/>
              </w:rPr>
              <w:t>110,013</w:t>
            </w: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40" w:type="dxa"/>
            <w:vAlign w:val="bottom"/>
            <w:shd w:val="clear" w:color="auto" w:fill="CCEEFF"/>
          </w:tcPr>
          <w:p>
            <w:pPr>
              <w:jc w:val="right"/>
              <w:ind w:right="11"/>
              <w:spacing w:after="0" w:line="202" w:lineRule="exact"/>
              <w:rPr>
                <w:sz w:val="20"/>
                <w:szCs w:val="20"/>
                <w:color w:val="auto"/>
              </w:rPr>
            </w:pPr>
            <w:r>
              <w:rPr>
                <w:rFonts w:ascii="Arial" w:cs="Arial" w:eastAsia="Arial" w:hAnsi="Arial"/>
                <w:sz w:val="18"/>
                <w:szCs w:val="18"/>
                <w:color w:val="auto"/>
              </w:rPr>
              <w:t>91,611</w:t>
            </w:r>
          </w:p>
        </w:tc>
        <w:tc>
          <w:tcPr>
            <w:tcW w:w="2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4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13,304</w:t>
            </w: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w w:val="98"/>
              </w:rPr>
              <w:t>(1,678)</w:t>
            </w:r>
          </w:p>
        </w:tc>
        <w:tc>
          <w:tcPr>
            <w:tcW w:w="120" w:type="dxa"/>
            <w:vAlign w:val="bottom"/>
            <w:shd w:val="clear" w:color="auto" w:fill="CCEEFF"/>
          </w:tcPr>
          <w:p>
            <w:pPr>
              <w:spacing w:after="0"/>
              <w:rPr>
                <w:sz w:val="17"/>
                <w:szCs w:val="17"/>
                <w:color w:val="auto"/>
              </w:rPr>
            </w:pPr>
          </w:p>
        </w:tc>
        <w:tc>
          <w:tcPr>
            <w:tcW w:w="940" w:type="dxa"/>
            <w:vAlign w:val="bottom"/>
            <w:shd w:val="clear" w:color="auto" w:fill="CCEEFF"/>
          </w:tcPr>
          <w:p>
            <w:pPr>
              <w:jc w:val="right"/>
              <w:ind w:right="11"/>
              <w:spacing w:after="0" w:line="202" w:lineRule="exact"/>
              <w:rPr>
                <w:sz w:val="20"/>
                <w:szCs w:val="20"/>
                <w:color w:val="auto"/>
              </w:rPr>
            </w:pPr>
            <w:r>
              <w:rPr>
                <w:rFonts w:ascii="Arial" w:cs="Arial" w:eastAsia="Arial" w:hAnsi="Arial"/>
                <w:sz w:val="18"/>
                <w:szCs w:val="18"/>
                <w:color w:val="auto"/>
              </w:rPr>
              <w:t>213,250</w:t>
            </w:r>
          </w:p>
        </w:tc>
        <w:tc>
          <w:tcPr>
            <w:tcW w:w="40" w:type="dxa"/>
            <w:vAlign w:val="bottom"/>
            <w:shd w:val="clear" w:color="auto" w:fill="CCEEFF"/>
          </w:tcPr>
          <w:p>
            <w:pPr>
              <w:spacing w:after="0"/>
              <w:rPr>
                <w:sz w:val="17"/>
                <w:szCs w:val="17"/>
                <w:color w:val="auto"/>
              </w:rPr>
            </w:pPr>
          </w:p>
        </w:tc>
      </w:tr>
      <w:tr>
        <w:trPr>
          <w:trHeight w:val="236"/>
        </w:trPr>
        <w:tc>
          <w:tcPr>
            <w:tcW w:w="3300" w:type="dxa"/>
            <w:vAlign w:val="bottom"/>
            <w:tcBorders>
              <w:bottom w:val="single" w:sz="8" w:color="CCEEFF"/>
            </w:tcBorders>
          </w:tcPr>
          <w:p>
            <w:pPr>
              <w:ind w:left="20"/>
              <w:spacing w:after="0" w:line="196" w:lineRule="exact"/>
              <w:rPr>
                <w:sz w:val="20"/>
                <w:szCs w:val="20"/>
                <w:color w:val="auto"/>
              </w:rPr>
            </w:pPr>
            <w:r>
              <w:rPr>
                <w:rFonts w:ascii="Arial" w:cs="Arial" w:eastAsia="Arial" w:hAnsi="Arial"/>
                <w:sz w:val="18"/>
                <w:szCs w:val="18"/>
                <w:color w:val="auto"/>
              </w:rPr>
              <w:t>Gross profit</w:t>
            </w:r>
          </w:p>
        </w:tc>
        <w:tc>
          <w:tcPr>
            <w:tcW w:w="12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tcPr>
          <w:p>
            <w:pPr>
              <w:jc w:val="right"/>
              <w:ind w:right="13"/>
              <w:spacing w:after="0" w:line="196" w:lineRule="exact"/>
              <w:rPr>
                <w:sz w:val="20"/>
                <w:szCs w:val="20"/>
                <w:color w:val="auto"/>
              </w:rPr>
            </w:pPr>
            <w:r>
              <w:rPr>
                <w:rFonts w:ascii="Arial" w:cs="Arial" w:eastAsia="Arial" w:hAnsi="Arial"/>
                <w:sz w:val="18"/>
                <w:szCs w:val="18"/>
                <w:color w:val="auto"/>
              </w:rPr>
              <w:t>8,842</w:t>
            </w:r>
          </w:p>
        </w:tc>
        <w:tc>
          <w:tcPr>
            <w:tcW w:w="200" w:type="dxa"/>
            <w:vAlign w:val="bottom"/>
            <w:tcBorders>
              <w:bottom w:val="single" w:sz="8" w:color="CCEEFF"/>
            </w:tcBorders>
          </w:tcPr>
          <w:p>
            <w:pPr>
              <w:spacing w:after="0"/>
              <w:rPr>
                <w:sz w:val="20"/>
                <w:szCs w:val="20"/>
                <w:color w:val="auto"/>
              </w:rPr>
            </w:pPr>
          </w:p>
        </w:tc>
        <w:tc>
          <w:tcPr>
            <w:tcW w:w="20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bottom w:val="single" w:sz="8" w:color="auto"/>
            </w:tcBorders>
          </w:tcPr>
          <w:p>
            <w:pPr>
              <w:jc w:val="right"/>
              <w:ind w:right="11"/>
              <w:spacing w:after="0" w:line="196" w:lineRule="exact"/>
              <w:rPr>
                <w:sz w:val="20"/>
                <w:szCs w:val="20"/>
                <w:color w:val="auto"/>
              </w:rPr>
            </w:pPr>
            <w:r>
              <w:rPr>
                <w:rFonts w:ascii="Arial" w:cs="Arial" w:eastAsia="Arial" w:hAnsi="Arial"/>
                <w:sz w:val="18"/>
                <w:szCs w:val="18"/>
                <w:color w:val="auto"/>
              </w:rPr>
              <w:t>7,726</w:t>
            </w:r>
          </w:p>
        </w:tc>
        <w:tc>
          <w:tcPr>
            <w:tcW w:w="220" w:type="dxa"/>
            <w:vAlign w:val="bottom"/>
            <w:tcBorders>
              <w:bottom w:val="single" w:sz="8" w:color="CCEEFF"/>
            </w:tcBorders>
          </w:tcPr>
          <w:p>
            <w:pPr>
              <w:spacing w:after="0"/>
              <w:rPr>
                <w:sz w:val="20"/>
                <w:szCs w:val="20"/>
                <w:color w:val="auto"/>
              </w:rPr>
            </w:pPr>
          </w:p>
        </w:tc>
        <w:tc>
          <w:tcPr>
            <w:tcW w:w="280" w:type="dxa"/>
            <w:vAlign w:val="bottom"/>
            <w:tcBorders>
              <w:top w:val="single" w:sz="8" w:color="auto"/>
              <w:bottom w:val="single" w:sz="8" w:color="auto"/>
            </w:tcBorders>
          </w:tcPr>
          <w:p>
            <w:pPr>
              <w:jc w:val="right"/>
              <w:ind w:right="92"/>
              <w:spacing w:after="0" w:line="196" w:lineRule="exact"/>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tcPr>
          <w:p>
            <w:pPr>
              <w:jc w:val="right"/>
              <w:ind w:right="10"/>
              <w:spacing w:after="0" w:line="196" w:lineRule="exact"/>
              <w:rPr>
                <w:sz w:val="20"/>
                <w:szCs w:val="20"/>
                <w:color w:val="auto"/>
              </w:rPr>
            </w:pPr>
            <w:r>
              <w:rPr>
                <w:rFonts w:ascii="Arial" w:cs="Arial" w:eastAsia="Arial" w:hAnsi="Arial"/>
                <w:sz w:val="18"/>
                <w:szCs w:val="18"/>
                <w:color w:val="auto"/>
              </w:rPr>
              <w:t>4,612</w:t>
            </w:r>
          </w:p>
        </w:tc>
        <w:tc>
          <w:tcPr>
            <w:tcW w:w="160" w:type="dxa"/>
            <w:vAlign w:val="bottom"/>
            <w:tcBorders>
              <w:bottom w:val="single" w:sz="8" w:color="CCEEFF"/>
            </w:tcBorders>
          </w:tcPr>
          <w:p>
            <w:pPr>
              <w:spacing w:after="0"/>
              <w:rPr>
                <w:sz w:val="20"/>
                <w:szCs w:val="20"/>
                <w:color w:val="auto"/>
              </w:rPr>
            </w:pPr>
          </w:p>
        </w:tc>
        <w:tc>
          <w:tcPr>
            <w:tcW w:w="12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tcPr>
          <w:p>
            <w:pPr>
              <w:spacing w:after="0"/>
              <w:rPr>
                <w:sz w:val="20"/>
                <w:szCs w:val="20"/>
                <w:color w:val="auto"/>
              </w:rPr>
            </w:pPr>
          </w:p>
        </w:tc>
        <w:tc>
          <w:tcPr>
            <w:tcW w:w="12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tcPr>
          <w:p>
            <w:pPr>
              <w:jc w:val="right"/>
              <w:ind w:right="11"/>
              <w:spacing w:after="0" w:line="196" w:lineRule="exact"/>
              <w:rPr>
                <w:sz w:val="20"/>
                <w:szCs w:val="20"/>
                <w:color w:val="auto"/>
              </w:rPr>
            </w:pPr>
            <w:r>
              <w:rPr>
                <w:rFonts w:ascii="Arial" w:cs="Arial" w:eastAsia="Arial" w:hAnsi="Arial"/>
                <w:sz w:val="18"/>
                <w:szCs w:val="18"/>
                <w:color w:val="auto"/>
              </w:rPr>
              <w:t>21,180</w:t>
            </w:r>
          </w:p>
        </w:tc>
        <w:tc>
          <w:tcPr>
            <w:tcW w:w="40" w:type="dxa"/>
            <w:vAlign w:val="bottom"/>
            <w:tcBorders>
              <w:bottom w:val="single" w:sz="8" w:color="CCEEFF"/>
            </w:tcBorders>
          </w:tcPr>
          <w:p>
            <w:pPr>
              <w:spacing w:after="0"/>
              <w:rPr>
                <w:sz w:val="20"/>
                <w:szCs w:val="20"/>
                <w:color w:val="auto"/>
              </w:rPr>
            </w:pPr>
          </w:p>
        </w:tc>
      </w:tr>
      <w:tr>
        <w:trPr>
          <w:trHeight w:val="183"/>
        </w:trPr>
        <w:tc>
          <w:tcPr>
            <w:tcW w:w="33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r>
      <w:tr>
        <w:trPr>
          <w:trHeight w:val="180"/>
        </w:trPr>
        <w:tc>
          <w:tcPr>
            <w:tcW w:w="3300" w:type="dxa"/>
            <w:vAlign w:val="bottom"/>
          </w:tcPr>
          <w:p>
            <w:pPr>
              <w:ind w:left="20"/>
              <w:spacing w:after="0" w:line="180" w:lineRule="exact"/>
              <w:rPr>
                <w:sz w:val="20"/>
                <w:szCs w:val="20"/>
                <w:color w:val="auto"/>
              </w:rPr>
            </w:pPr>
            <w:r>
              <w:rPr>
                <w:rFonts w:ascii="Arial" w:cs="Arial" w:eastAsia="Arial" w:hAnsi="Arial"/>
                <w:sz w:val="18"/>
                <w:szCs w:val="18"/>
                <w:b w:val="1"/>
                <w:bCs w:val="1"/>
                <w:color w:val="auto"/>
              </w:rPr>
              <w:t>Three months ended October 31,</w:t>
            </w:r>
          </w:p>
        </w:tc>
        <w:tc>
          <w:tcPr>
            <w:tcW w:w="1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40" w:type="dxa"/>
            <w:vAlign w:val="bottom"/>
          </w:tcPr>
          <w:p>
            <w:pPr>
              <w:spacing w:after="0"/>
              <w:rPr>
                <w:sz w:val="15"/>
                <w:szCs w:val="15"/>
                <w:color w:val="auto"/>
              </w:rPr>
            </w:pPr>
          </w:p>
        </w:tc>
      </w:tr>
      <w:tr>
        <w:trPr>
          <w:trHeight w:val="225"/>
        </w:trPr>
        <w:tc>
          <w:tcPr>
            <w:tcW w:w="3300" w:type="dxa"/>
            <w:vAlign w:val="bottom"/>
          </w:tcPr>
          <w:p>
            <w:pPr>
              <w:ind w:left="140"/>
              <w:spacing w:after="0"/>
              <w:rPr>
                <w:sz w:val="20"/>
                <w:szCs w:val="20"/>
                <w:color w:val="auto"/>
              </w:rPr>
            </w:pPr>
            <w:r>
              <w:rPr>
                <w:rFonts w:ascii="Arial" w:cs="Arial" w:eastAsia="Arial" w:hAnsi="Arial"/>
                <w:sz w:val="18"/>
                <w:szCs w:val="18"/>
                <w:b w:val="1"/>
                <w:bCs w:val="1"/>
                <w:color w:val="auto"/>
              </w:rPr>
              <w:t>2019</w:t>
            </w: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40" w:type="dxa"/>
            <w:vAlign w:val="bottom"/>
          </w:tcPr>
          <w:p>
            <w:pPr>
              <w:spacing w:after="0"/>
              <w:rPr>
                <w:sz w:val="19"/>
                <w:szCs w:val="19"/>
                <w:color w:val="auto"/>
              </w:rPr>
            </w:pPr>
          </w:p>
        </w:tc>
      </w:tr>
      <w:tr>
        <w:trPr>
          <w:trHeight w:val="203"/>
        </w:trPr>
        <w:tc>
          <w:tcPr>
            <w:tcW w:w="330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Net sales</w:t>
            </w:r>
          </w:p>
        </w:tc>
        <w:tc>
          <w:tcPr>
            <w:tcW w:w="1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jc w:val="right"/>
              <w:ind w:right="13"/>
              <w:spacing w:after="0" w:line="202" w:lineRule="exact"/>
              <w:rPr>
                <w:sz w:val="20"/>
                <w:szCs w:val="20"/>
                <w:color w:val="auto"/>
              </w:rPr>
            </w:pPr>
            <w:r>
              <w:rPr>
                <w:rFonts w:ascii="Arial" w:cs="Arial" w:eastAsia="Arial" w:hAnsi="Arial"/>
                <w:sz w:val="18"/>
                <w:szCs w:val="18"/>
                <w:color w:val="auto"/>
              </w:rPr>
              <w:t>144,494</w:t>
            </w: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99"/>
              </w:rPr>
              <w:t>$</w:t>
            </w:r>
          </w:p>
        </w:tc>
        <w:tc>
          <w:tcPr>
            <w:tcW w:w="840" w:type="dxa"/>
            <w:vAlign w:val="bottom"/>
            <w:shd w:val="clear" w:color="auto" w:fill="CCEEFF"/>
          </w:tcPr>
          <w:p>
            <w:pPr>
              <w:jc w:val="right"/>
              <w:ind w:right="11"/>
              <w:spacing w:after="0" w:line="202" w:lineRule="exact"/>
              <w:rPr>
                <w:sz w:val="20"/>
                <w:szCs w:val="20"/>
                <w:color w:val="auto"/>
              </w:rPr>
            </w:pPr>
            <w:r>
              <w:rPr>
                <w:rFonts w:ascii="Arial" w:cs="Arial" w:eastAsia="Arial" w:hAnsi="Arial"/>
                <w:sz w:val="18"/>
                <w:szCs w:val="18"/>
                <w:color w:val="auto"/>
              </w:rPr>
              <w:t>125,499</w:t>
            </w:r>
          </w:p>
        </w:tc>
        <w:tc>
          <w:tcPr>
            <w:tcW w:w="220" w:type="dxa"/>
            <w:vAlign w:val="bottom"/>
            <w:shd w:val="clear" w:color="auto" w:fill="CCEEFF"/>
          </w:tcPr>
          <w:p>
            <w:pPr>
              <w:spacing w:after="0"/>
              <w:rPr>
                <w:sz w:val="17"/>
                <w:szCs w:val="17"/>
                <w:color w:val="auto"/>
              </w:rPr>
            </w:pPr>
          </w:p>
        </w:tc>
        <w:tc>
          <w:tcPr>
            <w:tcW w:w="280" w:type="dxa"/>
            <w:vAlign w:val="bottom"/>
            <w:shd w:val="clear" w:color="auto" w:fill="CCEEFF"/>
          </w:tcPr>
          <w:p>
            <w:pPr>
              <w:jc w:val="right"/>
              <w:ind w:right="92"/>
              <w:spacing w:after="0" w:line="202" w:lineRule="exact"/>
              <w:rPr>
                <w:sz w:val="20"/>
                <w:szCs w:val="20"/>
                <w:color w:val="auto"/>
              </w:rPr>
            </w:pPr>
            <w:r>
              <w:rPr>
                <w:rFonts w:ascii="Arial" w:cs="Arial" w:eastAsia="Arial" w:hAnsi="Arial"/>
                <w:sz w:val="18"/>
                <w:szCs w:val="18"/>
                <w:color w:val="auto"/>
                <w:w w:val="79"/>
              </w:rPr>
              <w:t>$</w:t>
            </w:r>
          </w:p>
        </w:tc>
        <w:tc>
          <w:tcPr>
            <w:tcW w:w="84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23,822</w:t>
            </w: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74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w w:val="98"/>
              </w:rPr>
              <w:t>(1,640)</w:t>
            </w:r>
          </w:p>
        </w:tc>
        <w:tc>
          <w:tcPr>
            <w:tcW w:w="1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ind w:right="11"/>
              <w:spacing w:after="0" w:line="202" w:lineRule="exact"/>
              <w:rPr>
                <w:sz w:val="20"/>
                <w:szCs w:val="20"/>
                <w:color w:val="auto"/>
              </w:rPr>
            </w:pPr>
            <w:r>
              <w:rPr>
                <w:rFonts w:ascii="Arial" w:cs="Arial" w:eastAsia="Arial" w:hAnsi="Arial"/>
                <w:sz w:val="18"/>
                <w:szCs w:val="18"/>
                <w:color w:val="auto"/>
              </w:rPr>
              <w:t>292,175</w:t>
            </w:r>
          </w:p>
        </w:tc>
        <w:tc>
          <w:tcPr>
            <w:tcW w:w="40" w:type="dxa"/>
            <w:vAlign w:val="bottom"/>
            <w:shd w:val="clear" w:color="auto" w:fill="CCEEFF"/>
          </w:tcPr>
          <w:p>
            <w:pPr>
              <w:spacing w:after="0"/>
              <w:rPr>
                <w:sz w:val="17"/>
                <w:szCs w:val="17"/>
                <w:color w:val="auto"/>
              </w:rPr>
            </w:pPr>
          </w:p>
        </w:tc>
      </w:tr>
      <w:tr>
        <w:trPr>
          <w:trHeight w:val="203"/>
        </w:trPr>
        <w:tc>
          <w:tcPr>
            <w:tcW w:w="3300" w:type="dxa"/>
            <w:vAlign w:val="bottom"/>
          </w:tcPr>
          <w:p>
            <w:pPr>
              <w:ind w:left="20"/>
              <w:spacing w:after="0" w:line="202" w:lineRule="exact"/>
              <w:rPr>
                <w:sz w:val="20"/>
                <w:szCs w:val="20"/>
                <w:color w:val="auto"/>
              </w:rPr>
            </w:pPr>
            <w:r>
              <w:rPr>
                <w:rFonts w:ascii="Arial" w:cs="Arial" w:eastAsia="Arial" w:hAnsi="Arial"/>
                <w:sz w:val="18"/>
                <w:szCs w:val="18"/>
                <w:color w:val="auto"/>
              </w:rPr>
              <w:t>Cost of sales</w:t>
            </w:r>
          </w:p>
        </w:tc>
        <w:tc>
          <w:tcPr>
            <w:tcW w:w="120" w:type="dxa"/>
            <w:vAlign w:val="bottom"/>
          </w:tcPr>
          <w:p>
            <w:pPr>
              <w:spacing w:after="0"/>
              <w:rPr>
                <w:sz w:val="17"/>
                <w:szCs w:val="17"/>
                <w:color w:val="auto"/>
              </w:rPr>
            </w:pPr>
          </w:p>
        </w:tc>
        <w:tc>
          <w:tcPr>
            <w:tcW w:w="780" w:type="dxa"/>
            <w:vAlign w:val="bottom"/>
          </w:tcPr>
          <w:p>
            <w:pPr>
              <w:jc w:val="right"/>
              <w:ind w:right="13"/>
              <w:spacing w:after="0" w:line="202" w:lineRule="exact"/>
              <w:rPr>
                <w:sz w:val="20"/>
                <w:szCs w:val="20"/>
                <w:color w:val="auto"/>
              </w:rPr>
            </w:pPr>
            <w:r>
              <w:rPr>
                <w:rFonts w:ascii="Arial" w:cs="Arial" w:eastAsia="Arial" w:hAnsi="Arial"/>
                <w:sz w:val="18"/>
                <w:szCs w:val="18"/>
                <w:color w:val="auto"/>
              </w:rPr>
              <w:t>131,976</w:t>
            </w: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tcPr>
          <w:p>
            <w:pPr>
              <w:jc w:val="right"/>
              <w:ind w:right="11"/>
              <w:spacing w:after="0" w:line="202" w:lineRule="exact"/>
              <w:rPr>
                <w:sz w:val="20"/>
                <w:szCs w:val="20"/>
                <w:color w:val="auto"/>
              </w:rPr>
            </w:pPr>
            <w:r>
              <w:rPr>
                <w:rFonts w:ascii="Arial" w:cs="Arial" w:eastAsia="Arial" w:hAnsi="Arial"/>
                <w:sz w:val="18"/>
                <w:szCs w:val="18"/>
                <w:color w:val="auto"/>
              </w:rPr>
              <w:t>118,246</w:t>
            </w:r>
          </w:p>
        </w:tc>
        <w:tc>
          <w:tcPr>
            <w:tcW w:w="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40" w:type="dxa"/>
            <w:vAlign w:val="bottom"/>
          </w:tcPr>
          <w:p>
            <w:pPr>
              <w:jc w:val="right"/>
              <w:ind w:right="10"/>
              <w:spacing w:after="0" w:line="202" w:lineRule="exact"/>
              <w:rPr>
                <w:sz w:val="20"/>
                <w:szCs w:val="20"/>
                <w:color w:val="auto"/>
              </w:rPr>
            </w:pPr>
            <w:r>
              <w:rPr>
                <w:rFonts w:ascii="Arial" w:cs="Arial" w:eastAsia="Arial" w:hAnsi="Arial"/>
                <w:sz w:val="18"/>
                <w:szCs w:val="18"/>
                <w:color w:val="auto"/>
              </w:rPr>
              <w:t>18,960</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w w:val="98"/>
              </w:rPr>
              <w:t>(1,640)</w:t>
            </w:r>
          </w:p>
        </w:tc>
        <w:tc>
          <w:tcPr>
            <w:tcW w:w="120" w:type="dxa"/>
            <w:vAlign w:val="bottom"/>
          </w:tcPr>
          <w:p>
            <w:pPr>
              <w:spacing w:after="0"/>
              <w:rPr>
                <w:sz w:val="17"/>
                <w:szCs w:val="17"/>
                <w:color w:val="auto"/>
              </w:rPr>
            </w:pPr>
          </w:p>
        </w:tc>
        <w:tc>
          <w:tcPr>
            <w:tcW w:w="940" w:type="dxa"/>
            <w:vAlign w:val="bottom"/>
          </w:tcPr>
          <w:p>
            <w:pPr>
              <w:jc w:val="right"/>
              <w:ind w:right="11"/>
              <w:spacing w:after="0" w:line="202" w:lineRule="exact"/>
              <w:rPr>
                <w:sz w:val="20"/>
                <w:szCs w:val="20"/>
                <w:color w:val="auto"/>
              </w:rPr>
            </w:pPr>
            <w:r>
              <w:rPr>
                <w:rFonts w:ascii="Arial" w:cs="Arial" w:eastAsia="Arial" w:hAnsi="Arial"/>
                <w:sz w:val="18"/>
                <w:szCs w:val="18"/>
                <w:color w:val="auto"/>
              </w:rPr>
              <w:t>267,542</w:t>
            </w:r>
          </w:p>
        </w:tc>
        <w:tc>
          <w:tcPr>
            <w:tcW w:w="40" w:type="dxa"/>
            <w:vAlign w:val="bottom"/>
          </w:tcPr>
          <w:p>
            <w:pPr>
              <w:spacing w:after="0"/>
              <w:rPr>
                <w:sz w:val="17"/>
                <w:szCs w:val="17"/>
                <w:color w:val="auto"/>
              </w:rPr>
            </w:pPr>
          </w:p>
        </w:tc>
      </w:tr>
      <w:tr>
        <w:trPr>
          <w:trHeight w:val="196"/>
        </w:trPr>
        <w:tc>
          <w:tcPr>
            <w:tcW w:w="3300" w:type="dxa"/>
            <w:vAlign w:val="bottom"/>
            <w:tcBorders>
              <w:top w:val="single" w:sz="8" w:color="CCEEFF"/>
              <w:bottom w:val="single" w:sz="8" w:color="CCEEFF"/>
            </w:tcBorders>
            <w:shd w:val="clear" w:color="auto" w:fill="CCEEFF"/>
          </w:tcPr>
          <w:p>
            <w:pPr>
              <w:ind w:left="20"/>
              <w:spacing w:after="0" w:line="196" w:lineRule="exact"/>
              <w:rPr>
                <w:sz w:val="20"/>
                <w:szCs w:val="20"/>
                <w:color w:val="auto"/>
              </w:rPr>
            </w:pPr>
            <w:r>
              <w:rPr>
                <w:rFonts w:ascii="Arial" w:cs="Arial" w:eastAsia="Arial" w:hAnsi="Arial"/>
                <w:sz w:val="18"/>
                <w:szCs w:val="18"/>
                <w:color w:val="auto"/>
              </w:rPr>
              <w:t>Gross profit</w:t>
            </w:r>
          </w:p>
        </w:tc>
        <w:tc>
          <w:tcPr>
            <w:tcW w:w="12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shd w:val="clear" w:color="auto" w:fill="CCEEFF"/>
          </w:tcPr>
          <w:p>
            <w:pPr>
              <w:jc w:val="right"/>
              <w:ind w:right="13"/>
              <w:spacing w:after="0" w:line="196" w:lineRule="exact"/>
              <w:rPr>
                <w:sz w:val="20"/>
                <w:szCs w:val="20"/>
                <w:color w:val="auto"/>
              </w:rPr>
            </w:pPr>
            <w:r>
              <w:rPr>
                <w:rFonts w:ascii="Arial" w:cs="Arial" w:eastAsia="Arial" w:hAnsi="Arial"/>
                <w:sz w:val="18"/>
                <w:szCs w:val="18"/>
                <w:color w:val="auto"/>
              </w:rPr>
              <w:t>12,518</w:t>
            </w:r>
          </w:p>
        </w:tc>
        <w:tc>
          <w:tcPr>
            <w:tcW w:w="200" w:type="dxa"/>
            <w:vAlign w:val="bottom"/>
            <w:tcBorders>
              <w:top w:val="single" w:sz="8" w:color="CCEEFF"/>
              <w:bottom w:val="single" w:sz="8" w:color="CCEEFF"/>
            </w:tcBorders>
            <w:shd w:val="clear" w:color="auto" w:fill="CCEEFF"/>
          </w:tcPr>
          <w:p>
            <w:pPr>
              <w:spacing w:after="0"/>
              <w:rPr>
                <w:sz w:val="17"/>
                <w:szCs w:val="17"/>
                <w:color w:val="auto"/>
              </w:rPr>
            </w:pPr>
          </w:p>
        </w:tc>
        <w:tc>
          <w:tcPr>
            <w:tcW w:w="20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bottom w:val="single" w:sz="8" w:color="auto"/>
            </w:tcBorders>
            <w:shd w:val="clear" w:color="auto" w:fill="CCEEFF"/>
          </w:tcPr>
          <w:p>
            <w:pPr>
              <w:jc w:val="right"/>
              <w:ind w:right="11"/>
              <w:spacing w:after="0" w:line="196" w:lineRule="exact"/>
              <w:rPr>
                <w:sz w:val="20"/>
                <w:szCs w:val="20"/>
                <w:color w:val="auto"/>
              </w:rPr>
            </w:pPr>
            <w:r>
              <w:rPr>
                <w:rFonts w:ascii="Arial" w:cs="Arial" w:eastAsia="Arial" w:hAnsi="Arial"/>
                <w:sz w:val="18"/>
                <w:szCs w:val="18"/>
                <w:color w:val="auto"/>
              </w:rPr>
              <w:t>7,253</w:t>
            </w:r>
          </w:p>
        </w:tc>
        <w:tc>
          <w:tcPr>
            <w:tcW w:w="220" w:type="dxa"/>
            <w:vAlign w:val="bottom"/>
            <w:tcBorders>
              <w:top w:val="single" w:sz="8" w:color="CCEEFF"/>
              <w:bottom w:val="single" w:sz="8" w:color="CCEEFF"/>
            </w:tcBorders>
            <w:shd w:val="clear" w:color="auto" w:fill="CCEEFF"/>
          </w:tcPr>
          <w:p>
            <w:pPr>
              <w:spacing w:after="0"/>
              <w:rPr>
                <w:sz w:val="17"/>
                <w:szCs w:val="17"/>
                <w:color w:val="auto"/>
              </w:rPr>
            </w:pPr>
          </w:p>
        </w:tc>
        <w:tc>
          <w:tcPr>
            <w:tcW w:w="280" w:type="dxa"/>
            <w:vAlign w:val="bottom"/>
            <w:tcBorders>
              <w:top w:val="single" w:sz="8" w:color="auto"/>
              <w:bottom w:val="single" w:sz="8" w:color="auto"/>
            </w:tcBorders>
            <w:shd w:val="clear" w:color="auto" w:fill="CCEEFF"/>
          </w:tcPr>
          <w:p>
            <w:pPr>
              <w:jc w:val="right"/>
              <w:ind w:right="92"/>
              <w:spacing w:after="0" w:line="196" w:lineRule="exact"/>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shd w:val="clear" w:color="auto" w:fill="CCEEFF"/>
          </w:tcPr>
          <w:p>
            <w:pPr>
              <w:jc w:val="right"/>
              <w:ind w:right="10"/>
              <w:spacing w:after="0" w:line="196" w:lineRule="exact"/>
              <w:rPr>
                <w:sz w:val="20"/>
                <w:szCs w:val="20"/>
                <w:color w:val="auto"/>
              </w:rPr>
            </w:pPr>
            <w:r>
              <w:rPr>
                <w:rFonts w:ascii="Arial" w:cs="Arial" w:eastAsia="Arial" w:hAnsi="Arial"/>
                <w:sz w:val="18"/>
                <w:szCs w:val="18"/>
                <w:color w:val="auto"/>
              </w:rPr>
              <w:t>4,862</w:t>
            </w:r>
          </w:p>
        </w:tc>
        <w:tc>
          <w:tcPr>
            <w:tcW w:w="16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16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shd w:val="clear" w:color="auto" w:fill="CCEEFF"/>
          </w:tcPr>
          <w:p>
            <w:pPr>
              <w:jc w:val="right"/>
              <w:ind w:right="11"/>
              <w:spacing w:after="0" w:line="196" w:lineRule="exact"/>
              <w:rPr>
                <w:sz w:val="20"/>
                <w:szCs w:val="20"/>
                <w:color w:val="auto"/>
              </w:rPr>
            </w:pPr>
            <w:r>
              <w:rPr>
                <w:rFonts w:ascii="Arial" w:cs="Arial" w:eastAsia="Arial" w:hAnsi="Arial"/>
                <w:sz w:val="18"/>
                <w:szCs w:val="18"/>
                <w:color w:val="auto"/>
              </w:rPr>
              <w:t>24,633</w:t>
            </w:r>
          </w:p>
        </w:tc>
        <w:tc>
          <w:tcPr>
            <w:tcW w:w="40" w:type="dxa"/>
            <w:vAlign w:val="bottom"/>
            <w:tcBorders>
              <w:top w:val="single" w:sz="8" w:color="CCEEFF"/>
              <w:bottom w:val="single" w:sz="8" w:color="CCEEFF"/>
            </w:tcBorders>
            <w:shd w:val="clear" w:color="auto" w:fill="CCEEFF"/>
          </w:tcPr>
          <w:p>
            <w:pPr>
              <w:spacing w:after="0"/>
              <w:rPr>
                <w:sz w:val="17"/>
                <w:szCs w:val="17"/>
                <w:color w:val="auto"/>
              </w:rPr>
            </w:pPr>
          </w:p>
        </w:tc>
      </w:tr>
      <w:tr>
        <w:trPr>
          <w:trHeight w:val="20"/>
        </w:trPr>
        <w:tc>
          <w:tcPr>
            <w:tcW w:w="33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83"/>
        </w:trPr>
        <w:tc>
          <w:tcPr>
            <w:tcW w:w="33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40" w:type="dxa"/>
            <w:vAlign w:val="bottom"/>
          </w:tcPr>
          <w:p>
            <w:pPr>
              <w:spacing w:after="0"/>
              <w:rPr>
                <w:sz w:val="15"/>
                <w:szCs w:val="15"/>
                <w:color w:val="auto"/>
              </w:rPr>
            </w:pPr>
          </w:p>
        </w:tc>
      </w:tr>
      <w:tr>
        <w:trPr>
          <w:trHeight w:val="203"/>
        </w:trPr>
        <w:tc>
          <w:tcPr>
            <w:tcW w:w="330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b w:val="1"/>
                <w:bCs w:val="1"/>
                <w:color w:val="auto"/>
              </w:rPr>
              <w:t>Year ended October 31, 2020</w:t>
            </w: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r>
      <w:tr>
        <w:trPr>
          <w:trHeight w:val="203"/>
        </w:trPr>
        <w:tc>
          <w:tcPr>
            <w:tcW w:w="3300" w:type="dxa"/>
            <w:vAlign w:val="bottom"/>
          </w:tcPr>
          <w:p>
            <w:pPr>
              <w:ind w:left="20"/>
              <w:spacing w:after="0" w:line="202" w:lineRule="exact"/>
              <w:rPr>
                <w:sz w:val="20"/>
                <w:szCs w:val="20"/>
                <w:color w:val="auto"/>
              </w:rPr>
            </w:pPr>
            <w:r>
              <w:rPr>
                <w:rFonts w:ascii="Arial" w:cs="Arial" w:eastAsia="Arial" w:hAnsi="Arial"/>
                <w:sz w:val="18"/>
                <w:szCs w:val="18"/>
                <w:color w:val="auto"/>
              </w:rPr>
              <w:t>Net sales</w:t>
            </w:r>
          </w:p>
        </w:tc>
        <w:tc>
          <w:tcPr>
            <w:tcW w:w="12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780" w:type="dxa"/>
            <w:vAlign w:val="bottom"/>
          </w:tcPr>
          <w:p>
            <w:pPr>
              <w:jc w:val="right"/>
              <w:ind w:right="13"/>
              <w:spacing w:after="0" w:line="202" w:lineRule="exact"/>
              <w:rPr>
                <w:sz w:val="20"/>
                <w:szCs w:val="20"/>
                <w:color w:val="auto"/>
              </w:rPr>
            </w:pPr>
            <w:r>
              <w:rPr>
                <w:rFonts w:ascii="Arial" w:cs="Arial" w:eastAsia="Arial" w:hAnsi="Arial"/>
                <w:sz w:val="18"/>
                <w:szCs w:val="18"/>
                <w:color w:val="auto"/>
              </w:rPr>
              <w:t>585,052</w:t>
            </w:r>
          </w:p>
        </w:tc>
        <w:tc>
          <w:tcPr>
            <w:tcW w:w="200" w:type="dxa"/>
            <w:vAlign w:val="bottom"/>
          </w:tcPr>
          <w:p>
            <w:pPr>
              <w:spacing w:after="0"/>
              <w:rPr>
                <w:sz w:val="17"/>
                <w:szCs w:val="17"/>
                <w:color w:val="auto"/>
              </w:rPr>
            </w:pPr>
          </w:p>
        </w:tc>
        <w:tc>
          <w:tcPr>
            <w:tcW w:w="200" w:type="dxa"/>
            <w:vAlign w:val="bottom"/>
          </w:tcPr>
          <w:p>
            <w:pPr>
              <w:jc w:val="right"/>
              <w:spacing w:after="0" w:line="202" w:lineRule="exact"/>
              <w:rPr>
                <w:sz w:val="20"/>
                <w:szCs w:val="20"/>
                <w:color w:val="auto"/>
              </w:rPr>
            </w:pPr>
            <w:r>
              <w:rPr>
                <w:rFonts w:ascii="Arial" w:cs="Arial" w:eastAsia="Arial" w:hAnsi="Arial"/>
                <w:sz w:val="18"/>
                <w:szCs w:val="18"/>
                <w:color w:val="auto"/>
                <w:w w:val="99"/>
              </w:rPr>
              <w:t>$</w:t>
            </w:r>
          </w:p>
        </w:tc>
        <w:tc>
          <w:tcPr>
            <w:tcW w:w="840" w:type="dxa"/>
            <w:vAlign w:val="bottom"/>
          </w:tcPr>
          <w:p>
            <w:pPr>
              <w:jc w:val="right"/>
              <w:ind w:right="11"/>
              <w:spacing w:after="0" w:line="202" w:lineRule="exact"/>
              <w:rPr>
                <w:sz w:val="20"/>
                <w:szCs w:val="20"/>
                <w:color w:val="auto"/>
              </w:rPr>
            </w:pPr>
            <w:r>
              <w:rPr>
                <w:rFonts w:ascii="Arial" w:cs="Arial" w:eastAsia="Arial" w:hAnsi="Arial"/>
                <w:sz w:val="18"/>
                <w:szCs w:val="18"/>
                <w:color w:val="auto"/>
              </w:rPr>
              <w:t>404,723</w:t>
            </w:r>
          </w:p>
        </w:tc>
        <w:tc>
          <w:tcPr>
            <w:tcW w:w="220" w:type="dxa"/>
            <w:vAlign w:val="bottom"/>
          </w:tcPr>
          <w:p>
            <w:pPr>
              <w:spacing w:after="0"/>
              <w:rPr>
                <w:sz w:val="17"/>
                <w:szCs w:val="17"/>
                <w:color w:val="auto"/>
              </w:rPr>
            </w:pPr>
          </w:p>
        </w:tc>
        <w:tc>
          <w:tcPr>
            <w:tcW w:w="280" w:type="dxa"/>
            <w:vAlign w:val="bottom"/>
          </w:tcPr>
          <w:p>
            <w:pPr>
              <w:jc w:val="right"/>
              <w:ind w:right="92"/>
              <w:spacing w:after="0" w:line="202" w:lineRule="exact"/>
              <w:rPr>
                <w:sz w:val="20"/>
                <w:szCs w:val="20"/>
                <w:color w:val="auto"/>
              </w:rPr>
            </w:pPr>
            <w:r>
              <w:rPr>
                <w:rFonts w:ascii="Arial" w:cs="Arial" w:eastAsia="Arial" w:hAnsi="Arial"/>
                <w:sz w:val="18"/>
                <w:szCs w:val="18"/>
                <w:color w:val="auto"/>
                <w:w w:val="79"/>
              </w:rPr>
              <w:t>$</w:t>
            </w:r>
          </w:p>
        </w:tc>
        <w:tc>
          <w:tcPr>
            <w:tcW w:w="840" w:type="dxa"/>
            <w:vAlign w:val="bottom"/>
          </w:tcPr>
          <w:p>
            <w:pPr>
              <w:jc w:val="right"/>
              <w:ind w:right="10"/>
              <w:spacing w:after="0" w:line="202" w:lineRule="exact"/>
              <w:rPr>
                <w:sz w:val="20"/>
                <w:szCs w:val="20"/>
                <w:color w:val="auto"/>
              </w:rPr>
            </w:pPr>
            <w:r>
              <w:rPr>
                <w:rFonts w:ascii="Arial" w:cs="Arial" w:eastAsia="Arial" w:hAnsi="Arial"/>
                <w:sz w:val="18"/>
                <w:szCs w:val="18"/>
                <w:color w:val="auto"/>
              </w:rPr>
              <w:t>75,220</w:t>
            </w:r>
          </w:p>
        </w:tc>
        <w:tc>
          <w:tcPr>
            <w:tcW w:w="160" w:type="dxa"/>
            <w:vAlign w:val="bottom"/>
          </w:tcPr>
          <w:p>
            <w:pPr>
              <w:spacing w:after="0"/>
              <w:rPr>
                <w:sz w:val="17"/>
                <w:szCs w:val="17"/>
                <w:color w:val="auto"/>
              </w:rPr>
            </w:pPr>
          </w:p>
        </w:tc>
        <w:tc>
          <w:tcPr>
            <w:tcW w:w="12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74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w w:val="98"/>
              </w:rPr>
              <w:t>(5,624)</w:t>
            </w:r>
          </w:p>
        </w:tc>
        <w:tc>
          <w:tcPr>
            <w:tcW w:w="12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940" w:type="dxa"/>
            <w:vAlign w:val="bottom"/>
          </w:tcPr>
          <w:p>
            <w:pPr>
              <w:jc w:val="right"/>
              <w:ind w:right="11"/>
              <w:spacing w:after="0" w:line="202" w:lineRule="exact"/>
              <w:rPr>
                <w:sz w:val="20"/>
                <w:szCs w:val="20"/>
                <w:color w:val="auto"/>
              </w:rPr>
            </w:pPr>
            <w:r>
              <w:rPr>
                <w:rFonts w:ascii="Arial" w:cs="Arial" w:eastAsia="Arial" w:hAnsi="Arial"/>
                <w:sz w:val="18"/>
                <w:szCs w:val="18"/>
                <w:color w:val="auto"/>
              </w:rPr>
              <w:t>1,059,371</w:t>
            </w:r>
          </w:p>
        </w:tc>
        <w:tc>
          <w:tcPr>
            <w:tcW w:w="40" w:type="dxa"/>
            <w:vAlign w:val="bottom"/>
          </w:tcPr>
          <w:p>
            <w:pPr>
              <w:spacing w:after="0"/>
              <w:rPr>
                <w:sz w:val="17"/>
                <w:szCs w:val="17"/>
                <w:color w:val="auto"/>
              </w:rPr>
            </w:pPr>
          </w:p>
        </w:tc>
      </w:tr>
      <w:tr>
        <w:trPr>
          <w:trHeight w:val="203"/>
        </w:trPr>
        <w:tc>
          <w:tcPr>
            <w:tcW w:w="330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Cost of sales</w:t>
            </w: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jc w:val="right"/>
              <w:ind w:right="13"/>
              <w:spacing w:after="0" w:line="202" w:lineRule="exact"/>
              <w:rPr>
                <w:sz w:val="20"/>
                <w:szCs w:val="20"/>
                <w:color w:val="auto"/>
              </w:rPr>
            </w:pPr>
            <w:r>
              <w:rPr>
                <w:rFonts w:ascii="Arial" w:cs="Arial" w:eastAsia="Arial" w:hAnsi="Arial"/>
                <w:sz w:val="18"/>
                <w:szCs w:val="18"/>
                <w:color w:val="auto"/>
              </w:rPr>
              <w:t>537,489</w:t>
            </w: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40" w:type="dxa"/>
            <w:vAlign w:val="bottom"/>
            <w:shd w:val="clear" w:color="auto" w:fill="CCEEFF"/>
          </w:tcPr>
          <w:p>
            <w:pPr>
              <w:jc w:val="right"/>
              <w:ind w:right="11"/>
              <w:spacing w:after="0" w:line="202" w:lineRule="exact"/>
              <w:rPr>
                <w:sz w:val="20"/>
                <w:szCs w:val="20"/>
                <w:color w:val="auto"/>
              </w:rPr>
            </w:pPr>
            <w:r>
              <w:rPr>
                <w:rFonts w:ascii="Arial" w:cs="Arial" w:eastAsia="Arial" w:hAnsi="Arial"/>
                <w:sz w:val="18"/>
                <w:szCs w:val="18"/>
                <w:color w:val="auto"/>
              </w:rPr>
              <w:t>383,331</w:t>
            </w:r>
          </w:p>
        </w:tc>
        <w:tc>
          <w:tcPr>
            <w:tcW w:w="2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4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54,277</w:t>
            </w: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w w:val="98"/>
              </w:rPr>
              <w:t>(5,624)</w:t>
            </w:r>
          </w:p>
        </w:tc>
        <w:tc>
          <w:tcPr>
            <w:tcW w:w="120" w:type="dxa"/>
            <w:vAlign w:val="bottom"/>
            <w:shd w:val="clear" w:color="auto" w:fill="CCEEFF"/>
          </w:tcPr>
          <w:p>
            <w:pPr>
              <w:spacing w:after="0"/>
              <w:rPr>
                <w:sz w:val="17"/>
                <w:szCs w:val="17"/>
                <w:color w:val="auto"/>
              </w:rPr>
            </w:pPr>
          </w:p>
        </w:tc>
        <w:tc>
          <w:tcPr>
            <w:tcW w:w="940" w:type="dxa"/>
            <w:vAlign w:val="bottom"/>
            <w:shd w:val="clear" w:color="auto" w:fill="CCEEFF"/>
          </w:tcPr>
          <w:p>
            <w:pPr>
              <w:jc w:val="right"/>
              <w:ind w:right="11"/>
              <w:spacing w:after="0" w:line="202" w:lineRule="exact"/>
              <w:rPr>
                <w:sz w:val="20"/>
                <w:szCs w:val="20"/>
                <w:color w:val="auto"/>
              </w:rPr>
            </w:pPr>
            <w:r>
              <w:rPr>
                <w:rFonts w:ascii="Arial" w:cs="Arial" w:eastAsia="Arial" w:hAnsi="Arial"/>
                <w:sz w:val="18"/>
                <w:szCs w:val="18"/>
                <w:color w:val="auto"/>
              </w:rPr>
              <w:t>969,473</w:t>
            </w:r>
          </w:p>
        </w:tc>
        <w:tc>
          <w:tcPr>
            <w:tcW w:w="40" w:type="dxa"/>
            <w:vAlign w:val="bottom"/>
            <w:shd w:val="clear" w:color="auto" w:fill="CCEEFF"/>
          </w:tcPr>
          <w:p>
            <w:pPr>
              <w:spacing w:after="0"/>
              <w:rPr>
                <w:sz w:val="17"/>
                <w:szCs w:val="17"/>
                <w:color w:val="auto"/>
              </w:rPr>
            </w:pPr>
          </w:p>
        </w:tc>
      </w:tr>
      <w:tr>
        <w:trPr>
          <w:trHeight w:val="236"/>
        </w:trPr>
        <w:tc>
          <w:tcPr>
            <w:tcW w:w="3300" w:type="dxa"/>
            <w:vAlign w:val="bottom"/>
            <w:tcBorders>
              <w:bottom w:val="single" w:sz="8" w:color="CCEEFF"/>
            </w:tcBorders>
          </w:tcPr>
          <w:p>
            <w:pPr>
              <w:ind w:left="20"/>
              <w:spacing w:after="0" w:line="196" w:lineRule="exact"/>
              <w:rPr>
                <w:sz w:val="20"/>
                <w:szCs w:val="20"/>
                <w:color w:val="auto"/>
              </w:rPr>
            </w:pPr>
            <w:r>
              <w:rPr>
                <w:rFonts w:ascii="Arial" w:cs="Arial" w:eastAsia="Arial" w:hAnsi="Arial"/>
                <w:sz w:val="18"/>
                <w:szCs w:val="18"/>
                <w:color w:val="auto"/>
              </w:rPr>
              <w:t>Gross profit</w:t>
            </w:r>
          </w:p>
        </w:tc>
        <w:tc>
          <w:tcPr>
            <w:tcW w:w="12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tcPr>
          <w:p>
            <w:pPr>
              <w:jc w:val="right"/>
              <w:ind w:right="13"/>
              <w:spacing w:after="0" w:line="196" w:lineRule="exact"/>
              <w:rPr>
                <w:sz w:val="20"/>
                <w:szCs w:val="20"/>
                <w:color w:val="auto"/>
              </w:rPr>
            </w:pPr>
            <w:r>
              <w:rPr>
                <w:rFonts w:ascii="Arial" w:cs="Arial" w:eastAsia="Arial" w:hAnsi="Arial"/>
                <w:sz w:val="18"/>
                <w:szCs w:val="18"/>
                <w:color w:val="auto"/>
              </w:rPr>
              <w:t>47,563</w:t>
            </w:r>
          </w:p>
        </w:tc>
        <w:tc>
          <w:tcPr>
            <w:tcW w:w="200" w:type="dxa"/>
            <w:vAlign w:val="bottom"/>
            <w:tcBorders>
              <w:bottom w:val="single" w:sz="8" w:color="CCEEFF"/>
            </w:tcBorders>
          </w:tcPr>
          <w:p>
            <w:pPr>
              <w:spacing w:after="0"/>
              <w:rPr>
                <w:sz w:val="20"/>
                <w:szCs w:val="20"/>
                <w:color w:val="auto"/>
              </w:rPr>
            </w:pPr>
          </w:p>
        </w:tc>
        <w:tc>
          <w:tcPr>
            <w:tcW w:w="20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bottom w:val="single" w:sz="8" w:color="auto"/>
            </w:tcBorders>
          </w:tcPr>
          <w:p>
            <w:pPr>
              <w:jc w:val="right"/>
              <w:ind w:right="11"/>
              <w:spacing w:after="0" w:line="196" w:lineRule="exact"/>
              <w:rPr>
                <w:sz w:val="20"/>
                <w:szCs w:val="20"/>
                <w:color w:val="auto"/>
              </w:rPr>
            </w:pPr>
            <w:r>
              <w:rPr>
                <w:rFonts w:ascii="Arial" w:cs="Arial" w:eastAsia="Arial" w:hAnsi="Arial"/>
                <w:sz w:val="18"/>
                <w:szCs w:val="18"/>
                <w:color w:val="auto"/>
              </w:rPr>
              <w:t>21,392</w:t>
            </w:r>
          </w:p>
        </w:tc>
        <w:tc>
          <w:tcPr>
            <w:tcW w:w="220" w:type="dxa"/>
            <w:vAlign w:val="bottom"/>
            <w:tcBorders>
              <w:bottom w:val="single" w:sz="8" w:color="CCEEFF"/>
            </w:tcBorders>
          </w:tcPr>
          <w:p>
            <w:pPr>
              <w:spacing w:after="0"/>
              <w:rPr>
                <w:sz w:val="20"/>
                <w:szCs w:val="20"/>
                <w:color w:val="auto"/>
              </w:rPr>
            </w:pPr>
          </w:p>
        </w:tc>
        <w:tc>
          <w:tcPr>
            <w:tcW w:w="280" w:type="dxa"/>
            <w:vAlign w:val="bottom"/>
            <w:tcBorders>
              <w:top w:val="single" w:sz="8" w:color="auto"/>
              <w:bottom w:val="single" w:sz="8" w:color="auto"/>
            </w:tcBorders>
          </w:tcPr>
          <w:p>
            <w:pPr>
              <w:jc w:val="right"/>
              <w:ind w:right="92"/>
              <w:spacing w:after="0" w:line="196" w:lineRule="exact"/>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tcPr>
          <w:p>
            <w:pPr>
              <w:jc w:val="right"/>
              <w:ind w:right="10"/>
              <w:spacing w:after="0" w:line="196" w:lineRule="exact"/>
              <w:rPr>
                <w:sz w:val="20"/>
                <w:szCs w:val="20"/>
                <w:color w:val="auto"/>
              </w:rPr>
            </w:pPr>
            <w:r>
              <w:rPr>
                <w:rFonts w:ascii="Arial" w:cs="Arial" w:eastAsia="Arial" w:hAnsi="Arial"/>
                <w:sz w:val="18"/>
                <w:szCs w:val="18"/>
                <w:color w:val="auto"/>
              </w:rPr>
              <w:t>20,943</w:t>
            </w:r>
          </w:p>
        </w:tc>
        <w:tc>
          <w:tcPr>
            <w:tcW w:w="160" w:type="dxa"/>
            <w:vAlign w:val="bottom"/>
            <w:tcBorders>
              <w:bottom w:val="single" w:sz="8" w:color="CCEEFF"/>
            </w:tcBorders>
          </w:tcPr>
          <w:p>
            <w:pPr>
              <w:spacing w:after="0"/>
              <w:rPr>
                <w:sz w:val="20"/>
                <w:szCs w:val="20"/>
                <w:color w:val="auto"/>
              </w:rPr>
            </w:pPr>
          </w:p>
        </w:tc>
        <w:tc>
          <w:tcPr>
            <w:tcW w:w="12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tcPr>
          <w:p>
            <w:pPr>
              <w:spacing w:after="0"/>
              <w:rPr>
                <w:sz w:val="20"/>
                <w:szCs w:val="20"/>
                <w:color w:val="auto"/>
              </w:rPr>
            </w:pPr>
          </w:p>
        </w:tc>
        <w:tc>
          <w:tcPr>
            <w:tcW w:w="12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tcPr>
          <w:p>
            <w:pPr>
              <w:jc w:val="right"/>
              <w:ind w:right="11"/>
              <w:spacing w:after="0" w:line="196" w:lineRule="exact"/>
              <w:rPr>
                <w:sz w:val="20"/>
                <w:szCs w:val="20"/>
                <w:color w:val="auto"/>
              </w:rPr>
            </w:pPr>
            <w:r>
              <w:rPr>
                <w:rFonts w:ascii="Arial" w:cs="Arial" w:eastAsia="Arial" w:hAnsi="Arial"/>
                <w:sz w:val="18"/>
                <w:szCs w:val="18"/>
                <w:color w:val="auto"/>
              </w:rPr>
              <w:t>89,898</w:t>
            </w:r>
          </w:p>
        </w:tc>
        <w:tc>
          <w:tcPr>
            <w:tcW w:w="40" w:type="dxa"/>
            <w:vAlign w:val="bottom"/>
            <w:tcBorders>
              <w:bottom w:val="single" w:sz="8" w:color="CCEEFF"/>
            </w:tcBorders>
          </w:tcPr>
          <w:p>
            <w:pPr>
              <w:spacing w:after="0"/>
              <w:rPr>
                <w:sz w:val="20"/>
                <w:szCs w:val="20"/>
                <w:color w:val="auto"/>
              </w:rPr>
            </w:pPr>
          </w:p>
        </w:tc>
      </w:tr>
      <w:tr>
        <w:trPr>
          <w:trHeight w:val="183"/>
        </w:trPr>
        <w:tc>
          <w:tcPr>
            <w:tcW w:w="33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r>
      <w:tr>
        <w:trPr>
          <w:trHeight w:val="203"/>
        </w:trPr>
        <w:tc>
          <w:tcPr>
            <w:tcW w:w="3300" w:type="dxa"/>
            <w:vAlign w:val="bottom"/>
          </w:tcPr>
          <w:p>
            <w:pPr>
              <w:ind w:left="20"/>
              <w:spacing w:after="0" w:line="202" w:lineRule="exact"/>
              <w:rPr>
                <w:sz w:val="20"/>
                <w:szCs w:val="20"/>
                <w:color w:val="auto"/>
              </w:rPr>
            </w:pPr>
            <w:r>
              <w:rPr>
                <w:rFonts w:ascii="Arial" w:cs="Arial" w:eastAsia="Arial" w:hAnsi="Arial"/>
                <w:sz w:val="18"/>
                <w:szCs w:val="18"/>
                <w:b w:val="1"/>
                <w:bCs w:val="1"/>
                <w:color w:val="auto"/>
              </w:rPr>
              <w:t>Year ended October 31, 2019</w:t>
            </w: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203"/>
        </w:trPr>
        <w:tc>
          <w:tcPr>
            <w:tcW w:w="330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Net sales</w:t>
            </w:r>
          </w:p>
        </w:tc>
        <w:tc>
          <w:tcPr>
            <w:tcW w:w="1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jc w:val="right"/>
              <w:ind w:right="13"/>
              <w:spacing w:after="0" w:line="202" w:lineRule="exact"/>
              <w:rPr>
                <w:sz w:val="20"/>
                <w:szCs w:val="20"/>
                <w:color w:val="auto"/>
              </w:rPr>
            </w:pPr>
            <w:r>
              <w:rPr>
                <w:rFonts w:ascii="Arial" w:cs="Arial" w:eastAsia="Arial" w:hAnsi="Arial"/>
                <w:sz w:val="18"/>
                <w:szCs w:val="18"/>
                <w:color w:val="auto"/>
              </w:rPr>
              <w:t>621,183</w:t>
            </w: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99"/>
              </w:rPr>
              <w:t>$</w:t>
            </w:r>
          </w:p>
        </w:tc>
        <w:tc>
          <w:tcPr>
            <w:tcW w:w="840" w:type="dxa"/>
            <w:vAlign w:val="bottom"/>
            <w:shd w:val="clear" w:color="auto" w:fill="CCEEFF"/>
          </w:tcPr>
          <w:p>
            <w:pPr>
              <w:jc w:val="right"/>
              <w:ind w:right="11"/>
              <w:spacing w:after="0" w:line="202" w:lineRule="exact"/>
              <w:rPr>
                <w:sz w:val="20"/>
                <w:szCs w:val="20"/>
                <w:color w:val="auto"/>
              </w:rPr>
            </w:pPr>
            <w:r>
              <w:rPr>
                <w:rFonts w:ascii="Arial" w:cs="Arial" w:eastAsia="Arial" w:hAnsi="Arial"/>
                <w:sz w:val="18"/>
                <w:szCs w:val="18"/>
                <w:color w:val="auto"/>
              </w:rPr>
              <w:t>486,063</w:t>
            </w:r>
          </w:p>
        </w:tc>
        <w:tc>
          <w:tcPr>
            <w:tcW w:w="220" w:type="dxa"/>
            <w:vAlign w:val="bottom"/>
            <w:shd w:val="clear" w:color="auto" w:fill="CCEEFF"/>
          </w:tcPr>
          <w:p>
            <w:pPr>
              <w:spacing w:after="0"/>
              <w:rPr>
                <w:sz w:val="17"/>
                <w:szCs w:val="17"/>
                <w:color w:val="auto"/>
              </w:rPr>
            </w:pPr>
          </w:p>
        </w:tc>
        <w:tc>
          <w:tcPr>
            <w:tcW w:w="280" w:type="dxa"/>
            <w:vAlign w:val="bottom"/>
            <w:shd w:val="clear" w:color="auto" w:fill="CCEEFF"/>
          </w:tcPr>
          <w:p>
            <w:pPr>
              <w:jc w:val="right"/>
              <w:ind w:right="92"/>
              <w:spacing w:after="0" w:line="202" w:lineRule="exact"/>
              <w:rPr>
                <w:sz w:val="20"/>
                <w:szCs w:val="20"/>
                <w:color w:val="auto"/>
              </w:rPr>
            </w:pPr>
            <w:r>
              <w:rPr>
                <w:rFonts w:ascii="Arial" w:cs="Arial" w:eastAsia="Arial" w:hAnsi="Arial"/>
                <w:sz w:val="18"/>
                <w:szCs w:val="18"/>
                <w:color w:val="auto"/>
                <w:w w:val="79"/>
              </w:rPr>
              <w:t>$</w:t>
            </w:r>
          </w:p>
        </w:tc>
        <w:tc>
          <w:tcPr>
            <w:tcW w:w="84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94,734</w:t>
            </w: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74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w w:val="98"/>
              </w:rPr>
              <w:t>(6,203)</w:t>
            </w:r>
          </w:p>
        </w:tc>
        <w:tc>
          <w:tcPr>
            <w:tcW w:w="1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ind w:right="11"/>
              <w:spacing w:after="0" w:line="202" w:lineRule="exact"/>
              <w:rPr>
                <w:sz w:val="20"/>
                <w:szCs w:val="20"/>
                <w:color w:val="auto"/>
              </w:rPr>
            </w:pPr>
            <w:r>
              <w:rPr>
                <w:rFonts w:ascii="Arial" w:cs="Arial" w:eastAsia="Arial" w:hAnsi="Arial"/>
                <w:sz w:val="18"/>
                <w:szCs w:val="18"/>
                <w:color w:val="auto"/>
              </w:rPr>
              <w:t>1,195,777</w:t>
            </w:r>
          </w:p>
        </w:tc>
        <w:tc>
          <w:tcPr>
            <w:tcW w:w="40" w:type="dxa"/>
            <w:vAlign w:val="bottom"/>
            <w:shd w:val="clear" w:color="auto" w:fill="CCEEFF"/>
          </w:tcPr>
          <w:p>
            <w:pPr>
              <w:spacing w:after="0"/>
              <w:rPr>
                <w:sz w:val="17"/>
                <w:szCs w:val="17"/>
                <w:color w:val="auto"/>
              </w:rPr>
            </w:pPr>
          </w:p>
        </w:tc>
      </w:tr>
      <w:tr>
        <w:trPr>
          <w:trHeight w:val="203"/>
        </w:trPr>
        <w:tc>
          <w:tcPr>
            <w:tcW w:w="3300" w:type="dxa"/>
            <w:vAlign w:val="bottom"/>
          </w:tcPr>
          <w:p>
            <w:pPr>
              <w:ind w:left="20"/>
              <w:spacing w:after="0" w:line="202" w:lineRule="exact"/>
              <w:rPr>
                <w:sz w:val="20"/>
                <w:szCs w:val="20"/>
                <w:color w:val="auto"/>
              </w:rPr>
            </w:pPr>
            <w:r>
              <w:rPr>
                <w:rFonts w:ascii="Arial" w:cs="Arial" w:eastAsia="Arial" w:hAnsi="Arial"/>
                <w:sz w:val="18"/>
                <w:szCs w:val="18"/>
                <w:color w:val="auto"/>
              </w:rPr>
              <w:t>Cost of sales</w:t>
            </w:r>
          </w:p>
        </w:tc>
        <w:tc>
          <w:tcPr>
            <w:tcW w:w="120" w:type="dxa"/>
            <w:vAlign w:val="bottom"/>
          </w:tcPr>
          <w:p>
            <w:pPr>
              <w:spacing w:after="0"/>
              <w:rPr>
                <w:sz w:val="17"/>
                <w:szCs w:val="17"/>
                <w:color w:val="auto"/>
              </w:rPr>
            </w:pPr>
          </w:p>
        </w:tc>
        <w:tc>
          <w:tcPr>
            <w:tcW w:w="780" w:type="dxa"/>
            <w:vAlign w:val="bottom"/>
          </w:tcPr>
          <w:p>
            <w:pPr>
              <w:jc w:val="right"/>
              <w:ind w:right="13"/>
              <w:spacing w:after="0" w:line="202" w:lineRule="exact"/>
              <w:rPr>
                <w:sz w:val="20"/>
                <w:szCs w:val="20"/>
                <w:color w:val="auto"/>
              </w:rPr>
            </w:pPr>
            <w:r>
              <w:rPr>
                <w:rFonts w:ascii="Arial" w:cs="Arial" w:eastAsia="Arial" w:hAnsi="Arial"/>
                <w:sz w:val="18"/>
                <w:szCs w:val="18"/>
                <w:color w:val="auto"/>
              </w:rPr>
              <w:t>534,600</w:t>
            </w: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tcPr>
          <w:p>
            <w:pPr>
              <w:jc w:val="right"/>
              <w:ind w:right="11"/>
              <w:spacing w:after="0" w:line="202" w:lineRule="exact"/>
              <w:rPr>
                <w:sz w:val="20"/>
                <w:szCs w:val="20"/>
                <w:color w:val="auto"/>
              </w:rPr>
            </w:pPr>
            <w:r>
              <w:rPr>
                <w:rFonts w:ascii="Arial" w:cs="Arial" w:eastAsia="Arial" w:hAnsi="Arial"/>
                <w:sz w:val="18"/>
                <w:szCs w:val="18"/>
                <w:color w:val="auto"/>
              </w:rPr>
              <w:t>465,563</w:t>
            </w:r>
          </w:p>
        </w:tc>
        <w:tc>
          <w:tcPr>
            <w:tcW w:w="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40" w:type="dxa"/>
            <w:vAlign w:val="bottom"/>
          </w:tcPr>
          <w:p>
            <w:pPr>
              <w:jc w:val="right"/>
              <w:ind w:right="10"/>
              <w:spacing w:after="0" w:line="202" w:lineRule="exact"/>
              <w:rPr>
                <w:sz w:val="20"/>
                <w:szCs w:val="20"/>
                <w:color w:val="auto"/>
              </w:rPr>
            </w:pPr>
            <w:r>
              <w:rPr>
                <w:rFonts w:ascii="Arial" w:cs="Arial" w:eastAsia="Arial" w:hAnsi="Arial"/>
                <w:sz w:val="18"/>
                <w:szCs w:val="18"/>
                <w:color w:val="auto"/>
              </w:rPr>
              <w:t>73,735</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w w:val="98"/>
              </w:rPr>
              <w:t>(6,203)</w:t>
            </w:r>
          </w:p>
        </w:tc>
        <w:tc>
          <w:tcPr>
            <w:tcW w:w="120" w:type="dxa"/>
            <w:vAlign w:val="bottom"/>
          </w:tcPr>
          <w:p>
            <w:pPr>
              <w:spacing w:after="0"/>
              <w:rPr>
                <w:sz w:val="17"/>
                <w:szCs w:val="17"/>
                <w:color w:val="auto"/>
              </w:rPr>
            </w:pPr>
          </w:p>
        </w:tc>
        <w:tc>
          <w:tcPr>
            <w:tcW w:w="940" w:type="dxa"/>
            <w:vAlign w:val="bottom"/>
          </w:tcPr>
          <w:p>
            <w:pPr>
              <w:jc w:val="right"/>
              <w:ind w:right="11"/>
              <w:spacing w:after="0" w:line="202" w:lineRule="exact"/>
              <w:rPr>
                <w:sz w:val="20"/>
                <w:szCs w:val="20"/>
                <w:color w:val="auto"/>
              </w:rPr>
            </w:pPr>
            <w:r>
              <w:rPr>
                <w:rFonts w:ascii="Arial" w:cs="Arial" w:eastAsia="Arial" w:hAnsi="Arial"/>
                <w:sz w:val="18"/>
                <w:szCs w:val="18"/>
                <w:color w:val="auto"/>
              </w:rPr>
              <w:t>1,067,695</w:t>
            </w:r>
          </w:p>
        </w:tc>
        <w:tc>
          <w:tcPr>
            <w:tcW w:w="40" w:type="dxa"/>
            <w:vAlign w:val="bottom"/>
          </w:tcPr>
          <w:p>
            <w:pPr>
              <w:spacing w:after="0"/>
              <w:rPr>
                <w:sz w:val="17"/>
                <w:szCs w:val="17"/>
                <w:color w:val="auto"/>
              </w:rPr>
            </w:pPr>
          </w:p>
        </w:tc>
      </w:tr>
      <w:tr>
        <w:trPr>
          <w:trHeight w:val="196"/>
        </w:trPr>
        <w:tc>
          <w:tcPr>
            <w:tcW w:w="3300" w:type="dxa"/>
            <w:vAlign w:val="bottom"/>
            <w:tcBorders>
              <w:top w:val="single" w:sz="8" w:color="CCEEFF"/>
              <w:bottom w:val="single" w:sz="8" w:color="CCEEFF"/>
            </w:tcBorders>
            <w:shd w:val="clear" w:color="auto" w:fill="CCEEFF"/>
          </w:tcPr>
          <w:p>
            <w:pPr>
              <w:ind w:left="20"/>
              <w:spacing w:after="0" w:line="196" w:lineRule="exact"/>
              <w:rPr>
                <w:sz w:val="20"/>
                <w:szCs w:val="20"/>
                <w:color w:val="auto"/>
              </w:rPr>
            </w:pPr>
            <w:r>
              <w:rPr>
                <w:rFonts w:ascii="Arial" w:cs="Arial" w:eastAsia="Arial" w:hAnsi="Arial"/>
                <w:sz w:val="18"/>
                <w:szCs w:val="18"/>
                <w:color w:val="auto"/>
              </w:rPr>
              <w:t>Gross profit</w:t>
            </w:r>
          </w:p>
        </w:tc>
        <w:tc>
          <w:tcPr>
            <w:tcW w:w="12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shd w:val="clear" w:color="auto" w:fill="CCEEFF"/>
          </w:tcPr>
          <w:p>
            <w:pPr>
              <w:jc w:val="right"/>
              <w:ind w:right="13"/>
              <w:spacing w:after="0" w:line="196" w:lineRule="exact"/>
              <w:rPr>
                <w:sz w:val="20"/>
                <w:szCs w:val="20"/>
                <w:color w:val="auto"/>
              </w:rPr>
            </w:pPr>
            <w:r>
              <w:rPr>
                <w:rFonts w:ascii="Arial" w:cs="Arial" w:eastAsia="Arial" w:hAnsi="Arial"/>
                <w:sz w:val="18"/>
                <w:szCs w:val="18"/>
                <w:color w:val="auto"/>
              </w:rPr>
              <w:t>86,583</w:t>
            </w:r>
          </w:p>
        </w:tc>
        <w:tc>
          <w:tcPr>
            <w:tcW w:w="200" w:type="dxa"/>
            <w:vAlign w:val="bottom"/>
            <w:tcBorders>
              <w:top w:val="single" w:sz="8" w:color="CCEEFF"/>
              <w:bottom w:val="single" w:sz="8" w:color="CCEEFF"/>
            </w:tcBorders>
            <w:shd w:val="clear" w:color="auto" w:fill="CCEEFF"/>
          </w:tcPr>
          <w:p>
            <w:pPr>
              <w:spacing w:after="0"/>
              <w:rPr>
                <w:sz w:val="17"/>
                <w:szCs w:val="17"/>
                <w:color w:val="auto"/>
              </w:rPr>
            </w:pPr>
          </w:p>
        </w:tc>
        <w:tc>
          <w:tcPr>
            <w:tcW w:w="20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bottom w:val="single" w:sz="8" w:color="auto"/>
            </w:tcBorders>
            <w:shd w:val="clear" w:color="auto" w:fill="CCEEFF"/>
          </w:tcPr>
          <w:p>
            <w:pPr>
              <w:jc w:val="right"/>
              <w:ind w:right="11"/>
              <w:spacing w:after="0" w:line="196" w:lineRule="exact"/>
              <w:rPr>
                <w:sz w:val="20"/>
                <w:szCs w:val="20"/>
                <w:color w:val="auto"/>
              </w:rPr>
            </w:pPr>
            <w:r>
              <w:rPr>
                <w:rFonts w:ascii="Arial" w:cs="Arial" w:eastAsia="Arial" w:hAnsi="Arial"/>
                <w:sz w:val="18"/>
                <w:szCs w:val="18"/>
                <w:color w:val="auto"/>
              </w:rPr>
              <w:t>20,500</w:t>
            </w:r>
          </w:p>
        </w:tc>
        <w:tc>
          <w:tcPr>
            <w:tcW w:w="220" w:type="dxa"/>
            <w:vAlign w:val="bottom"/>
            <w:tcBorders>
              <w:top w:val="single" w:sz="8" w:color="CCEEFF"/>
              <w:bottom w:val="single" w:sz="8" w:color="CCEEFF"/>
            </w:tcBorders>
            <w:shd w:val="clear" w:color="auto" w:fill="CCEEFF"/>
          </w:tcPr>
          <w:p>
            <w:pPr>
              <w:spacing w:after="0"/>
              <w:rPr>
                <w:sz w:val="17"/>
                <w:szCs w:val="17"/>
                <w:color w:val="auto"/>
              </w:rPr>
            </w:pPr>
          </w:p>
        </w:tc>
        <w:tc>
          <w:tcPr>
            <w:tcW w:w="280" w:type="dxa"/>
            <w:vAlign w:val="bottom"/>
            <w:tcBorders>
              <w:top w:val="single" w:sz="8" w:color="auto"/>
              <w:bottom w:val="single" w:sz="8" w:color="auto"/>
            </w:tcBorders>
            <w:shd w:val="clear" w:color="auto" w:fill="CCEEFF"/>
          </w:tcPr>
          <w:p>
            <w:pPr>
              <w:jc w:val="right"/>
              <w:ind w:right="92"/>
              <w:spacing w:after="0" w:line="196" w:lineRule="exact"/>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shd w:val="clear" w:color="auto" w:fill="CCEEFF"/>
          </w:tcPr>
          <w:p>
            <w:pPr>
              <w:jc w:val="right"/>
              <w:ind w:right="10"/>
              <w:spacing w:after="0" w:line="196" w:lineRule="exact"/>
              <w:rPr>
                <w:sz w:val="20"/>
                <w:szCs w:val="20"/>
                <w:color w:val="auto"/>
              </w:rPr>
            </w:pPr>
            <w:r>
              <w:rPr>
                <w:rFonts w:ascii="Arial" w:cs="Arial" w:eastAsia="Arial" w:hAnsi="Arial"/>
                <w:sz w:val="18"/>
                <w:szCs w:val="18"/>
                <w:color w:val="auto"/>
              </w:rPr>
              <w:t>20,999</w:t>
            </w:r>
          </w:p>
        </w:tc>
        <w:tc>
          <w:tcPr>
            <w:tcW w:w="16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16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shd w:val="clear" w:color="auto" w:fill="CCEEFF"/>
          </w:tcPr>
          <w:p>
            <w:pPr>
              <w:jc w:val="right"/>
              <w:ind w:right="11"/>
              <w:spacing w:after="0" w:line="196" w:lineRule="exact"/>
              <w:rPr>
                <w:sz w:val="20"/>
                <w:szCs w:val="20"/>
                <w:color w:val="auto"/>
              </w:rPr>
            </w:pPr>
            <w:r>
              <w:rPr>
                <w:rFonts w:ascii="Arial" w:cs="Arial" w:eastAsia="Arial" w:hAnsi="Arial"/>
                <w:sz w:val="18"/>
                <w:szCs w:val="18"/>
                <w:color w:val="auto"/>
              </w:rPr>
              <w:t>128,082</w:t>
            </w:r>
          </w:p>
        </w:tc>
        <w:tc>
          <w:tcPr>
            <w:tcW w:w="40" w:type="dxa"/>
            <w:vAlign w:val="bottom"/>
            <w:tcBorders>
              <w:top w:val="single" w:sz="8" w:color="CCEEFF"/>
              <w:bottom w:val="single" w:sz="8" w:color="CCEEFF"/>
            </w:tcBorders>
            <w:shd w:val="clear" w:color="auto" w:fill="CCEEFF"/>
          </w:tcPr>
          <w:p>
            <w:pPr>
              <w:spacing w:after="0"/>
              <w:rPr>
                <w:sz w:val="17"/>
                <w:szCs w:val="17"/>
                <w:color w:val="auto"/>
              </w:rPr>
            </w:pPr>
          </w:p>
        </w:tc>
      </w:tr>
      <w:tr>
        <w:trPr>
          <w:trHeight w:val="20"/>
        </w:trPr>
        <w:tc>
          <w:tcPr>
            <w:tcW w:w="33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02" w:lineRule="exact"/>
        <w:rPr>
          <w:sz w:val="20"/>
          <w:szCs w:val="20"/>
          <w:color w:val="auto"/>
        </w:rPr>
      </w:pPr>
    </w:p>
    <w:p>
      <w:pPr>
        <w:ind w:left="60" w:right="99"/>
        <w:spacing w:after="0" w:line="237" w:lineRule="auto"/>
        <w:rPr>
          <w:sz w:val="20"/>
          <w:szCs w:val="20"/>
          <w:color w:val="auto"/>
        </w:rPr>
      </w:pPr>
      <w:r>
        <w:rPr>
          <w:rFonts w:ascii="Arial" w:cs="Arial" w:eastAsia="Arial" w:hAnsi="Arial"/>
          <w:sz w:val="18"/>
          <w:szCs w:val="18"/>
          <w:color w:val="auto"/>
        </w:rPr>
        <w:t>For the three months ended October 31, 2020 and 2019, intercompany sales and cost of sales of $0.6 million and $0.3 million between Fresh products and RFG were eliminated. For the year ended October 31, 2020 and 2019, intercompany sales and cost of sales of $1.7 million and $1.8 million between Fresh products and RFG were eliminated. For the three months ended October 31, 2020 and 2019, intercompany sales and cost of sales of $1.1 million and $1.3 million between Calavo Foods and RFG were eliminated. For the year ended October 31, 2020 and 2019, intercompany sales and cost of sales of $4.0 million and $4.0 million between Calavo Foods and RFG were eliminated.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1003935</wp:posOffset>
            </wp:positionV>
            <wp:extent cx="5657850" cy="2540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661" w:right="1440" w:bottom="1440" w:gutter="0" w:footer="0" w:header="0"/>
        </w:sectPr>
      </w:pPr>
    </w:p>
    <w:bookmarkStart w:id="13" w:name="page14"/>
    <w:bookmarkEnd w:id="13"/>
    <w:p>
      <w:pPr>
        <w:ind w:left="60"/>
        <w:spacing w:after="0"/>
        <w:rPr>
          <w:sz w:val="20"/>
          <w:szCs w:val="20"/>
          <w:color w:val="auto"/>
        </w:rPr>
      </w:pPr>
      <w:r>
        <w:rPr>
          <w:rFonts w:ascii="Arial" w:cs="Arial" w:eastAsia="Arial" w:hAnsi="Arial"/>
          <w:sz w:val="18"/>
          <w:szCs w:val="18"/>
          <w:i w:val="1"/>
          <w:iCs w:val="1"/>
          <w:color w:val="auto"/>
        </w:rPr>
        <w:t>Calavo Growers, Inc.</w:t>
      </w:r>
    </w:p>
    <w:p>
      <w:pPr>
        <w:spacing w:after="0" w:line="14"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page 11 of 14</w:t>
      </w:r>
    </w:p>
    <w:p>
      <w:pPr>
        <w:spacing w:after="0" w:line="17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CALAVO GROWERS, INC.</w:t>
      </w:r>
    </w:p>
    <w:p>
      <w:pPr>
        <w:spacing w:after="0" w:line="21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RECONCILIATION OF ADJUSTED NET INCOME AND EPS (UNAUDITED)</w:t>
      </w:r>
    </w:p>
    <w:p>
      <w:pPr>
        <w:spacing w:after="0" w:line="1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 except per share amounts)</w:t>
      </w:r>
    </w:p>
    <w:p>
      <w:pPr>
        <w:spacing w:after="0" w:line="212" w:lineRule="exact"/>
        <w:rPr>
          <w:sz w:val="20"/>
          <w:szCs w:val="20"/>
          <w:color w:val="auto"/>
        </w:rPr>
      </w:pPr>
    </w:p>
    <w:p>
      <w:pPr>
        <w:ind w:left="60" w:right="179"/>
        <w:spacing w:after="0"/>
        <w:rPr>
          <w:sz w:val="20"/>
          <w:szCs w:val="20"/>
          <w:color w:val="auto"/>
        </w:rPr>
      </w:pPr>
      <w:r>
        <w:rPr>
          <w:rFonts w:ascii="Arial" w:cs="Arial" w:eastAsia="Arial" w:hAnsi="Arial"/>
          <w:sz w:val="18"/>
          <w:szCs w:val="18"/>
          <w:color w:val="auto"/>
        </w:rPr>
        <w:t>The following table presents adjusted net income and adjusted diluted EPS, each a non-GAAP measure, and reconciles them to net income (loss) attributable to Calavo Growers, Inc., and Diluted EPS, which are the most directly comparable GAAP measures. See “Non-GAAP Financial Measures” earlier in this release.</w:t>
      </w:r>
    </w:p>
    <w:p>
      <w:pPr>
        <w:spacing w:after="0" w:line="244" w:lineRule="exact"/>
        <w:rPr>
          <w:sz w:val="20"/>
          <w:szCs w:val="20"/>
          <w:color w:val="auto"/>
        </w:rPr>
      </w:pPr>
    </w:p>
    <w:tbl>
      <w:tblPr>
        <w:tblLayout w:type="fixed"/>
        <w:tblInd w:w="40" w:type="dxa"/>
        <w:tblCellMar>
          <w:top w:w="0" w:type="dxa"/>
          <w:left w:w="0" w:type="dxa"/>
          <w:bottom w:w="0" w:type="dxa"/>
          <w:right w:w="0" w:type="dxa"/>
        </w:tblCellMar>
      </w:tblPr>
      <w:tr>
        <w:trPr>
          <w:trHeight w:val="190"/>
        </w:trPr>
        <w:tc>
          <w:tcPr>
            <w:tcW w:w="2240" w:type="dxa"/>
            <w:vAlign w:val="bottom"/>
          </w:tcPr>
          <w:p>
            <w:pPr>
              <w:spacing w:after="0"/>
              <w:rPr>
                <w:sz w:val="16"/>
                <w:szCs w:val="16"/>
                <w:color w:val="auto"/>
              </w:rPr>
            </w:pPr>
          </w:p>
        </w:tc>
        <w:tc>
          <w:tcPr>
            <w:tcW w:w="18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160" w:type="dxa"/>
            <w:vAlign w:val="bottom"/>
            <w:gridSpan w:val="5"/>
          </w:tcPr>
          <w:p>
            <w:pPr>
              <w:ind w:left="160"/>
              <w:spacing w:after="0"/>
              <w:rPr>
                <w:sz w:val="20"/>
                <w:szCs w:val="20"/>
                <w:color w:val="auto"/>
              </w:rPr>
            </w:pPr>
            <w:r>
              <w:rPr>
                <w:rFonts w:ascii="Arial" w:cs="Arial" w:eastAsia="Arial" w:hAnsi="Arial"/>
                <w:sz w:val="14"/>
                <w:szCs w:val="14"/>
                <w:b w:val="1"/>
                <w:bCs w:val="1"/>
                <w:color w:val="auto"/>
              </w:rPr>
              <w:t>Three months ended</w:t>
            </w:r>
          </w:p>
        </w:tc>
        <w:tc>
          <w:tcPr>
            <w:tcW w:w="220" w:type="dxa"/>
            <w:vAlign w:val="bottom"/>
          </w:tcPr>
          <w:p>
            <w:pPr>
              <w:spacing w:after="0"/>
              <w:rPr>
                <w:sz w:val="16"/>
                <w:szCs w:val="16"/>
                <w:color w:val="auto"/>
              </w:rPr>
            </w:pPr>
          </w:p>
        </w:tc>
        <w:tc>
          <w:tcPr>
            <w:tcW w:w="1300" w:type="dxa"/>
            <w:vAlign w:val="bottom"/>
            <w:gridSpan w:val="3"/>
          </w:tcPr>
          <w:p>
            <w:pPr>
              <w:jc w:val="right"/>
              <w:spacing w:after="0"/>
              <w:rPr>
                <w:sz w:val="20"/>
                <w:szCs w:val="20"/>
                <w:color w:val="auto"/>
              </w:rPr>
            </w:pPr>
            <w:r>
              <w:rPr>
                <w:rFonts w:ascii="Arial" w:cs="Arial" w:eastAsia="Arial" w:hAnsi="Arial"/>
                <w:sz w:val="14"/>
                <w:szCs w:val="14"/>
                <w:b w:val="1"/>
                <w:bCs w:val="1"/>
                <w:color w:val="auto"/>
              </w:rPr>
              <w:t>Year ended</w:t>
            </w:r>
          </w:p>
        </w:tc>
        <w:tc>
          <w:tcPr>
            <w:tcW w:w="6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2240" w:type="dxa"/>
            <w:vAlign w:val="bottom"/>
          </w:tcPr>
          <w:p>
            <w:pPr>
              <w:spacing w:after="0"/>
              <w:rPr>
                <w:sz w:val="16"/>
                <w:szCs w:val="16"/>
                <w:color w:val="auto"/>
              </w:rPr>
            </w:pPr>
          </w:p>
        </w:tc>
        <w:tc>
          <w:tcPr>
            <w:tcW w:w="18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October 31,</w:t>
            </w:r>
          </w:p>
        </w:tc>
        <w:tc>
          <w:tcPr>
            <w:tcW w:w="680" w:type="dxa"/>
            <w:vAlign w:val="bottom"/>
            <w:tcBorders>
              <w:bottom w:val="single" w:sz="8" w:color="auto"/>
            </w:tcBorders>
          </w:tcPr>
          <w:p>
            <w:pPr>
              <w:spacing w:after="0"/>
              <w:rPr>
                <w:sz w:val="16"/>
                <w:szCs w:val="16"/>
                <w:color w:val="auto"/>
              </w:rPr>
            </w:pPr>
          </w:p>
        </w:tc>
        <w:tc>
          <w:tcPr>
            <w:tcW w:w="18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October 31,</w:t>
            </w:r>
          </w:p>
        </w:tc>
        <w:tc>
          <w:tcPr>
            <w:tcW w:w="680" w:type="dxa"/>
            <w:vAlign w:val="bottom"/>
            <w:tcBorders>
              <w:bottom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2240" w:type="dxa"/>
            <w:vAlign w:val="bottom"/>
          </w:tcPr>
          <w:p>
            <w:pPr>
              <w:spacing w:after="0"/>
              <w:rPr>
                <w:sz w:val="17"/>
                <w:szCs w:val="17"/>
                <w:color w:val="auto"/>
              </w:rPr>
            </w:pPr>
          </w:p>
        </w:tc>
        <w:tc>
          <w:tcPr>
            <w:tcW w:w="1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253"/>
              <w:spacing w:after="0"/>
              <w:rPr>
                <w:sz w:val="20"/>
                <w:szCs w:val="20"/>
                <w:color w:val="auto"/>
              </w:rPr>
            </w:pPr>
            <w:r>
              <w:rPr>
                <w:rFonts w:ascii="Arial" w:cs="Arial" w:eastAsia="Arial" w:hAnsi="Arial"/>
                <w:sz w:val="14"/>
                <w:szCs w:val="14"/>
                <w:b w:val="1"/>
                <w:bCs w:val="1"/>
                <w:color w:val="auto"/>
              </w:rPr>
              <w:t>2020</w:t>
            </w:r>
          </w:p>
        </w:tc>
        <w:tc>
          <w:tcPr>
            <w:tcW w:w="18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ind w:right="251"/>
              <w:spacing w:after="0"/>
              <w:rPr>
                <w:sz w:val="20"/>
                <w:szCs w:val="20"/>
                <w:color w:val="auto"/>
              </w:rPr>
            </w:pPr>
            <w:r>
              <w:rPr>
                <w:rFonts w:ascii="Arial" w:cs="Arial" w:eastAsia="Arial" w:hAnsi="Arial"/>
                <w:sz w:val="14"/>
                <w:szCs w:val="14"/>
                <w:b w:val="1"/>
                <w:bCs w:val="1"/>
                <w:color w:val="auto"/>
              </w:rPr>
              <w:t>2019</w:t>
            </w:r>
          </w:p>
        </w:tc>
        <w:tc>
          <w:tcPr>
            <w:tcW w:w="18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253"/>
              <w:spacing w:after="0"/>
              <w:rPr>
                <w:sz w:val="20"/>
                <w:szCs w:val="20"/>
                <w:color w:val="auto"/>
              </w:rPr>
            </w:pPr>
            <w:r>
              <w:rPr>
                <w:rFonts w:ascii="Arial" w:cs="Arial" w:eastAsia="Arial" w:hAnsi="Arial"/>
                <w:sz w:val="14"/>
                <w:szCs w:val="14"/>
                <w:b w:val="1"/>
                <w:bCs w:val="1"/>
                <w:color w:val="auto"/>
              </w:rPr>
              <w:t>2020</w:t>
            </w:r>
          </w:p>
        </w:tc>
        <w:tc>
          <w:tcPr>
            <w:tcW w:w="18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ind w:right="251"/>
              <w:spacing w:after="0"/>
              <w:rPr>
                <w:sz w:val="20"/>
                <w:szCs w:val="20"/>
                <w:color w:val="auto"/>
              </w:rPr>
            </w:pPr>
            <w:r>
              <w:rPr>
                <w:rFonts w:ascii="Arial" w:cs="Arial" w:eastAsia="Arial" w:hAnsi="Arial"/>
                <w:sz w:val="14"/>
                <w:szCs w:val="14"/>
                <w:b w:val="1"/>
                <w:bCs w:val="1"/>
                <w:color w:val="auto"/>
              </w:rPr>
              <w:t>2019</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240" w:type="dxa"/>
            <w:vAlign w:val="bottom"/>
          </w:tcPr>
          <w:p>
            <w:pPr>
              <w:spacing w:after="0"/>
              <w:rPr>
                <w:sz w:val="17"/>
                <w:szCs w:val="17"/>
                <w:color w:val="auto"/>
              </w:rPr>
            </w:pPr>
          </w:p>
        </w:tc>
        <w:tc>
          <w:tcPr>
            <w:tcW w:w="1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4120" w:type="dxa"/>
            <w:vAlign w:val="bottom"/>
            <w:gridSpan w:val="2"/>
            <w:shd w:val="clear" w:color="auto" w:fill="CCEEFF"/>
          </w:tcPr>
          <w:p>
            <w:pPr>
              <w:ind w:left="20"/>
              <w:spacing w:after="0" w:line="201" w:lineRule="exact"/>
              <w:rPr>
                <w:sz w:val="20"/>
                <w:szCs w:val="20"/>
                <w:color w:val="auto"/>
              </w:rPr>
            </w:pPr>
            <w:r>
              <w:rPr>
                <w:rFonts w:ascii="Arial" w:cs="Arial" w:eastAsia="Arial" w:hAnsi="Arial"/>
                <w:sz w:val="18"/>
                <w:szCs w:val="18"/>
                <w:color w:val="auto"/>
              </w:rPr>
              <w:t>Net income (loss) attributable to Calavo Growers,</w:t>
            </w:r>
          </w:p>
        </w:tc>
        <w:tc>
          <w:tcPr>
            <w:tcW w:w="1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120" w:type="dxa"/>
            <w:vAlign w:val="bottom"/>
            <w:gridSpan w:val="2"/>
            <w:shd w:val="clear" w:color="auto" w:fill="CCEEFF"/>
          </w:tcPr>
          <w:p>
            <w:pPr>
              <w:ind w:left="140"/>
              <w:spacing w:after="0" w:line="203" w:lineRule="exact"/>
              <w:rPr>
                <w:sz w:val="20"/>
                <w:szCs w:val="20"/>
                <w:color w:val="auto"/>
              </w:rPr>
            </w:pPr>
            <w:r>
              <w:rPr>
                <w:rFonts w:ascii="Arial" w:cs="Arial" w:eastAsia="Arial" w:hAnsi="Arial"/>
                <w:sz w:val="18"/>
                <w:szCs w:val="18"/>
                <w:color w:val="auto"/>
              </w:rPr>
              <w:t>Inc.</w:t>
            </w:r>
          </w:p>
        </w:tc>
        <w:tc>
          <w:tcPr>
            <w:tcW w:w="380" w:type="dxa"/>
            <w:vAlign w:val="bottom"/>
            <w:gridSpan w:val="2"/>
            <w:shd w:val="clear" w:color="auto" w:fill="CCEEFF"/>
          </w:tcPr>
          <w:p>
            <w:pPr>
              <w:jc w:val="right"/>
              <w:ind w:right="30"/>
              <w:spacing w:after="0" w:line="203" w:lineRule="exact"/>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180"/>
              <w:spacing w:after="0" w:line="203" w:lineRule="exact"/>
              <w:rPr>
                <w:sz w:val="20"/>
                <w:szCs w:val="20"/>
                <w:color w:val="auto"/>
              </w:rPr>
            </w:pPr>
            <w:r>
              <w:rPr>
                <w:rFonts w:ascii="Arial" w:cs="Arial" w:eastAsia="Arial" w:hAnsi="Arial"/>
                <w:sz w:val="18"/>
                <w:szCs w:val="18"/>
                <w:color w:val="auto"/>
              </w:rPr>
              <w:t>6,227</w:t>
            </w:r>
          </w:p>
        </w:tc>
        <w:tc>
          <w:tcPr>
            <w:tcW w:w="340" w:type="dxa"/>
            <w:vAlign w:val="bottom"/>
            <w:shd w:val="clear" w:color="auto" w:fill="CCEEFF"/>
          </w:tcPr>
          <w:p>
            <w:pPr>
              <w:jc w:val="right"/>
              <w:ind w:right="130"/>
              <w:spacing w:after="0" w:line="203" w:lineRule="exact"/>
              <w:rPr>
                <w:sz w:val="20"/>
                <w:szCs w:val="20"/>
                <w:color w:val="auto"/>
              </w:rPr>
            </w:pPr>
            <w:r>
              <w:rPr>
                <w:rFonts w:ascii="Arial" w:cs="Arial" w:eastAsia="Arial" w:hAnsi="Arial"/>
                <w:sz w:val="18"/>
                <w:szCs w:val="18"/>
                <w:color w:val="auto"/>
                <w:w w:val="99"/>
              </w:rPr>
              <w:t>$</w:t>
            </w:r>
          </w:p>
        </w:tc>
        <w:tc>
          <w:tcPr>
            <w:tcW w:w="68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5,211</w:t>
            </w:r>
          </w:p>
        </w:tc>
        <w:tc>
          <w:tcPr>
            <w:tcW w:w="180" w:type="dxa"/>
            <w:vAlign w:val="bottom"/>
            <w:shd w:val="clear" w:color="auto" w:fill="CCEEFF"/>
          </w:tcPr>
          <w:p>
            <w:pPr>
              <w:spacing w:after="0"/>
              <w:rPr>
                <w:sz w:val="17"/>
                <w:szCs w:val="17"/>
                <w:color w:val="auto"/>
              </w:rPr>
            </w:pPr>
          </w:p>
        </w:tc>
        <w:tc>
          <w:tcPr>
            <w:tcW w:w="220" w:type="dxa"/>
            <w:vAlign w:val="bottom"/>
            <w:shd w:val="clear" w:color="auto" w:fill="CCEEFF"/>
          </w:tcPr>
          <w:p>
            <w:pPr>
              <w:jc w:val="right"/>
              <w:ind w:right="30"/>
              <w:spacing w:after="0" w:line="203" w:lineRule="exact"/>
              <w:rPr>
                <w:sz w:val="20"/>
                <w:szCs w:val="20"/>
                <w:color w:val="auto"/>
              </w:rPr>
            </w:pPr>
            <w:r>
              <w:rPr>
                <w:rFonts w:ascii="Arial" w:cs="Arial" w:eastAsia="Arial" w:hAnsi="Arial"/>
                <w:sz w:val="18"/>
                <w:szCs w:val="18"/>
                <w:color w:val="auto"/>
                <w:w w:val="79"/>
              </w:rPr>
              <w:t>$</w:t>
            </w:r>
          </w:p>
        </w:tc>
        <w:tc>
          <w:tcPr>
            <w:tcW w:w="960" w:type="dxa"/>
            <w:vAlign w:val="bottom"/>
            <w:gridSpan w:val="2"/>
            <w:shd w:val="clear" w:color="auto" w:fill="CCEEFF"/>
          </w:tcPr>
          <w:p>
            <w:pPr>
              <w:jc w:val="right"/>
              <w:ind w:right="180"/>
              <w:spacing w:after="0" w:line="203" w:lineRule="exact"/>
              <w:rPr>
                <w:sz w:val="20"/>
                <w:szCs w:val="20"/>
                <w:color w:val="auto"/>
              </w:rPr>
            </w:pPr>
            <w:r>
              <w:rPr>
                <w:rFonts w:ascii="Arial" w:cs="Arial" w:eastAsia="Arial" w:hAnsi="Arial"/>
                <w:sz w:val="18"/>
                <w:szCs w:val="18"/>
                <w:color w:val="auto"/>
              </w:rPr>
              <w:t>(13,625)</w:t>
            </w:r>
          </w:p>
        </w:tc>
        <w:tc>
          <w:tcPr>
            <w:tcW w:w="340" w:type="dxa"/>
            <w:vAlign w:val="bottom"/>
            <w:shd w:val="clear" w:color="auto" w:fill="CCEEFF"/>
          </w:tcPr>
          <w:p>
            <w:pPr>
              <w:jc w:val="right"/>
              <w:ind w:right="150"/>
              <w:spacing w:after="0" w:line="203" w:lineRule="exact"/>
              <w:rPr>
                <w:sz w:val="20"/>
                <w:szCs w:val="20"/>
                <w:color w:val="auto"/>
              </w:rPr>
            </w:pPr>
            <w:r>
              <w:rPr>
                <w:rFonts w:ascii="Arial" w:cs="Arial" w:eastAsia="Arial" w:hAnsi="Arial"/>
                <w:sz w:val="18"/>
                <w:szCs w:val="18"/>
                <w:color w:val="auto"/>
                <w:w w:val="79"/>
              </w:rPr>
              <w:t>$</w:t>
            </w:r>
          </w:p>
        </w:tc>
        <w:tc>
          <w:tcPr>
            <w:tcW w:w="68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36,646</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120" w:type="dxa"/>
            <w:vAlign w:val="bottom"/>
            <w:gridSpan w:val="2"/>
          </w:tcPr>
          <w:p>
            <w:pPr>
              <w:ind w:left="20"/>
              <w:spacing w:after="0" w:line="202" w:lineRule="exact"/>
              <w:rPr>
                <w:sz w:val="20"/>
                <w:szCs w:val="20"/>
                <w:color w:val="auto"/>
              </w:rPr>
            </w:pPr>
            <w:r>
              <w:rPr>
                <w:rFonts w:ascii="Arial" w:cs="Arial" w:eastAsia="Arial" w:hAnsi="Arial"/>
                <w:sz w:val="18"/>
                <w:szCs w:val="18"/>
                <w:color w:val="auto"/>
              </w:rPr>
              <w:t>Non-GAAP adjustments:</w:t>
            </w: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4120" w:type="dxa"/>
            <w:vAlign w:val="bottom"/>
            <w:gridSpan w:val="2"/>
            <w:shd w:val="clear" w:color="auto" w:fill="CCEEFF"/>
          </w:tcPr>
          <w:p>
            <w:pPr>
              <w:ind w:left="20"/>
              <w:spacing w:after="0" w:line="201" w:lineRule="exact"/>
              <w:rPr>
                <w:sz w:val="20"/>
                <w:szCs w:val="20"/>
                <w:color w:val="auto"/>
              </w:rPr>
            </w:pPr>
            <w:r>
              <w:rPr>
                <w:rFonts w:ascii="Arial" w:cs="Arial" w:eastAsia="Arial" w:hAnsi="Arial"/>
                <w:sz w:val="18"/>
                <w:szCs w:val="18"/>
                <w:color w:val="auto"/>
              </w:rPr>
              <w:t>Non-cash net losses (income) recognized from</w:t>
            </w:r>
          </w:p>
        </w:tc>
        <w:tc>
          <w:tcPr>
            <w:tcW w:w="1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120" w:type="dxa"/>
            <w:vAlign w:val="bottom"/>
            <w:gridSpan w:val="2"/>
            <w:shd w:val="clear" w:color="auto" w:fill="CCEEFF"/>
          </w:tcPr>
          <w:p>
            <w:pPr>
              <w:ind w:left="140"/>
              <w:spacing w:after="0" w:line="203" w:lineRule="exact"/>
              <w:rPr>
                <w:sz w:val="20"/>
                <w:szCs w:val="20"/>
                <w:color w:val="auto"/>
              </w:rPr>
            </w:pPr>
            <w:r>
              <w:rPr>
                <w:rFonts w:ascii="Arial" w:cs="Arial" w:eastAsia="Arial" w:hAnsi="Arial"/>
                <w:sz w:val="18"/>
                <w:szCs w:val="18"/>
                <w:color w:val="auto"/>
              </w:rPr>
              <w:t>unconsolidated entities (a)</w:t>
            </w:r>
          </w:p>
        </w:tc>
        <w:tc>
          <w:tcPr>
            <w:tcW w:w="1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(265)</w:t>
            </w:r>
          </w:p>
        </w:tc>
        <w:tc>
          <w:tcPr>
            <w:tcW w:w="1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2,138</w:t>
            </w:r>
          </w:p>
        </w:tc>
        <w:tc>
          <w:tcPr>
            <w:tcW w:w="1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6,110</w:t>
            </w:r>
          </w:p>
        </w:tc>
        <w:tc>
          <w:tcPr>
            <w:tcW w:w="1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14,082</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4120" w:type="dxa"/>
            <w:vAlign w:val="bottom"/>
            <w:gridSpan w:val="2"/>
          </w:tcPr>
          <w:p>
            <w:pPr>
              <w:ind w:left="20"/>
              <w:spacing w:after="0" w:line="201" w:lineRule="exact"/>
              <w:rPr>
                <w:sz w:val="20"/>
                <w:szCs w:val="20"/>
                <w:color w:val="auto"/>
              </w:rPr>
            </w:pPr>
            <w:r>
              <w:rPr>
                <w:rFonts w:ascii="Arial" w:cs="Arial" w:eastAsia="Arial" w:hAnsi="Arial"/>
                <w:sz w:val="18"/>
                <w:szCs w:val="18"/>
                <w:color w:val="auto"/>
              </w:rPr>
              <w:t>Loss on reserve for FreshRealm note receivable</w:t>
            </w: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120" w:type="dxa"/>
            <w:vAlign w:val="bottom"/>
            <w:gridSpan w:val="2"/>
          </w:tcPr>
          <w:p>
            <w:pPr>
              <w:ind w:left="20"/>
              <w:spacing w:after="0" w:line="203" w:lineRule="exact"/>
              <w:rPr>
                <w:sz w:val="20"/>
                <w:szCs w:val="20"/>
                <w:color w:val="auto"/>
              </w:rPr>
            </w:pPr>
            <w:r>
              <w:rPr>
                <w:rFonts w:ascii="Arial" w:cs="Arial" w:eastAsia="Arial" w:hAnsi="Arial"/>
                <w:sz w:val="18"/>
                <w:szCs w:val="18"/>
                <w:color w:val="auto"/>
              </w:rPr>
              <w:t>and impairment of investment (b)</w:t>
            </w: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jc w:val="right"/>
              <w:spacing w:after="0" w:line="203" w:lineRule="exact"/>
              <w:rPr>
                <w:sz w:val="20"/>
                <w:szCs w:val="20"/>
                <w:color w:val="auto"/>
              </w:rPr>
            </w:pPr>
            <w:r>
              <w:rPr>
                <w:rFonts w:ascii="Arial" w:cs="Arial" w:eastAsia="Arial" w:hAnsi="Arial"/>
                <w:sz w:val="18"/>
                <w:szCs w:val="18"/>
                <w:color w:val="auto"/>
              </w:rPr>
              <w:t>130</w:t>
            </w:r>
          </w:p>
        </w:tc>
        <w:tc>
          <w:tcPr>
            <w:tcW w:w="1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60" w:type="dxa"/>
            <w:vAlign w:val="bottom"/>
            <w:gridSpan w:val="2"/>
          </w:tcPr>
          <w:p>
            <w:pPr>
              <w:jc w:val="right"/>
              <w:ind w:right="180"/>
              <w:spacing w:after="0" w:line="203" w:lineRule="exact"/>
              <w:rPr>
                <w:sz w:val="20"/>
                <w:szCs w:val="20"/>
                <w:color w:val="auto"/>
              </w:rPr>
            </w:pPr>
            <w:r>
              <w:rPr>
                <w:rFonts w:ascii="Arial" w:cs="Arial" w:eastAsia="Arial" w:hAnsi="Arial"/>
                <w:sz w:val="18"/>
                <w:szCs w:val="18"/>
                <w:color w:val="auto"/>
              </w:rPr>
              <w:t>—</w:t>
            </w:r>
          </w:p>
        </w:tc>
        <w:tc>
          <w:tcPr>
            <w:tcW w:w="220" w:type="dxa"/>
            <w:vAlign w:val="bottom"/>
          </w:tcPr>
          <w:p>
            <w:pPr>
              <w:spacing w:after="0"/>
              <w:rPr>
                <w:sz w:val="17"/>
                <w:szCs w:val="17"/>
                <w:color w:val="auto"/>
              </w:rPr>
            </w:pPr>
          </w:p>
        </w:tc>
        <w:tc>
          <w:tcPr>
            <w:tcW w:w="780" w:type="dxa"/>
            <w:vAlign w:val="bottom"/>
          </w:tcPr>
          <w:p>
            <w:pPr>
              <w:jc w:val="right"/>
              <w:spacing w:after="0" w:line="203" w:lineRule="exact"/>
              <w:rPr>
                <w:sz w:val="20"/>
                <w:szCs w:val="20"/>
                <w:color w:val="auto"/>
              </w:rPr>
            </w:pPr>
            <w:r>
              <w:rPr>
                <w:rFonts w:ascii="Arial" w:cs="Arial" w:eastAsia="Arial" w:hAnsi="Arial"/>
                <w:sz w:val="18"/>
                <w:szCs w:val="18"/>
                <w:color w:val="auto"/>
              </w:rPr>
              <w:t>37,322</w:t>
            </w:r>
          </w:p>
        </w:tc>
        <w:tc>
          <w:tcPr>
            <w:tcW w:w="1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40" w:type="dxa"/>
            <w:vAlign w:val="bottom"/>
            <w:gridSpan w:val="2"/>
          </w:tcPr>
          <w:p>
            <w:pPr>
              <w:jc w:val="right"/>
              <w:ind w:right="60"/>
              <w:spacing w:after="0" w:line="203"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4120" w:type="dxa"/>
            <w:vAlign w:val="bottom"/>
            <w:gridSpan w:val="2"/>
            <w:shd w:val="clear" w:color="auto" w:fill="CCEEFF"/>
          </w:tcPr>
          <w:p>
            <w:pPr>
              <w:ind w:left="20"/>
              <w:spacing w:after="0" w:line="201" w:lineRule="exact"/>
              <w:rPr>
                <w:sz w:val="20"/>
                <w:szCs w:val="20"/>
                <w:color w:val="auto"/>
              </w:rPr>
            </w:pPr>
            <w:r>
              <w:rPr>
                <w:rFonts w:ascii="Arial" w:cs="Arial" w:eastAsia="Arial" w:hAnsi="Arial"/>
                <w:sz w:val="18"/>
                <w:szCs w:val="18"/>
                <w:color w:val="auto"/>
              </w:rPr>
              <w:t>Gain on sale-Temecula packinghouse, net of sales</w:t>
            </w:r>
          </w:p>
        </w:tc>
        <w:tc>
          <w:tcPr>
            <w:tcW w:w="1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120" w:type="dxa"/>
            <w:vAlign w:val="bottom"/>
            <w:gridSpan w:val="2"/>
            <w:shd w:val="clear" w:color="auto" w:fill="CCEEFF"/>
          </w:tcPr>
          <w:p>
            <w:pPr>
              <w:ind w:left="20"/>
              <w:spacing w:after="0" w:line="203" w:lineRule="exact"/>
              <w:rPr>
                <w:sz w:val="20"/>
                <w:szCs w:val="20"/>
                <w:color w:val="auto"/>
              </w:rPr>
            </w:pPr>
            <w:r>
              <w:rPr>
                <w:rFonts w:ascii="Arial" w:cs="Arial" w:eastAsia="Arial" w:hAnsi="Arial"/>
                <w:sz w:val="18"/>
                <w:szCs w:val="18"/>
                <w:color w:val="auto"/>
              </w:rPr>
              <w:t>commission (c)</w:t>
            </w:r>
          </w:p>
        </w:tc>
        <w:tc>
          <w:tcPr>
            <w:tcW w:w="1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180"/>
              <w:spacing w:after="0" w:line="203" w:lineRule="exact"/>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80"/>
              <w:spacing w:after="0" w:line="203" w:lineRule="exact"/>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180"/>
              <w:spacing w:after="0" w:line="203" w:lineRule="exact"/>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60"/>
              <w:spacing w:after="0" w:line="203" w:lineRule="exact"/>
              <w:rPr>
                <w:sz w:val="20"/>
                <w:szCs w:val="20"/>
                <w:color w:val="auto"/>
              </w:rPr>
            </w:pPr>
            <w:r>
              <w:rPr>
                <w:rFonts w:ascii="Arial" w:cs="Arial" w:eastAsia="Arial" w:hAnsi="Arial"/>
                <w:sz w:val="18"/>
                <w:szCs w:val="18"/>
                <w:color w:val="auto"/>
              </w:rPr>
              <w:t>(1,572)</w:t>
            </w:r>
          </w:p>
        </w:tc>
        <w:tc>
          <w:tcPr>
            <w:tcW w:w="0" w:type="dxa"/>
            <w:vAlign w:val="bottom"/>
          </w:tcPr>
          <w:p>
            <w:pPr>
              <w:spacing w:after="0"/>
              <w:rPr>
                <w:sz w:val="1"/>
                <w:szCs w:val="1"/>
                <w:color w:val="auto"/>
              </w:rPr>
            </w:pPr>
          </w:p>
        </w:tc>
      </w:tr>
      <w:tr>
        <w:trPr>
          <w:trHeight w:val="202"/>
        </w:trPr>
        <w:tc>
          <w:tcPr>
            <w:tcW w:w="4120" w:type="dxa"/>
            <w:vAlign w:val="bottom"/>
            <w:gridSpan w:val="2"/>
          </w:tcPr>
          <w:p>
            <w:pPr>
              <w:ind w:left="20"/>
              <w:spacing w:after="0" w:line="201" w:lineRule="exact"/>
              <w:rPr>
                <w:sz w:val="20"/>
                <w:szCs w:val="20"/>
                <w:color w:val="auto"/>
              </w:rPr>
            </w:pPr>
            <w:r>
              <w:rPr>
                <w:rFonts w:ascii="Arial" w:cs="Arial" w:eastAsia="Arial" w:hAnsi="Arial"/>
                <w:sz w:val="18"/>
                <w:szCs w:val="18"/>
                <w:color w:val="auto"/>
              </w:rPr>
              <w:t>Management transition expenses (d)</w:t>
            </w: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60" w:type="dxa"/>
            <w:vAlign w:val="bottom"/>
            <w:gridSpan w:val="2"/>
          </w:tcPr>
          <w:p>
            <w:pPr>
              <w:jc w:val="right"/>
              <w:ind w:right="180"/>
              <w:spacing w:after="0" w:line="201" w:lineRule="exact"/>
              <w:rPr>
                <w:sz w:val="20"/>
                <w:szCs w:val="20"/>
                <w:color w:val="auto"/>
              </w:rPr>
            </w:pPr>
            <w:r>
              <w:rPr>
                <w:rFonts w:ascii="Arial" w:cs="Arial" w:eastAsia="Arial" w:hAnsi="Arial"/>
                <w:sz w:val="18"/>
                <w:szCs w:val="18"/>
                <w:color w:val="auto"/>
              </w:rPr>
              <w:t>—</w:t>
            </w:r>
          </w:p>
        </w:tc>
        <w:tc>
          <w:tcPr>
            <w:tcW w:w="340" w:type="dxa"/>
            <w:vAlign w:val="bottom"/>
          </w:tcPr>
          <w:p>
            <w:pPr>
              <w:spacing w:after="0"/>
              <w:rPr>
                <w:sz w:val="17"/>
                <w:szCs w:val="17"/>
                <w:color w:val="auto"/>
              </w:rPr>
            </w:pPr>
          </w:p>
        </w:tc>
        <w:tc>
          <w:tcPr>
            <w:tcW w:w="860" w:type="dxa"/>
            <w:vAlign w:val="bottom"/>
            <w:gridSpan w:val="2"/>
          </w:tcPr>
          <w:p>
            <w:pPr>
              <w:jc w:val="right"/>
              <w:ind w:right="180"/>
              <w:spacing w:after="0" w:line="201" w:lineRule="exact"/>
              <w:rPr>
                <w:sz w:val="20"/>
                <w:szCs w:val="20"/>
                <w:color w:val="auto"/>
              </w:rPr>
            </w:pPr>
            <w:r>
              <w:rPr>
                <w:rFonts w:ascii="Arial" w:cs="Arial" w:eastAsia="Arial" w:hAnsi="Arial"/>
                <w:sz w:val="18"/>
                <w:szCs w:val="18"/>
                <w:color w:val="auto"/>
              </w:rPr>
              <w:t>—</w:t>
            </w:r>
          </w:p>
        </w:tc>
        <w:tc>
          <w:tcPr>
            <w:tcW w:w="220" w:type="dxa"/>
            <w:vAlign w:val="bottom"/>
          </w:tcPr>
          <w:p>
            <w:pPr>
              <w:spacing w:after="0"/>
              <w:rPr>
                <w:sz w:val="17"/>
                <w:szCs w:val="17"/>
                <w:color w:val="auto"/>
              </w:rPr>
            </w:pPr>
          </w:p>
        </w:tc>
        <w:tc>
          <w:tcPr>
            <w:tcW w:w="780" w:type="dxa"/>
            <w:vAlign w:val="bottom"/>
          </w:tcPr>
          <w:p>
            <w:pPr>
              <w:jc w:val="right"/>
              <w:spacing w:after="0" w:line="201" w:lineRule="exact"/>
              <w:rPr>
                <w:sz w:val="20"/>
                <w:szCs w:val="20"/>
                <w:color w:val="auto"/>
              </w:rPr>
            </w:pPr>
            <w:r>
              <w:rPr>
                <w:rFonts w:ascii="Arial" w:cs="Arial" w:eastAsia="Arial" w:hAnsi="Arial"/>
                <w:sz w:val="18"/>
                <w:szCs w:val="18"/>
                <w:color w:val="auto"/>
              </w:rPr>
              <w:t>1,119</w:t>
            </w:r>
          </w:p>
        </w:tc>
        <w:tc>
          <w:tcPr>
            <w:tcW w:w="1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40" w:type="dxa"/>
            <w:vAlign w:val="bottom"/>
            <w:gridSpan w:val="2"/>
          </w:tcPr>
          <w:p>
            <w:pPr>
              <w:jc w:val="right"/>
              <w:ind w:right="60"/>
              <w:spacing w:after="0" w:line="201"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4120" w:type="dxa"/>
            <w:vAlign w:val="bottom"/>
            <w:gridSpan w:val="2"/>
          </w:tcPr>
          <w:p>
            <w:pPr>
              <w:ind w:left="20"/>
              <w:spacing w:after="0" w:line="203" w:lineRule="exact"/>
              <w:rPr>
                <w:sz w:val="20"/>
                <w:szCs w:val="20"/>
                <w:color w:val="auto"/>
              </w:rPr>
            </w:pPr>
            <w:r>
              <w:rPr>
                <w:rFonts w:ascii="Arial" w:cs="Arial" w:eastAsia="Arial" w:hAnsi="Arial"/>
                <w:sz w:val="18"/>
                <w:szCs w:val="18"/>
                <w:color w:val="auto"/>
              </w:rPr>
              <w:t>Professional expenses related to FreshRealm (e)</w:t>
            </w: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60" w:type="dxa"/>
            <w:vAlign w:val="bottom"/>
            <w:gridSpan w:val="2"/>
          </w:tcPr>
          <w:p>
            <w:pPr>
              <w:jc w:val="right"/>
              <w:ind w:right="180"/>
              <w:spacing w:after="0" w:line="203" w:lineRule="exact"/>
              <w:rPr>
                <w:sz w:val="20"/>
                <w:szCs w:val="20"/>
                <w:color w:val="auto"/>
              </w:rPr>
            </w:pPr>
            <w:r>
              <w:rPr>
                <w:rFonts w:ascii="Arial" w:cs="Arial" w:eastAsia="Arial" w:hAnsi="Arial"/>
                <w:sz w:val="18"/>
                <w:szCs w:val="18"/>
                <w:color w:val="auto"/>
              </w:rPr>
              <w:t>255</w:t>
            </w:r>
          </w:p>
        </w:tc>
        <w:tc>
          <w:tcPr>
            <w:tcW w:w="340" w:type="dxa"/>
            <w:vAlign w:val="bottom"/>
          </w:tcPr>
          <w:p>
            <w:pPr>
              <w:spacing w:after="0"/>
              <w:rPr>
                <w:sz w:val="17"/>
                <w:szCs w:val="17"/>
                <w:color w:val="auto"/>
              </w:rPr>
            </w:pPr>
          </w:p>
        </w:tc>
        <w:tc>
          <w:tcPr>
            <w:tcW w:w="860" w:type="dxa"/>
            <w:vAlign w:val="bottom"/>
            <w:gridSpan w:val="2"/>
          </w:tcPr>
          <w:p>
            <w:pPr>
              <w:jc w:val="right"/>
              <w:ind w:right="180"/>
              <w:spacing w:after="0" w:line="203" w:lineRule="exact"/>
              <w:rPr>
                <w:sz w:val="20"/>
                <w:szCs w:val="20"/>
                <w:color w:val="auto"/>
              </w:rPr>
            </w:pPr>
            <w:r>
              <w:rPr>
                <w:rFonts w:ascii="Arial" w:cs="Arial" w:eastAsia="Arial" w:hAnsi="Arial"/>
                <w:sz w:val="18"/>
                <w:szCs w:val="18"/>
                <w:color w:val="auto"/>
              </w:rPr>
              <w:t>—</w:t>
            </w:r>
          </w:p>
        </w:tc>
        <w:tc>
          <w:tcPr>
            <w:tcW w:w="220" w:type="dxa"/>
            <w:vAlign w:val="bottom"/>
          </w:tcPr>
          <w:p>
            <w:pPr>
              <w:spacing w:after="0"/>
              <w:rPr>
                <w:sz w:val="17"/>
                <w:szCs w:val="17"/>
                <w:color w:val="auto"/>
              </w:rPr>
            </w:pPr>
          </w:p>
        </w:tc>
        <w:tc>
          <w:tcPr>
            <w:tcW w:w="780" w:type="dxa"/>
            <w:vAlign w:val="bottom"/>
          </w:tcPr>
          <w:p>
            <w:pPr>
              <w:jc w:val="right"/>
              <w:spacing w:after="0" w:line="203" w:lineRule="exact"/>
              <w:rPr>
                <w:sz w:val="20"/>
                <w:szCs w:val="20"/>
                <w:color w:val="auto"/>
              </w:rPr>
            </w:pPr>
            <w:r>
              <w:rPr>
                <w:rFonts w:ascii="Arial" w:cs="Arial" w:eastAsia="Arial" w:hAnsi="Arial"/>
                <w:sz w:val="18"/>
                <w:szCs w:val="18"/>
                <w:color w:val="auto"/>
              </w:rPr>
              <w:t>255</w:t>
            </w:r>
          </w:p>
        </w:tc>
        <w:tc>
          <w:tcPr>
            <w:tcW w:w="1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40" w:type="dxa"/>
            <w:vAlign w:val="bottom"/>
            <w:gridSpan w:val="2"/>
          </w:tcPr>
          <w:p>
            <w:pPr>
              <w:jc w:val="right"/>
              <w:ind w:right="60"/>
              <w:spacing w:after="0" w:line="203"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4120" w:type="dxa"/>
            <w:vAlign w:val="bottom"/>
            <w:gridSpan w:val="2"/>
            <w:shd w:val="clear" w:color="auto" w:fill="CCEEFF"/>
          </w:tcPr>
          <w:p>
            <w:pPr>
              <w:ind w:left="20"/>
              <w:spacing w:after="0" w:line="201" w:lineRule="exact"/>
              <w:rPr>
                <w:sz w:val="20"/>
                <w:szCs w:val="20"/>
                <w:color w:val="auto"/>
              </w:rPr>
            </w:pPr>
            <w:r>
              <w:rPr>
                <w:rFonts w:ascii="Arial" w:cs="Arial" w:eastAsia="Arial" w:hAnsi="Arial"/>
                <w:sz w:val="18"/>
                <w:szCs w:val="18"/>
                <w:color w:val="auto"/>
              </w:rPr>
              <w:t>Acquisition costs - SFFI, Inc. (f)</w:t>
            </w:r>
          </w:p>
        </w:tc>
        <w:tc>
          <w:tcPr>
            <w:tcW w:w="1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180"/>
              <w:spacing w:after="0" w:line="201" w:lineRule="exact"/>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80"/>
              <w:spacing w:after="0" w:line="201" w:lineRule="exact"/>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line="201" w:lineRule="exact"/>
              <w:rPr>
                <w:sz w:val="20"/>
                <w:szCs w:val="20"/>
                <w:color w:val="auto"/>
              </w:rPr>
            </w:pPr>
            <w:r>
              <w:rPr>
                <w:rFonts w:ascii="Arial" w:cs="Arial" w:eastAsia="Arial" w:hAnsi="Arial"/>
                <w:sz w:val="18"/>
                <w:szCs w:val="18"/>
                <w:color w:val="auto"/>
              </w:rPr>
              <w:t>510</w:t>
            </w:r>
          </w:p>
        </w:tc>
        <w:tc>
          <w:tcPr>
            <w:tcW w:w="1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60"/>
              <w:spacing w:after="0" w:line="201"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4120" w:type="dxa"/>
            <w:vAlign w:val="bottom"/>
            <w:gridSpan w:val="2"/>
            <w:shd w:val="clear" w:color="auto" w:fill="CCEEFF"/>
          </w:tcPr>
          <w:p>
            <w:pPr>
              <w:ind w:left="20"/>
              <w:spacing w:after="0" w:line="203" w:lineRule="exact"/>
              <w:rPr>
                <w:sz w:val="20"/>
                <w:szCs w:val="20"/>
                <w:color w:val="auto"/>
              </w:rPr>
            </w:pPr>
            <w:r>
              <w:rPr>
                <w:rFonts w:ascii="Arial" w:cs="Arial" w:eastAsia="Arial" w:hAnsi="Arial"/>
                <w:sz w:val="18"/>
                <w:szCs w:val="18"/>
                <w:color w:val="auto"/>
              </w:rPr>
              <w:t>RFG Rent expense add back (g)</w:t>
            </w:r>
          </w:p>
        </w:tc>
        <w:tc>
          <w:tcPr>
            <w:tcW w:w="1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180"/>
              <w:spacing w:after="0" w:line="203" w:lineRule="exact"/>
              <w:rPr>
                <w:sz w:val="20"/>
                <w:szCs w:val="20"/>
                <w:color w:val="auto"/>
              </w:rPr>
            </w:pPr>
            <w:r>
              <w:rPr>
                <w:rFonts w:ascii="Arial" w:cs="Arial" w:eastAsia="Arial" w:hAnsi="Arial"/>
                <w:sz w:val="18"/>
                <w:szCs w:val="18"/>
                <w:color w:val="auto"/>
              </w:rPr>
              <w:t>108</w:t>
            </w:r>
          </w:p>
        </w:tc>
        <w:tc>
          <w:tcPr>
            <w:tcW w:w="34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80"/>
              <w:spacing w:after="0" w:line="203" w:lineRule="exact"/>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108</w:t>
            </w:r>
          </w:p>
        </w:tc>
        <w:tc>
          <w:tcPr>
            <w:tcW w:w="1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60"/>
              <w:spacing w:after="0" w:line="203"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4120" w:type="dxa"/>
            <w:vAlign w:val="bottom"/>
            <w:gridSpan w:val="2"/>
          </w:tcPr>
          <w:p>
            <w:pPr>
              <w:ind w:left="20"/>
              <w:spacing w:after="0" w:line="202" w:lineRule="exact"/>
              <w:rPr>
                <w:sz w:val="20"/>
                <w:szCs w:val="20"/>
                <w:color w:val="auto"/>
              </w:rPr>
            </w:pPr>
            <w:r>
              <w:rPr>
                <w:rFonts w:ascii="Arial" w:cs="Arial" w:eastAsia="Arial" w:hAnsi="Arial"/>
                <w:sz w:val="18"/>
                <w:szCs w:val="18"/>
                <w:color w:val="auto"/>
              </w:rPr>
              <w:t>Net loss (gain) on Limoneira shares (h)</w:t>
            </w: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60" w:type="dxa"/>
            <w:vAlign w:val="bottom"/>
            <w:gridSpan w:val="2"/>
          </w:tcPr>
          <w:p>
            <w:pPr>
              <w:jc w:val="right"/>
              <w:ind w:right="180"/>
              <w:spacing w:after="0" w:line="202" w:lineRule="exact"/>
              <w:rPr>
                <w:sz w:val="20"/>
                <w:szCs w:val="20"/>
                <w:color w:val="auto"/>
              </w:rPr>
            </w:pPr>
            <w:r>
              <w:rPr>
                <w:rFonts w:ascii="Arial" w:cs="Arial" w:eastAsia="Arial" w:hAnsi="Arial"/>
                <w:sz w:val="18"/>
                <w:szCs w:val="18"/>
                <w:color w:val="auto"/>
              </w:rPr>
              <w:t>(588)</w:t>
            </w:r>
          </w:p>
        </w:tc>
        <w:tc>
          <w:tcPr>
            <w:tcW w:w="340" w:type="dxa"/>
            <w:vAlign w:val="bottom"/>
          </w:tcPr>
          <w:p>
            <w:pPr>
              <w:spacing w:after="0"/>
              <w:rPr>
                <w:sz w:val="17"/>
                <w:szCs w:val="17"/>
                <w:color w:val="auto"/>
              </w:rPr>
            </w:pPr>
          </w:p>
        </w:tc>
        <w:tc>
          <w:tcPr>
            <w:tcW w:w="680" w:type="dxa"/>
            <w:vAlign w:val="bottom"/>
          </w:tcPr>
          <w:p>
            <w:pPr>
              <w:jc w:val="right"/>
              <w:spacing w:after="0" w:line="202" w:lineRule="exact"/>
              <w:rPr>
                <w:sz w:val="20"/>
                <w:szCs w:val="20"/>
                <w:color w:val="auto"/>
              </w:rPr>
            </w:pPr>
            <w:r>
              <w:rPr>
                <w:rFonts w:ascii="Arial" w:cs="Arial" w:eastAsia="Arial" w:hAnsi="Arial"/>
                <w:sz w:val="18"/>
                <w:szCs w:val="18"/>
                <w:color w:val="auto"/>
              </w:rPr>
              <w:t>1,460</w:t>
            </w: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jc w:val="right"/>
              <w:spacing w:after="0" w:line="202" w:lineRule="exact"/>
              <w:rPr>
                <w:sz w:val="20"/>
                <w:szCs w:val="20"/>
                <w:color w:val="auto"/>
              </w:rPr>
            </w:pPr>
            <w:r>
              <w:rPr>
                <w:rFonts w:ascii="Arial" w:cs="Arial" w:eastAsia="Arial" w:hAnsi="Arial"/>
                <w:sz w:val="18"/>
                <w:szCs w:val="18"/>
                <w:color w:val="auto"/>
              </w:rPr>
              <w:t>8,537</w:t>
            </w:r>
          </w:p>
        </w:tc>
        <w:tc>
          <w:tcPr>
            <w:tcW w:w="1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680" w:type="dxa"/>
            <w:vAlign w:val="bottom"/>
          </w:tcPr>
          <w:p>
            <w:pPr>
              <w:jc w:val="right"/>
              <w:spacing w:after="0" w:line="202" w:lineRule="exact"/>
              <w:rPr>
                <w:sz w:val="20"/>
                <w:szCs w:val="20"/>
                <w:color w:val="auto"/>
              </w:rPr>
            </w:pPr>
            <w:r>
              <w:rPr>
                <w:rFonts w:ascii="Arial" w:cs="Arial" w:eastAsia="Arial" w:hAnsi="Arial"/>
                <w:sz w:val="18"/>
                <w:szCs w:val="18"/>
                <w:color w:val="auto"/>
              </w:rPr>
              <w:t>9,722</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05"/>
        </w:trPr>
        <w:tc>
          <w:tcPr>
            <w:tcW w:w="41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Tax impact of adjustments (i)</w:t>
            </w:r>
          </w:p>
        </w:tc>
        <w:tc>
          <w:tcPr>
            <w:tcW w:w="16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96</w:t>
            </w:r>
          </w:p>
        </w:tc>
        <w:tc>
          <w:tcPr>
            <w:tcW w:w="340" w:type="dxa"/>
            <w:vAlign w:val="bottom"/>
            <w:shd w:val="clear" w:color="auto" w:fill="CCEEFF"/>
          </w:tcPr>
          <w:p>
            <w:pPr>
              <w:spacing w:after="0"/>
              <w:rPr>
                <w:sz w:val="24"/>
                <w:szCs w:val="24"/>
                <w:color w:val="auto"/>
              </w:rPr>
            </w:pP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(955)</w:t>
            </w:r>
          </w:p>
        </w:tc>
        <w:tc>
          <w:tcPr>
            <w:tcW w:w="220" w:type="dxa"/>
            <w:vAlign w:val="bottom"/>
            <w:shd w:val="clear" w:color="auto" w:fill="CCEEFF"/>
          </w:tcPr>
          <w:p>
            <w:pPr>
              <w:spacing w:after="0"/>
              <w:rPr>
                <w:sz w:val="24"/>
                <w:szCs w:val="24"/>
                <w:color w:val="auto"/>
              </w:rPr>
            </w:pP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(12,773)</w:t>
            </w:r>
          </w:p>
        </w:tc>
        <w:tc>
          <w:tcPr>
            <w:tcW w:w="340" w:type="dxa"/>
            <w:vAlign w:val="bottom"/>
            <w:shd w:val="clear" w:color="auto" w:fill="CCEEFF"/>
          </w:tcPr>
          <w:p>
            <w:pPr>
              <w:spacing w:after="0"/>
              <w:rPr>
                <w:sz w:val="24"/>
                <w:szCs w:val="24"/>
                <w:color w:val="auto"/>
              </w:rPr>
            </w:pP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(5,803)</w:t>
            </w:r>
          </w:p>
        </w:tc>
        <w:tc>
          <w:tcPr>
            <w:tcW w:w="0" w:type="dxa"/>
            <w:vAlign w:val="bottom"/>
          </w:tcPr>
          <w:p>
            <w:pPr>
              <w:spacing w:after="0"/>
              <w:rPr>
                <w:sz w:val="1"/>
                <w:szCs w:val="1"/>
                <w:color w:val="auto"/>
              </w:rPr>
            </w:pPr>
          </w:p>
        </w:tc>
      </w:tr>
      <w:tr>
        <w:trPr>
          <w:trHeight w:val="182"/>
        </w:trPr>
        <w:tc>
          <w:tcPr>
            <w:tcW w:w="4120" w:type="dxa"/>
            <w:vAlign w:val="bottom"/>
            <w:gridSpan w:val="2"/>
          </w:tcPr>
          <w:p>
            <w:pPr>
              <w:ind w:left="20"/>
              <w:spacing w:after="0" w:line="182" w:lineRule="exact"/>
              <w:rPr>
                <w:sz w:val="20"/>
                <w:szCs w:val="20"/>
                <w:color w:val="auto"/>
              </w:rPr>
            </w:pPr>
            <w:r>
              <w:rPr>
                <w:rFonts w:ascii="Arial" w:cs="Arial" w:eastAsia="Arial" w:hAnsi="Arial"/>
                <w:sz w:val="18"/>
                <w:szCs w:val="18"/>
                <w:color w:val="auto"/>
              </w:rPr>
              <w:t>Adjusted net income attributed to Calavo Growers,</w:t>
            </w:r>
          </w:p>
        </w:tc>
        <w:tc>
          <w:tcPr>
            <w:tcW w:w="160" w:type="dxa"/>
            <w:vAlign w:val="bottom"/>
            <w:vMerge w:val="restart"/>
          </w:tcPr>
          <w:p>
            <w:pPr>
              <w:spacing w:after="0"/>
              <w:rPr>
                <w:sz w:val="15"/>
                <w:szCs w:val="15"/>
                <w:color w:val="auto"/>
              </w:rPr>
            </w:pPr>
          </w:p>
        </w:tc>
        <w:tc>
          <w:tcPr>
            <w:tcW w:w="220" w:type="dxa"/>
            <w:vAlign w:val="bottom"/>
            <w:tcBorders>
              <w:top w:val="single" w:sz="8" w:color="auto"/>
            </w:tcBorders>
            <w:vMerge w:val="restart"/>
          </w:tcPr>
          <w:p>
            <w:pPr>
              <w:jc w:val="right"/>
              <w:ind w:right="30"/>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5,963</w:t>
            </w:r>
          </w:p>
        </w:tc>
        <w:tc>
          <w:tcPr>
            <w:tcW w:w="180" w:type="dxa"/>
            <w:vAlign w:val="bottom"/>
          </w:tcPr>
          <w:p>
            <w:pPr>
              <w:spacing w:after="0"/>
              <w:rPr>
                <w:sz w:val="15"/>
                <w:szCs w:val="15"/>
                <w:color w:val="auto"/>
              </w:rPr>
            </w:pPr>
          </w:p>
        </w:tc>
        <w:tc>
          <w:tcPr>
            <w:tcW w:w="340" w:type="dxa"/>
            <w:vAlign w:val="bottom"/>
            <w:tcBorders>
              <w:top w:val="single" w:sz="8" w:color="auto"/>
            </w:tcBorders>
            <w:vMerge w:val="restart"/>
          </w:tcPr>
          <w:p>
            <w:pPr>
              <w:jc w:val="right"/>
              <w:ind w:right="130"/>
              <w:spacing w:after="0"/>
              <w:rPr>
                <w:sz w:val="20"/>
                <w:szCs w:val="20"/>
                <w:color w:val="auto"/>
              </w:rPr>
            </w:pPr>
            <w:r>
              <w:rPr>
                <w:rFonts w:ascii="Arial" w:cs="Arial" w:eastAsia="Arial" w:hAnsi="Arial"/>
                <w:sz w:val="18"/>
                <w:szCs w:val="18"/>
                <w:color w:val="auto"/>
                <w:w w:val="99"/>
              </w:rPr>
              <w:t>$</w:t>
            </w:r>
          </w:p>
        </w:tc>
        <w:tc>
          <w:tcPr>
            <w:tcW w:w="68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7,854</w:t>
            </w:r>
          </w:p>
        </w:tc>
        <w:tc>
          <w:tcPr>
            <w:tcW w:w="180" w:type="dxa"/>
            <w:vAlign w:val="bottom"/>
          </w:tcPr>
          <w:p>
            <w:pPr>
              <w:spacing w:after="0"/>
              <w:rPr>
                <w:sz w:val="15"/>
                <w:szCs w:val="15"/>
                <w:color w:val="auto"/>
              </w:rPr>
            </w:pPr>
          </w:p>
        </w:tc>
        <w:tc>
          <w:tcPr>
            <w:tcW w:w="220" w:type="dxa"/>
            <w:vAlign w:val="bottom"/>
            <w:tcBorders>
              <w:top w:val="single" w:sz="8" w:color="auto"/>
            </w:tcBorders>
            <w:vMerge w:val="restart"/>
          </w:tcPr>
          <w:p>
            <w:pPr>
              <w:jc w:val="right"/>
              <w:ind w:right="30"/>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27,563</w:t>
            </w:r>
          </w:p>
        </w:tc>
        <w:tc>
          <w:tcPr>
            <w:tcW w:w="180" w:type="dxa"/>
            <w:vAlign w:val="bottom"/>
          </w:tcPr>
          <w:p>
            <w:pPr>
              <w:spacing w:after="0"/>
              <w:rPr>
                <w:sz w:val="15"/>
                <w:szCs w:val="15"/>
                <w:color w:val="auto"/>
              </w:rPr>
            </w:pPr>
          </w:p>
        </w:tc>
        <w:tc>
          <w:tcPr>
            <w:tcW w:w="340" w:type="dxa"/>
            <w:vAlign w:val="bottom"/>
            <w:tcBorders>
              <w:top w:val="single" w:sz="8" w:color="auto"/>
            </w:tcBorders>
            <w:vMerge w:val="restart"/>
          </w:tcPr>
          <w:p>
            <w:pPr>
              <w:jc w:val="right"/>
              <w:ind w:right="150"/>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53,075</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4120" w:type="dxa"/>
            <w:vAlign w:val="bottom"/>
            <w:tcBorders>
              <w:bottom w:val="single" w:sz="8" w:color="CCEEFF"/>
            </w:tcBorders>
            <w:gridSpan w:val="2"/>
          </w:tcPr>
          <w:p>
            <w:pPr>
              <w:ind w:left="140"/>
              <w:spacing w:after="0" w:line="190" w:lineRule="exact"/>
              <w:rPr>
                <w:sz w:val="20"/>
                <w:szCs w:val="20"/>
                <w:color w:val="auto"/>
              </w:rPr>
            </w:pPr>
            <w:r>
              <w:rPr>
                <w:rFonts w:ascii="Arial" w:cs="Arial" w:eastAsia="Arial" w:hAnsi="Arial"/>
                <w:sz w:val="18"/>
                <w:szCs w:val="18"/>
                <w:color w:val="auto"/>
              </w:rPr>
              <w:t>Inc.</w:t>
            </w:r>
          </w:p>
        </w:tc>
        <w:tc>
          <w:tcPr>
            <w:tcW w:w="160" w:type="dxa"/>
            <w:vAlign w:val="bottom"/>
            <w:tcBorders>
              <w:bottom w:val="single" w:sz="8" w:color="CCEEFF"/>
            </w:tcBorders>
            <w:vMerge w:val="continue"/>
          </w:tcPr>
          <w:p>
            <w:pPr>
              <w:spacing w:after="0"/>
              <w:rPr>
                <w:sz w:val="19"/>
                <w:szCs w:val="19"/>
                <w:color w:val="auto"/>
              </w:rPr>
            </w:pPr>
          </w:p>
        </w:tc>
        <w:tc>
          <w:tcPr>
            <w:tcW w:w="220" w:type="dxa"/>
            <w:vAlign w:val="bottom"/>
            <w:tcBorders>
              <w:bottom w:val="single" w:sz="8" w:color="auto"/>
            </w:tcBorders>
            <w:vMerge w:val="continue"/>
          </w:tcPr>
          <w:p>
            <w:pPr>
              <w:spacing w:after="0"/>
              <w:rPr>
                <w:sz w:val="19"/>
                <w:szCs w:val="19"/>
                <w:color w:val="auto"/>
              </w:rPr>
            </w:pPr>
          </w:p>
        </w:tc>
        <w:tc>
          <w:tcPr>
            <w:tcW w:w="780" w:type="dxa"/>
            <w:vAlign w:val="bottom"/>
            <w:tcBorders>
              <w:bottom w:val="single" w:sz="8" w:color="auto"/>
            </w:tcBorders>
            <w:vMerge w:val="continue"/>
          </w:tcPr>
          <w:p>
            <w:pPr>
              <w:spacing w:after="0"/>
              <w:rPr>
                <w:sz w:val="19"/>
                <w:szCs w:val="19"/>
                <w:color w:val="auto"/>
              </w:rPr>
            </w:pPr>
          </w:p>
        </w:tc>
        <w:tc>
          <w:tcPr>
            <w:tcW w:w="18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vMerge w:val="continue"/>
          </w:tcPr>
          <w:p>
            <w:pPr>
              <w:spacing w:after="0"/>
              <w:rPr>
                <w:sz w:val="19"/>
                <w:szCs w:val="19"/>
                <w:color w:val="auto"/>
              </w:rPr>
            </w:pPr>
          </w:p>
        </w:tc>
        <w:tc>
          <w:tcPr>
            <w:tcW w:w="680" w:type="dxa"/>
            <w:vAlign w:val="bottom"/>
            <w:tcBorders>
              <w:bottom w:val="single" w:sz="8" w:color="auto"/>
            </w:tcBorders>
            <w:vMerge w:val="continue"/>
          </w:tcPr>
          <w:p>
            <w:pPr>
              <w:spacing w:after="0"/>
              <w:rPr>
                <w:sz w:val="19"/>
                <w:szCs w:val="19"/>
                <w:color w:val="auto"/>
              </w:rPr>
            </w:pPr>
          </w:p>
        </w:tc>
        <w:tc>
          <w:tcPr>
            <w:tcW w:w="18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vMerge w:val="continue"/>
          </w:tcPr>
          <w:p>
            <w:pPr>
              <w:spacing w:after="0"/>
              <w:rPr>
                <w:sz w:val="19"/>
                <w:szCs w:val="19"/>
                <w:color w:val="auto"/>
              </w:rPr>
            </w:pPr>
          </w:p>
        </w:tc>
        <w:tc>
          <w:tcPr>
            <w:tcW w:w="780" w:type="dxa"/>
            <w:vAlign w:val="bottom"/>
            <w:tcBorders>
              <w:bottom w:val="single" w:sz="8" w:color="auto"/>
            </w:tcBorders>
            <w:vMerge w:val="continue"/>
          </w:tcPr>
          <w:p>
            <w:pPr>
              <w:spacing w:after="0"/>
              <w:rPr>
                <w:sz w:val="19"/>
                <w:szCs w:val="19"/>
                <w:color w:val="auto"/>
              </w:rPr>
            </w:pPr>
          </w:p>
        </w:tc>
        <w:tc>
          <w:tcPr>
            <w:tcW w:w="18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vMerge w:val="continue"/>
          </w:tcPr>
          <w:p>
            <w:pPr>
              <w:spacing w:after="0"/>
              <w:rPr>
                <w:sz w:val="19"/>
                <w:szCs w:val="19"/>
                <w:color w:val="auto"/>
              </w:rPr>
            </w:pPr>
          </w:p>
        </w:tc>
        <w:tc>
          <w:tcPr>
            <w:tcW w:w="680" w:type="dxa"/>
            <w:vAlign w:val="bottom"/>
            <w:tcBorders>
              <w:bottom w:val="single" w:sz="8" w:color="auto"/>
            </w:tcBorders>
            <w:vMerge w:val="continue"/>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183"/>
        </w:trPr>
        <w:tc>
          <w:tcPr>
            <w:tcW w:w="2240" w:type="dxa"/>
            <w:vAlign w:val="bottom"/>
            <w:shd w:val="clear" w:color="auto" w:fill="CCEEFF"/>
          </w:tcPr>
          <w:p>
            <w:pPr>
              <w:spacing w:after="0"/>
              <w:rPr>
                <w:sz w:val="15"/>
                <w:szCs w:val="15"/>
                <w:color w:val="auto"/>
              </w:rPr>
            </w:pPr>
          </w:p>
        </w:tc>
        <w:tc>
          <w:tcPr>
            <w:tcW w:w="18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4120" w:type="dxa"/>
            <w:vAlign w:val="bottom"/>
            <w:gridSpan w:val="2"/>
          </w:tcPr>
          <w:p>
            <w:pPr>
              <w:ind w:left="20"/>
              <w:spacing w:after="0" w:line="202" w:lineRule="exact"/>
              <w:rPr>
                <w:sz w:val="20"/>
                <w:szCs w:val="20"/>
                <w:color w:val="auto"/>
              </w:rPr>
            </w:pPr>
            <w:r>
              <w:rPr>
                <w:rFonts w:ascii="Arial" w:cs="Arial" w:eastAsia="Arial" w:hAnsi="Arial"/>
                <w:sz w:val="18"/>
                <w:szCs w:val="18"/>
                <w:color w:val="auto"/>
                <w:w w:val="99"/>
              </w:rPr>
              <w:t>Calavo Growers, Inc.’s net income (loss) per share:</w:t>
            </w: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120" w:type="dxa"/>
            <w:vAlign w:val="bottom"/>
            <w:gridSpan w:val="2"/>
            <w:shd w:val="clear" w:color="auto" w:fill="CCEEFF"/>
          </w:tcPr>
          <w:p>
            <w:pPr>
              <w:ind w:left="20"/>
              <w:spacing w:after="0" w:line="202" w:lineRule="exact"/>
              <w:rPr>
                <w:sz w:val="20"/>
                <w:szCs w:val="20"/>
                <w:color w:val="auto"/>
              </w:rPr>
            </w:pPr>
            <w:r>
              <w:rPr>
                <w:rFonts w:ascii="Arial" w:cs="Arial" w:eastAsia="Arial" w:hAnsi="Arial"/>
                <w:sz w:val="18"/>
                <w:szCs w:val="18"/>
                <w:color w:val="auto"/>
              </w:rPr>
              <w:t>Diluted EPS (GAAP)</w:t>
            </w:r>
          </w:p>
        </w:tc>
        <w:tc>
          <w:tcPr>
            <w:tcW w:w="160" w:type="dxa"/>
            <w:vAlign w:val="bottom"/>
            <w:shd w:val="clear" w:color="auto" w:fill="CCEEFF"/>
          </w:tcPr>
          <w:p>
            <w:pPr>
              <w:spacing w:after="0"/>
              <w:rPr>
                <w:sz w:val="17"/>
                <w:szCs w:val="17"/>
                <w:color w:val="auto"/>
              </w:rPr>
            </w:pPr>
          </w:p>
        </w:tc>
        <w:tc>
          <w:tcPr>
            <w:tcW w:w="220" w:type="dxa"/>
            <w:vAlign w:val="bottom"/>
            <w:shd w:val="clear" w:color="auto" w:fill="CCEEFF"/>
          </w:tcPr>
          <w:p>
            <w:pPr>
              <w:jc w:val="right"/>
              <w:ind w:right="30"/>
              <w:spacing w:after="0" w:line="202" w:lineRule="exact"/>
              <w:rPr>
                <w:sz w:val="20"/>
                <w:szCs w:val="20"/>
                <w:color w:val="auto"/>
              </w:rPr>
            </w:pPr>
            <w:r>
              <w:rPr>
                <w:rFonts w:ascii="Arial" w:cs="Arial" w:eastAsia="Arial" w:hAnsi="Arial"/>
                <w:sz w:val="18"/>
                <w:szCs w:val="18"/>
                <w:color w:val="auto"/>
                <w:w w:val="79"/>
              </w:rPr>
              <w:t>$</w:t>
            </w:r>
          </w:p>
        </w:tc>
        <w:tc>
          <w:tcPr>
            <w:tcW w:w="960" w:type="dxa"/>
            <w:vAlign w:val="bottom"/>
            <w:gridSpan w:val="2"/>
            <w:shd w:val="clear" w:color="auto" w:fill="CCEEFF"/>
          </w:tcPr>
          <w:p>
            <w:pPr>
              <w:jc w:val="right"/>
              <w:ind w:right="180"/>
              <w:spacing w:after="0" w:line="202" w:lineRule="exact"/>
              <w:rPr>
                <w:sz w:val="20"/>
                <w:szCs w:val="20"/>
                <w:color w:val="auto"/>
              </w:rPr>
            </w:pPr>
            <w:r>
              <w:rPr>
                <w:rFonts w:ascii="Arial" w:cs="Arial" w:eastAsia="Arial" w:hAnsi="Arial"/>
                <w:sz w:val="18"/>
                <w:szCs w:val="18"/>
                <w:color w:val="auto"/>
              </w:rPr>
              <w:t>0.35</w:t>
            </w:r>
          </w:p>
        </w:tc>
        <w:tc>
          <w:tcPr>
            <w:tcW w:w="340" w:type="dxa"/>
            <w:vAlign w:val="bottom"/>
            <w:shd w:val="clear" w:color="auto" w:fill="CCEEFF"/>
          </w:tcPr>
          <w:p>
            <w:pPr>
              <w:jc w:val="right"/>
              <w:ind w:right="130"/>
              <w:spacing w:after="0" w:line="202" w:lineRule="exact"/>
              <w:rPr>
                <w:sz w:val="20"/>
                <w:szCs w:val="20"/>
                <w:color w:val="auto"/>
              </w:rPr>
            </w:pPr>
            <w:r>
              <w:rPr>
                <w:rFonts w:ascii="Arial" w:cs="Arial" w:eastAsia="Arial" w:hAnsi="Arial"/>
                <w:sz w:val="18"/>
                <w:szCs w:val="18"/>
                <w:color w:val="auto"/>
                <w:w w:val="99"/>
              </w:rPr>
              <w:t>$</w:t>
            </w:r>
          </w:p>
        </w:tc>
        <w:tc>
          <w:tcPr>
            <w:tcW w:w="6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0.30</w:t>
            </w:r>
          </w:p>
        </w:tc>
        <w:tc>
          <w:tcPr>
            <w:tcW w:w="180" w:type="dxa"/>
            <w:vAlign w:val="bottom"/>
            <w:shd w:val="clear" w:color="auto" w:fill="CCEEFF"/>
          </w:tcPr>
          <w:p>
            <w:pPr>
              <w:spacing w:after="0"/>
              <w:rPr>
                <w:sz w:val="17"/>
                <w:szCs w:val="17"/>
                <w:color w:val="auto"/>
              </w:rPr>
            </w:pPr>
          </w:p>
        </w:tc>
        <w:tc>
          <w:tcPr>
            <w:tcW w:w="220" w:type="dxa"/>
            <w:vAlign w:val="bottom"/>
            <w:shd w:val="clear" w:color="auto" w:fill="CCEEFF"/>
          </w:tcPr>
          <w:p>
            <w:pPr>
              <w:jc w:val="right"/>
              <w:ind w:right="30"/>
              <w:spacing w:after="0" w:line="202" w:lineRule="exact"/>
              <w:rPr>
                <w:sz w:val="20"/>
                <w:szCs w:val="20"/>
                <w:color w:val="auto"/>
              </w:rPr>
            </w:pPr>
            <w:r>
              <w:rPr>
                <w:rFonts w:ascii="Arial" w:cs="Arial" w:eastAsia="Arial" w:hAnsi="Arial"/>
                <w:sz w:val="18"/>
                <w:szCs w:val="18"/>
                <w:color w:val="auto"/>
                <w:w w:val="79"/>
              </w:rPr>
              <w:t>$</w:t>
            </w:r>
          </w:p>
        </w:tc>
        <w:tc>
          <w:tcPr>
            <w:tcW w:w="960" w:type="dxa"/>
            <w:vAlign w:val="bottom"/>
            <w:gridSpan w:val="2"/>
            <w:shd w:val="clear" w:color="auto" w:fill="CCEEFF"/>
          </w:tcPr>
          <w:p>
            <w:pPr>
              <w:jc w:val="right"/>
              <w:ind w:right="180"/>
              <w:spacing w:after="0" w:line="202" w:lineRule="exact"/>
              <w:rPr>
                <w:sz w:val="20"/>
                <w:szCs w:val="20"/>
                <w:color w:val="auto"/>
              </w:rPr>
            </w:pPr>
            <w:r>
              <w:rPr>
                <w:rFonts w:ascii="Arial" w:cs="Arial" w:eastAsia="Arial" w:hAnsi="Arial"/>
                <w:sz w:val="18"/>
                <w:szCs w:val="18"/>
                <w:color w:val="auto"/>
              </w:rPr>
              <w:t>(0.78)</w:t>
            </w:r>
          </w:p>
        </w:tc>
        <w:tc>
          <w:tcPr>
            <w:tcW w:w="340" w:type="dxa"/>
            <w:vAlign w:val="bottom"/>
            <w:shd w:val="clear" w:color="auto" w:fill="CCEEFF"/>
          </w:tcPr>
          <w:p>
            <w:pPr>
              <w:jc w:val="right"/>
              <w:ind w:right="150"/>
              <w:spacing w:after="0" w:line="202" w:lineRule="exact"/>
              <w:rPr>
                <w:sz w:val="20"/>
                <w:szCs w:val="20"/>
                <w:color w:val="auto"/>
              </w:rPr>
            </w:pPr>
            <w:r>
              <w:rPr>
                <w:rFonts w:ascii="Arial" w:cs="Arial" w:eastAsia="Arial" w:hAnsi="Arial"/>
                <w:sz w:val="18"/>
                <w:szCs w:val="18"/>
                <w:color w:val="auto"/>
                <w:w w:val="79"/>
              </w:rPr>
              <w:t>$</w:t>
            </w:r>
          </w:p>
        </w:tc>
        <w:tc>
          <w:tcPr>
            <w:tcW w:w="6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2.08</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240" w:type="dxa"/>
            <w:vAlign w:val="bottom"/>
            <w:tcBorders>
              <w:top w:val="single" w:sz="8" w:color="CCEEFF"/>
            </w:tcBorders>
          </w:tcPr>
          <w:p>
            <w:pPr>
              <w:spacing w:after="0" w:line="20" w:lineRule="exact"/>
              <w:rPr>
                <w:sz w:val="1"/>
                <w:szCs w:val="1"/>
                <w:color w:val="auto"/>
              </w:rPr>
            </w:pPr>
          </w:p>
        </w:tc>
        <w:tc>
          <w:tcPr>
            <w:tcW w:w="18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120" w:type="dxa"/>
            <w:vAlign w:val="bottom"/>
            <w:tcBorders>
              <w:bottom w:val="single" w:sz="8" w:color="CCEEFF"/>
            </w:tcBorders>
            <w:gridSpan w:val="2"/>
          </w:tcPr>
          <w:p>
            <w:pPr>
              <w:ind w:left="20"/>
              <w:spacing w:after="0" w:line="183" w:lineRule="exact"/>
              <w:rPr>
                <w:sz w:val="20"/>
                <w:szCs w:val="20"/>
                <w:color w:val="auto"/>
              </w:rPr>
            </w:pPr>
            <w:r>
              <w:rPr>
                <w:rFonts w:ascii="Arial" w:cs="Arial" w:eastAsia="Arial" w:hAnsi="Arial"/>
                <w:sz w:val="18"/>
                <w:szCs w:val="18"/>
                <w:color w:val="auto"/>
              </w:rPr>
              <w:t>Adjusted Diluted EPS</w:t>
            </w:r>
          </w:p>
        </w:tc>
        <w:tc>
          <w:tcPr>
            <w:tcW w:w="16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jc w:val="right"/>
              <w:ind w:right="30"/>
              <w:spacing w:after="0" w:line="183" w:lineRule="exact"/>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8"/>
                <w:szCs w:val="18"/>
                <w:color w:val="auto"/>
              </w:rPr>
              <w:t>0.34</w:t>
            </w:r>
          </w:p>
        </w:tc>
        <w:tc>
          <w:tcPr>
            <w:tcW w:w="18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jc w:val="right"/>
              <w:ind w:right="130"/>
              <w:spacing w:after="0" w:line="183" w:lineRule="exact"/>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8"/>
                <w:szCs w:val="18"/>
                <w:color w:val="auto"/>
              </w:rPr>
              <w:t>0.45</w:t>
            </w:r>
          </w:p>
        </w:tc>
        <w:tc>
          <w:tcPr>
            <w:tcW w:w="18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jc w:val="right"/>
              <w:ind w:right="30"/>
              <w:spacing w:after="0" w:line="183" w:lineRule="exact"/>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8"/>
                <w:szCs w:val="18"/>
                <w:color w:val="auto"/>
              </w:rPr>
              <w:t>1.57</w:t>
            </w:r>
          </w:p>
        </w:tc>
        <w:tc>
          <w:tcPr>
            <w:tcW w:w="18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jc w:val="right"/>
              <w:ind w:right="150"/>
              <w:spacing w:after="0" w:line="183" w:lineRule="exact"/>
              <w:rPr>
                <w:sz w:val="20"/>
                <w:szCs w:val="20"/>
                <w:color w:val="auto"/>
              </w:rPr>
            </w:pPr>
            <w:r>
              <w:rPr>
                <w:rFonts w:ascii="Arial" w:cs="Arial" w:eastAsia="Arial" w:hAnsi="Arial"/>
                <w:sz w:val="18"/>
                <w:szCs w:val="18"/>
                <w:color w:val="auto"/>
                <w:w w:val="79"/>
              </w:rPr>
              <w:t>$</w:t>
            </w:r>
          </w:p>
        </w:tc>
        <w:tc>
          <w:tcPr>
            <w:tcW w:w="68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8"/>
                <w:szCs w:val="18"/>
                <w:color w:val="auto"/>
              </w:rPr>
              <w:t>3.02</w:t>
            </w:r>
          </w:p>
        </w:tc>
        <w:tc>
          <w:tcPr>
            <w:tcW w:w="6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183"/>
        </w:trPr>
        <w:tc>
          <w:tcPr>
            <w:tcW w:w="2240" w:type="dxa"/>
            <w:vAlign w:val="bottom"/>
            <w:shd w:val="clear" w:color="auto" w:fill="CCEEFF"/>
          </w:tcPr>
          <w:p>
            <w:pPr>
              <w:spacing w:after="0"/>
              <w:rPr>
                <w:sz w:val="15"/>
                <w:szCs w:val="15"/>
                <w:color w:val="auto"/>
              </w:rPr>
            </w:pPr>
          </w:p>
        </w:tc>
        <w:tc>
          <w:tcPr>
            <w:tcW w:w="18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4120" w:type="dxa"/>
            <w:vAlign w:val="bottom"/>
            <w:gridSpan w:val="2"/>
          </w:tcPr>
          <w:p>
            <w:pPr>
              <w:ind w:left="20"/>
              <w:spacing w:after="0" w:line="202" w:lineRule="exact"/>
              <w:rPr>
                <w:sz w:val="20"/>
                <w:szCs w:val="20"/>
                <w:color w:val="auto"/>
              </w:rPr>
            </w:pPr>
            <w:r>
              <w:rPr>
                <w:rFonts w:ascii="Arial" w:cs="Arial" w:eastAsia="Arial" w:hAnsi="Arial"/>
                <w:sz w:val="18"/>
                <w:szCs w:val="18"/>
                <w:color w:val="auto"/>
              </w:rPr>
              <w:t>Number of shares used in per share computation:</w:t>
            </w: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120" w:type="dxa"/>
            <w:vAlign w:val="bottom"/>
            <w:gridSpan w:val="2"/>
            <w:shd w:val="clear" w:color="auto" w:fill="CCEEFF"/>
          </w:tcPr>
          <w:p>
            <w:pPr>
              <w:ind w:left="140"/>
              <w:spacing w:after="0" w:line="202" w:lineRule="exact"/>
              <w:rPr>
                <w:sz w:val="20"/>
                <w:szCs w:val="20"/>
                <w:color w:val="auto"/>
              </w:rPr>
            </w:pPr>
            <w:r>
              <w:rPr>
                <w:rFonts w:ascii="Arial" w:cs="Arial" w:eastAsia="Arial" w:hAnsi="Arial"/>
                <w:sz w:val="18"/>
                <w:szCs w:val="18"/>
                <w:color w:val="auto"/>
              </w:rPr>
              <w:t>Diluted</w:t>
            </w:r>
          </w:p>
        </w:tc>
        <w:tc>
          <w:tcPr>
            <w:tcW w:w="16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78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17,666</w:t>
            </w:r>
          </w:p>
        </w:tc>
        <w:tc>
          <w:tcPr>
            <w:tcW w:w="180" w:type="dxa"/>
            <w:vAlign w:val="bottom"/>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spacing w:after="0"/>
              <w:rPr>
                <w:sz w:val="17"/>
                <w:szCs w:val="17"/>
                <w:color w:val="auto"/>
              </w:rPr>
            </w:pPr>
          </w:p>
        </w:tc>
        <w:tc>
          <w:tcPr>
            <w:tcW w:w="68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17,604</w:t>
            </w:r>
          </w:p>
        </w:tc>
        <w:tc>
          <w:tcPr>
            <w:tcW w:w="18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78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17,564</w:t>
            </w:r>
          </w:p>
        </w:tc>
        <w:tc>
          <w:tcPr>
            <w:tcW w:w="180" w:type="dxa"/>
            <w:vAlign w:val="bottom"/>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spacing w:after="0"/>
              <w:rPr>
                <w:sz w:val="17"/>
                <w:szCs w:val="17"/>
                <w:color w:val="auto"/>
              </w:rPr>
            </w:pPr>
          </w:p>
        </w:tc>
        <w:tc>
          <w:tcPr>
            <w:tcW w:w="68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17,593</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01"/>
        </w:trPr>
        <w:tc>
          <w:tcPr>
            <w:tcW w:w="2240" w:type="dxa"/>
            <w:vAlign w:val="bottom"/>
            <w:tcBorders>
              <w:bottom w:val="single" w:sz="8" w:color="auto"/>
            </w:tcBorders>
          </w:tcPr>
          <w:p>
            <w:pPr>
              <w:spacing w:after="0"/>
              <w:rPr>
                <w:sz w:val="8"/>
                <w:szCs w:val="8"/>
                <w:color w:val="auto"/>
              </w:rPr>
            </w:pPr>
          </w:p>
        </w:tc>
        <w:tc>
          <w:tcPr>
            <w:tcW w:w="1880" w:type="dxa"/>
            <w:vAlign w:val="bottom"/>
          </w:tcPr>
          <w:p>
            <w:pPr>
              <w:spacing w:after="0"/>
              <w:rPr>
                <w:sz w:val="8"/>
                <w:szCs w:val="8"/>
                <w:color w:val="auto"/>
              </w:rPr>
            </w:pPr>
          </w:p>
        </w:tc>
        <w:tc>
          <w:tcPr>
            <w:tcW w:w="160" w:type="dxa"/>
            <w:vAlign w:val="bottom"/>
          </w:tcPr>
          <w:p>
            <w:pPr>
              <w:spacing w:after="0"/>
              <w:rPr>
                <w:sz w:val="8"/>
                <w:szCs w:val="8"/>
                <w:color w:val="auto"/>
              </w:rPr>
            </w:pPr>
          </w:p>
        </w:tc>
        <w:tc>
          <w:tcPr>
            <w:tcW w:w="220" w:type="dxa"/>
            <w:vAlign w:val="bottom"/>
          </w:tcPr>
          <w:p>
            <w:pPr>
              <w:spacing w:after="0"/>
              <w:rPr>
                <w:sz w:val="8"/>
                <w:szCs w:val="8"/>
                <w:color w:val="auto"/>
              </w:rPr>
            </w:pPr>
          </w:p>
        </w:tc>
        <w:tc>
          <w:tcPr>
            <w:tcW w:w="780" w:type="dxa"/>
            <w:vAlign w:val="bottom"/>
          </w:tcPr>
          <w:p>
            <w:pPr>
              <w:spacing w:after="0"/>
              <w:rPr>
                <w:sz w:val="8"/>
                <w:szCs w:val="8"/>
                <w:color w:val="auto"/>
              </w:rPr>
            </w:pPr>
          </w:p>
        </w:tc>
        <w:tc>
          <w:tcPr>
            <w:tcW w:w="180" w:type="dxa"/>
            <w:vAlign w:val="bottom"/>
          </w:tcPr>
          <w:p>
            <w:pPr>
              <w:spacing w:after="0"/>
              <w:rPr>
                <w:sz w:val="8"/>
                <w:szCs w:val="8"/>
                <w:color w:val="auto"/>
              </w:rPr>
            </w:pPr>
          </w:p>
        </w:tc>
        <w:tc>
          <w:tcPr>
            <w:tcW w:w="340" w:type="dxa"/>
            <w:vAlign w:val="bottom"/>
          </w:tcPr>
          <w:p>
            <w:pPr>
              <w:spacing w:after="0"/>
              <w:rPr>
                <w:sz w:val="8"/>
                <w:szCs w:val="8"/>
                <w:color w:val="auto"/>
              </w:rPr>
            </w:pPr>
          </w:p>
        </w:tc>
        <w:tc>
          <w:tcPr>
            <w:tcW w:w="680" w:type="dxa"/>
            <w:vAlign w:val="bottom"/>
          </w:tcPr>
          <w:p>
            <w:pPr>
              <w:spacing w:after="0"/>
              <w:rPr>
                <w:sz w:val="8"/>
                <w:szCs w:val="8"/>
                <w:color w:val="auto"/>
              </w:rPr>
            </w:pPr>
          </w:p>
        </w:tc>
        <w:tc>
          <w:tcPr>
            <w:tcW w:w="180" w:type="dxa"/>
            <w:vAlign w:val="bottom"/>
          </w:tcPr>
          <w:p>
            <w:pPr>
              <w:spacing w:after="0"/>
              <w:rPr>
                <w:sz w:val="8"/>
                <w:szCs w:val="8"/>
                <w:color w:val="auto"/>
              </w:rPr>
            </w:pPr>
          </w:p>
        </w:tc>
        <w:tc>
          <w:tcPr>
            <w:tcW w:w="220" w:type="dxa"/>
            <w:vAlign w:val="bottom"/>
          </w:tcPr>
          <w:p>
            <w:pPr>
              <w:spacing w:after="0"/>
              <w:rPr>
                <w:sz w:val="8"/>
                <w:szCs w:val="8"/>
                <w:color w:val="auto"/>
              </w:rPr>
            </w:pPr>
          </w:p>
        </w:tc>
        <w:tc>
          <w:tcPr>
            <w:tcW w:w="780" w:type="dxa"/>
            <w:vAlign w:val="bottom"/>
          </w:tcPr>
          <w:p>
            <w:pPr>
              <w:spacing w:after="0"/>
              <w:rPr>
                <w:sz w:val="8"/>
                <w:szCs w:val="8"/>
                <w:color w:val="auto"/>
              </w:rPr>
            </w:pPr>
          </w:p>
        </w:tc>
        <w:tc>
          <w:tcPr>
            <w:tcW w:w="180" w:type="dxa"/>
            <w:vAlign w:val="bottom"/>
          </w:tcPr>
          <w:p>
            <w:pPr>
              <w:spacing w:after="0"/>
              <w:rPr>
                <w:sz w:val="8"/>
                <w:szCs w:val="8"/>
                <w:color w:val="auto"/>
              </w:rPr>
            </w:pPr>
          </w:p>
        </w:tc>
        <w:tc>
          <w:tcPr>
            <w:tcW w:w="340" w:type="dxa"/>
            <w:vAlign w:val="bottom"/>
          </w:tcPr>
          <w:p>
            <w:pPr>
              <w:spacing w:after="0"/>
              <w:rPr>
                <w:sz w:val="8"/>
                <w:szCs w:val="8"/>
                <w:color w:val="auto"/>
              </w:rPr>
            </w:pPr>
          </w:p>
        </w:tc>
        <w:tc>
          <w:tcPr>
            <w:tcW w:w="6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94" w:lineRule="exact"/>
        <w:rPr>
          <w:sz w:val="20"/>
          <w:szCs w:val="20"/>
          <w:color w:val="auto"/>
        </w:rPr>
      </w:pPr>
    </w:p>
    <w:p>
      <w:pPr>
        <w:ind w:left="380" w:right="79" w:hanging="330"/>
        <w:spacing w:after="0" w:line="254" w:lineRule="auto"/>
        <w:tabs>
          <w:tab w:leader="none" w:pos="380" w:val="left"/>
        </w:tabs>
        <w:numPr>
          <w:ilvl w:val="0"/>
          <w:numId w:val="8"/>
        </w:numPr>
        <w:rPr>
          <w:rFonts w:ascii="Arial" w:cs="Arial" w:eastAsia="Arial" w:hAnsi="Arial"/>
          <w:sz w:val="16"/>
          <w:szCs w:val="16"/>
          <w:color w:val="auto"/>
        </w:rPr>
      </w:pPr>
      <w:r>
        <w:rPr>
          <w:rFonts w:ascii="Arial" w:cs="Arial" w:eastAsia="Arial" w:hAnsi="Arial"/>
          <w:sz w:val="18"/>
          <w:szCs w:val="18"/>
          <w:color w:val="auto"/>
        </w:rPr>
        <w:t xml:space="preserve">For </w:t>
      </w:r>
      <w:r>
        <w:rPr>
          <w:rFonts w:ascii="Arial" w:cs="Arial" w:eastAsia="Arial" w:hAnsi="Arial"/>
          <w:sz w:val="16"/>
          <w:szCs w:val="16"/>
          <w:color w:val="auto"/>
        </w:rPr>
        <w:t>the three months ended October 31, 2019, FreshRealm incurred losses totaling $5.6 million, of which we recorded</w:t>
      </w:r>
      <w:r>
        <w:rPr>
          <w:rFonts w:ascii="Arial" w:cs="Arial" w:eastAsia="Arial" w:hAnsi="Arial"/>
          <w:sz w:val="18"/>
          <w:szCs w:val="18"/>
          <w:color w:val="auto"/>
        </w:rPr>
        <w:t xml:space="preserve"> </w:t>
      </w:r>
      <w:r>
        <w:rPr>
          <w:rFonts w:ascii="Arial" w:cs="Arial" w:eastAsia="Arial" w:hAnsi="Arial"/>
          <w:sz w:val="16"/>
          <w:szCs w:val="16"/>
          <w:color w:val="auto"/>
        </w:rPr>
        <w:t>$2.3 million of non-cash losses during our fourth fiscal quarter of 2019. For the year ended October 31, 2020 and 2019, FreshRealm incurred losses totaling $24.1 million and $30.6 million, of which we recorded $7.2 million and $14.1 million of non-cash losses during the year ended October 31, 2020 and 2019. For the three months ended October 31, 2020 and 2019, we recorded income from Agricola Don Memo totaling $0.3 million and $0.1 million. For the year ended October 31, 2020 and 2019, we recorded income from Agricola Don Memo totaling $1.1 million and $0.1 million.</w:t>
      </w:r>
    </w:p>
    <w:p>
      <w:pPr>
        <w:spacing w:after="0" w:line="176" w:lineRule="exact"/>
        <w:rPr>
          <w:rFonts w:ascii="Arial" w:cs="Arial" w:eastAsia="Arial" w:hAnsi="Arial"/>
          <w:sz w:val="16"/>
          <w:szCs w:val="16"/>
          <w:color w:val="auto"/>
        </w:rPr>
      </w:pPr>
    </w:p>
    <w:p>
      <w:pPr>
        <w:ind w:left="380" w:right="479" w:hanging="330"/>
        <w:spacing w:after="0" w:line="262" w:lineRule="auto"/>
        <w:tabs>
          <w:tab w:leader="none" w:pos="380" w:val="left"/>
        </w:tabs>
        <w:numPr>
          <w:ilvl w:val="0"/>
          <w:numId w:val="8"/>
        </w:numPr>
        <w:rPr>
          <w:rFonts w:ascii="Arial" w:cs="Arial" w:eastAsia="Arial" w:hAnsi="Arial"/>
          <w:sz w:val="16"/>
          <w:szCs w:val="16"/>
          <w:color w:val="auto"/>
        </w:rPr>
      </w:pPr>
      <w:r>
        <w:rPr>
          <w:rFonts w:ascii="Arial" w:cs="Arial" w:eastAsia="Arial" w:hAnsi="Arial"/>
          <w:sz w:val="16"/>
          <w:szCs w:val="16"/>
          <w:color w:val="auto"/>
        </w:rPr>
        <w:t>During the third quarter of fiscal 2020, the results of operations of FreshRealm deteriorated significantly from our expectations of three months earlier, with declining sales and continuing losses. FreshRealm will likely require additional capital in order to continue as a going concern. We do not plan to invest or loan any additional capital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850900</wp:posOffset>
            </wp:positionV>
            <wp:extent cx="5657850" cy="2540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661" w:right="1440" w:bottom="1440" w:gutter="0" w:footer="0" w:header="0"/>
        </w:sectPr>
      </w:pPr>
    </w:p>
    <w:bookmarkStart w:id="14" w:name="page15"/>
    <w:bookmarkEnd w:id="14"/>
    <w:p>
      <w:pPr>
        <w:ind w:left="60"/>
        <w:spacing w:after="0"/>
        <w:rPr>
          <w:sz w:val="20"/>
          <w:szCs w:val="20"/>
          <w:color w:val="auto"/>
        </w:rPr>
      </w:pPr>
      <w:r>
        <w:rPr>
          <w:rFonts w:ascii="Arial" w:cs="Arial" w:eastAsia="Arial" w:hAnsi="Arial"/>
          <w:sz w:val="18"/>
          <w:szCs w:val="18"/>
          <w:i w:val="1"/>
          <w:iCs w:val="1"/>
          <w:color w:val="auto"/>
        </w:rPr>
        <w:t>Calavo Growers, Inc.</w:t>
      </w:r>
    </w:p>
    <w:p>
      <w:pPr>
        <w:spacing w:after="0" w:line="14"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page 12 of 14</w:t>
      </w:r>
    </w:p>
    <w:p>
      <w:pPr>
        <w:spacing w:after="0" w:line="201" w:lineRule="exact"/>
        <w:rPr>
          <w:sz w:val="20"/>
          <w:szCs w:val="20"/>
          <w:color w:val="auto"/>
        </w:rPr>
      </w:pPr>
    </w:p>
    <w:p>
      <w:pPr>
        <w:ind w:left="380" w:right="59"/>
        <w:spacing w:after="0" w:line="257" w:lineRule="auto"/>
        <w:rPr>
          <w:sz w:val="20"/>
          <w:szCs w:val="20"/>
          <w:color w:val="auto"/>
        </w:rPr>
      </w:pPr>
      <w:r>
        <w:rPr>
          <w:rFonts w:ascii="Arial" w:cs="Arial" w:eastAsia="Arial" w:hAnsi="Arial"/>
          <w:sz w:val="16"/>
          <w:szCs w:val="16"/>
          <w:color w:val="auto"/>
        </w:rPr>
        <w:t>FreshRealm. Therefore, we have recorded an impairment of 100% of our equity investment of $2.8 million, and we have recorded a reserve for collectability of 100% of our note receivable of $34.2 million (which includes accrued interest of $4.1 million), and $0.3 million in trade accounts receivable as of October 31, 2020, which resulted in a loss of $37.3 million.</w:t>
      </w:r>
    </w:p>
    <w:p>
      <w:pPr>
        <w:spacing w:after="0" w:line="197" w:lineRule="exact"/>
        <w:rPr>
          <w:sz w:val="20"/>
          <w:szCs w:val="20"/>
          <w:color w:val="auto"/>
        </w:rPr>
      </w:pPr>
    </w:p>
    <w:p>
      <w:pPr>
        <w:ind w:left="380" w:right="79" w:hanging="330"/>
        <w:spacing w:after="0" w:line="260" w:lineRule="auto"/>
        <w:tabs>
          <w:tab w:leader="none" w:pos="380" w:val="left"/>
        </w:tabs>
        <w:numPr>
          <w:ilvl w:val="0"/>
          <w:numId w:val="9"/>
        </w:numPr>
        <w:rPr>
          <w:rFonts w:ascii="Arial" w:cs="Arial" w:eastAsia="Arial" w:hAnsi="Arial"/>
          <w:sz w:val="16"/>
          <w:szCs w:val="16"/>
          <w:color w:val="auto"/>
        </w:rPr>
      </w:pPr>
      <w:r>
        <w:rPr>
          <w:rFonts w:ascii="Arial" w:cs="Arial" w:eastAsia="Arial" w:hAnsi="Arial"/>
          <w:sz w:val="16"/>
          <w:szCs w:val="16"/>
          <w:color w:val="auto"/>
        </w:rPr>
        <w:t>During the second quarter of fiscal 2019, we sold our Temecula, Calif., packinghouse for $7.1 million in cash and, concurrently, leased back a portion of the facility representing approximately one-third of the total square footage. This generated a gain of $6.4 million. Since our leaseback of the building is classified as a capital lease and covers substantially all of the leased property, the gain recognized currently is the amount of the gain in excess of the recorded amount of the leased asset. As a result, we recognized a gain of approximately $1.6 million ($1.9 million, net of transaction costs (primarily sales commissions) totaling $0.3 million) in the second quarter of fiscal 2019 and recorded a deferred gain of $4.5 million, which will be recognized over the life of the lease (i.e. straight-line over 15 years).</w:t>
      </w:r>
    </w:p>
    <w:p>
      <w:pPr>
        <w:spacing w:after="0" w:line="211" w:lineRule="exact"/>
        <w:rPr>
          <w:rFonts w:ascii="Arial" w:cs="Arial" w:eastAsia="Arial" w:hAnsi="Arial"/>
          <w:sz w:val="16"/>
          <w:szCs w:val="16"/>
          <w:color w:val="auto"/>
        </w:rPr>
      </w:pPr>
    </w:p>
    <w:p>
      <w:pPr>
        <w:ind w:left="380" w:right="119" w:hanging="330"/>
        <w:spacing w:after="0" w:line="278" w:lineRule="auto"/>
        <w:tabs>
          <w:tab w:leader="none" w:pos="380" w:val="left"/>
        </w:tabs>
        <w:numPr>
          <w:ilvl w:val="0"/>
          <w:numId w:val="9"/>
        </w:numPr>
        <w:rPr>
          <w:rFonts w:ascii="Arial" w:cs="Arial" w:eastAsia="Arial" w:hAnsi="Arial"/>
          <w:sz w:val="16"/>
          <w:szCs w:val="16"/>
          <w:color w:val="auto"/>
        </w:rPr>
      </w:pPr>
      <w:r>
        <w:rPr>
          <w:rFonts w:ascii="Arial" w:cs="Arial" w:eastAsia="Arial" w:hAnsi="Arial"/>
          <w:sz w:val="16"/>
          <w:szCs w:val="16"/>
          <w:color w:val="auto"/>
        </w:rPr>
        <w:t>Year ended October 31, 2020 results include higher stock-based compensation expense related to senior management transitions, which does not impact the underlying cost structure of the company.</w:t>
      </w:r>
    </w:p>
    <w:p>
      <w:pPr>
        <w:spacing w:after="0" w:line="181" w:lineRule="exact"/>
        <w:rPr>
          <w:rFonts w:ascii="Arial" w:cs="Arial" w:eastAsia="Arial" w:hAnsi="Arial"/>
          <w:sz w:val="16"/>
          <w:szCs w:val="16"/>
          <w:color w:val="auto"/>
        </w:rPr>
      </w:pPr>
    </w:p>
    <w:p>
      <w:pPr>
        <w:ind w:left="380" w:right="719" w:hanging="330"/>
        <w:spacing w:after="0" w:line="278" w:lineRule="auto"/>
        <w:tabs>
          <w:tab w:leader="none" w:pos="380" w:val="left"/>
        </w:tabs>
        <w:numPr>
          <w:ilvl w:val="0"/>
          <w:numId w:val="9"/>
        </w:numPr>
        <w:rPr>
          <w:rFonts w:ascii="Arial" w:cs="Arial" w:eastAsia="Arial" w:hAnsi="Arial"/>
          <w:sz w:val="16"/>
          <w:szCs w:val="16"/>
          <w:color w:val="auto"/>
        </w:rPr>
      </w:pPr>
      <w:r>
        <w:rPr>
          <w:rFonts w:ascii="Arial" w:cs="Arial" w:eastAsia="Arial" w:hAnsi="Arial"/>
          <w:sz w:val="16"/>
          <w:szCs w:val="16"/>
          <w:color w:val="auto"/>
        </w:rPr>
        <w:t>For the three months and year ended October 31, 2020, we incurred $0.3 million of professional fees related to FreshRealm and to the Loss on reserve for FreshRealm note receivable and impairment of investment.</w:t>
      </w:r>
    </w:p>
    <w:p>
      <w:pPr>
        <w:spacing w:after="0" w:line="181" w:lineRule="exact"/>
        <w:rPr>
          <w:rFonts w:ascii="Arial" w:cs="Arial" w:eastAsia="Arial" w:hAnsi="Arial"/>
          <w:sz w:val="16"/>
          <w:szCs w:val="16"/>
          <w:color w:val="auto"/>
        </w:rPr>
      </w:pPr>
    </w:p>
    <w:p>
      <w:pPr>
        <w:ind w:left="380" w:right="239" w:hanging="330"/>
        <w:spacing w:after="0" w:line="271" w:lineRule="auto"/>
        <w:tabs>
          <w:tab w:leader="none" w:pos="380" w:val="left"/>
        </w:tabs>
        <w:numPr>
          <w:ilvl w:val="0"/>
          <w:numId w:val="9"/>
        </w:numPr>
        <w:rPr>
          <w:rFonts w:ascii="Arial" w:cs="Arial" w:eastAsia="Arial" w:hAnsi="Arial"/>
          <w:sz w:val="16"/>
          <w:szCs w:val="16"/>
          <w:color w:val="auto"/>
        </w:rPr>
      </w:pPr>
      <w:r>
        <w:rPr>
          <w:rFonts w:ascii="Arial" w:cs="Arial" w:eastAsia="Arial" w:hAnsi="Arial"/>
          <w:sz w:val="16"/>
          <w:szCs w:val="16"/>
          <w:color w:val="auto"/>
        </w:rPr>
        <w:t>In fiscal 2020, we incurred expenses related to the acquisition of SFFI Company, Inc. doing business as Simply Fresh Fruit (SFFI). SFFI is a processor and supplier of a broad line of fresh-cut fruit, principally serving the foodservice and hospitality markets. The acquisition closed on February 14, 2020.</w:t>
      </w:r>
    </w:p>
    <w:p>
      <w:pPr>
        <w:spacing w:after="0" w:line="200" w:lineRule="exact"/>
        <w:rPr>
          <w:rFonts w:ascii="Arial" w:cs="Arial" w:eastAsia="Arial" w:hAnsi="Arial"/>
          <w:sz w:val="16"/>
          <w:szCs w:val="16"/>
          <w:color w:val="auto"/>
        </w:rPr>
      </w:pPr>
    </w:p>
    <w:p>
      <w:pPr>
        <w:ind w:left="380" w:right="159" w:hanging="330"/>
        <w:spacing w:after="0" w:line="278" w:lineRule="auto"/>
        <w:tabs>
          <w:tab w:leader="none" w:pos="380" w:val="left"/>
        </w:tabs>
        <w:numPr>
          <w:ilvl w:val="0"/>
          <w:numId w:val="9"/>
        </w:numPr>
        <w:rPr>
          <w:rFonts w:ascii="Arial" w:cs="Arial" w:eastAsia="Arial" w:hAnsi="Arial"/>
          <w:sz w:val="16"/>
          <w:szCs w:val="16"/>
          <w:color w:val="auto"/>
        </w:rPr>
      </w:pPr>
      <w:r>
        <w:rPr>
          <w:rFonts w:ascii="Arial" w:cs="Arial" w:eastAsia="Arial" w:hAnsi="Arial"/>
          <w:sz w:val="16"/>
          <w:szCs w:val="16"/>
          <w:color w:val="auto"/>
        </w:rPr>
        <w:t>For the three months and year ended October 31, 2020, we incurred $0.1 million related to rent paid for RFG corporate office space that we have vacated and plan to sublease.</w:t>
      </w:r>
    </w:p>
    <w:p>
      <w:pPr>
        <w:spacing w:after="0" w:line="181" w:lineRule="exact"/>
        <w:rPr>
          <w:rFonts w:ascii="Arial" w:cs="Arial" w:eastAsia="Arial" w:hAnsi="Arial"/>
          <w:sz w:val="16"/>
          <w:szCs w:val="16"/>
          <w:color w:val="auto"/>
        </w:rPr>
      </w:pPr>
    </w:p>
    <w:p>
      <w:pPr>
        <w:ind w:left="380" w:right="339" w:hanging="330"/>
        <w:spacing w:after="0" w:line="257" w:lineRule="auto"/>
        <w:tabs>
          <w:tab w:leader="none" w:pos="380" w:val="left"/>
        </w:tabs>
        <w:numPr>
          <w:ilvl w:val="0"/>
          <w:numId w:val="9"/>
        </w:numPr>
        <w:rPr>
          <w:rFonts w:ascii="Arial" w:cs="Arial" w:eastAsia="Arial" w:hAnsi="Arial"/>
          <w:sz w:val="16"/>
          <w:szCs w:val="16"/>
          <w:color w:val="auto"/>
        </w:rPr>
      </w:pPr>
      <w:r>
        <w:rPr>
          <w:rFonts w:ascii="Arial" w:cs="Arial" w:eastAsia="Arial" w:hAnsi="Arial"/>
          <w:sz w:val="16"/>
          <w:szCs w:val="16"/>
          <w:color w:val="auto"/>
        </w:rPr>
        <w:t>In the fourth quarter of 2020 and 2019, we recorded a $0.6 million unrealized gain and a $1.5 million unrealized loss related to mark-to-market adjustments in the fair value of our investment in Limoneira (LMNR) common stock. For the year ended October 31, 2020 and 2019, we recorded $8.5 million and $9.7 million in unrealized losses related to these mark-to-market adjustments.</w:t>
      </w:r>
    </w:p>
    <w:p>
      <w:pPr>
        <w:spacing w:after="0" w:line="197" w:lineRule="exact"/>
        <w:rPr>
          <w:rFonts w:ascii="Arial" w:cs="Arial" w:eastAsia="Arial" w:hAnsi="Arial"/>
          <w:sz w:val="16"/>
          <w:szCs w:val="16"/>
          <w:color w:val="auto"/>
        </w:rPr>
      </w:pPr>
    </w:p>
    <w:p>
      <w:pPr>
        <w:ind w:left="380" w:right="99" w:hanging="330"/>
        <w:spacing w:after="0" w:line="278" w:lineRule="auto"/>
        <w:tabs>
          <w:tab w:leader="none" w:pos="380" w:val="left"/>
        </w:tabs>
        <w:numPr>
          <w:ilvl w:val="0"/>
          <w:numId w:val="9"/>
        </w:numPr>
        <w:rPr>
          <w:rFonts w:ascii="Arial" w:cs="Arial" w:eastAsia="Arial" w:hAnsi="Arial"/>
          <w:sz w:val="16"/>
          <w:szCs w:val="16"/>
          <w:color w:val="auto"/>
        </w:rPr>
      </w:pPr>
      <w:r>
        <w:rPr>
          <w:rFonts w:ascii="Arial" w:cs="Arial" w:eastAsia="Arial" w:hAnsi="Arial"/>
          <w:sz w:val="16"/>
          <w:szCs w:val="16"/>
          <w:color w:val="auto"/>
        </w:rPr>
        <w:t>Tax impact of non-GAAP adjustments are based on the prevailing year-to-date tax rates in each period and adjusted for any one-time discreet items.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988060</wp:posOffset>
            </wp:positionV>
            <wp:extent cx="5657850" cy="260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661" w:right="1440" w:bottom="1440" w:gutter="0" w:footer="0" w:header="0"/>
        </w:sectPr>
      </w:pPr>
    </w:p>
    <w:bookmarkStart w:id="15" w:name="page16"/>
    <w:bookmarkEnd w:id="15"/>
    <w:p>
      <w:pPr>
        <w:ind w:left="60"/>
        <w:spacing w:after="0"/>
        <w:rPr>
          <w:sz w:val="20"/>
          <w:szCs w:val="20"/>
          <w:color w:val="auto"/>
        </w:rPr>
      </w:pPr>
      <w:r>
        <w:rPr>
          <w:rFonts w:ascii="Arial" w:cs="Arial" w:eastAsia="Arial" w:hAnsi="Arial"/>
          <w:sz w:val="18"/>
          <w:szCs w:val="18"/>
          <w:i w:val="1"/>
          <w:iCs w:val="1"/>
          <w:color w:val="auto"/>
        </w:rPr>
        <w:t>Calavo Growers, Inc.</w:t>
      </w:r>
    </w:p>
    <w:p>
      <w:pPr>
        <w:spacing w:after="0" w:line="14"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page 13 of 14</w:t>
      </w:r>
    </w:p>
    <w:p>
      <w:pPr>
        <w:spacing w:after="0" w:line="17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CALAVO GROWERS, INC.</w:t>
      </w:r>
    </w:p>
    <w:p>
      <w:pPr>
        <w:spacing w:after="0" w:line="1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RECONCILIATION OF EBITDA AND ADJUSTED EBITDA (UNAUDITED)</w:t>
      </w:r>
    </w:p>
    <w:p>
      <w:pPr>
        <w:jc w:val="center"/>
        <w:ind w:right="19"/>
        <w:spacing w:after="0"/>
        <w:rPr>
          <w:sz w:val="20"/>
          <w:szCs w:val="20"/>
          <w:color w:val="auto"/>
        </w:rPr>
      </w:pPr>
      <w:r>
        <w:rPr>
          <w:rFonts w:ascii="Arial" w:cs="Arial" w:eastAsia="Arial" w:hAnsi="Arial"/>
          <w:sz w:val="18"/>
          <w:szCs w:val="18"/>
          <w:b w:val="1"/>
          <w:bCs w:val="1"/>
          <w:color w:val="auto"/>
        </w:rPr>
        <w:t>(in thousands except per share amounts)</w:t>
      </w:r>
    </w:p>
    <w:p>
      <w:pPr>
        <w:spacing w:after="0" w:line="212" w:lineRule="exact"/>
        <w:rPr>
          <w:sz w:val="20"/>
          <w:szCs w:val="20"/>
          <w:color w:val="auto"/>
        </w:rPr>
      </w:pPr>
    </w:p>
    <w:p>
      <w:pPr>
        <w:ind w:left="60" w:right="79"/>
        <w:spacing w:after="0"/>
        <w:rPr>
          <w:sz w:val="20"/>
          <w:szCs w:val="20"/>
          <w:color w:val="auto"/>
        </w:rPr>
      </w:pPr>
      <w:r>
        <w:rPr>
          <w:rFonts w:ascii="Arial" w:cs="Arial" w:eastAsia="Arial" w:hAnsi="Arial"/>
          <w:sz w:val="18"/>
          <w:szCs w:val="18"/>
          <w:color w:val="auto"/>
        </w:rPr>
        <w:t>The following table presents EBITDA and adjusted EBITDA, each a non-GAAP measure, and reconciles them to net income (loss) attributable to Calavo Growers, Inc., which is the most directly comparable GAAP measure. See “Non-GAAP Financial Measures” earlier in this release.</w:t>
      </w:r>
    </w:p>
    <w:p>
      <w:pPr>
        <w:spacing w:after="0" w:line="258" w:lineRule="exact"/>
        <w:rPr>
          <w:sz w:val="20"/>
          <w:szCs w:val="20"/>
          <w:color w:val="auto"/>
        </w:rPr>
      </w:pPr>
    </w:p>
    <w:tbl>
      <w:tblPr>
        <w:tblLayout w:type="fixed"/>
        <w:tblInd w:w="40" w:type="dxa"/>
        <w:tblCellMar>
          <w:top w:w="0" w:type="dxa"/>
          <w:left w:w="0" w:type="dxa"/>
          <w:bottom w:w="0" w:type="dxa"/>
          <w:right w:w="0" w:type="dxa"/>
        </w:tblCellMar>
      </w:tblPr>
      <w:tr>
        <w:trPr>
          <w:trHeight w:val="190"/>
        </w:trPr>
        <w:tc>
          <w:tcPr>
            <w:tcW w:w="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7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140" w:type="dxa"/>
            <w:vAlign w:val="bottom"/>
            <w:gridSpan w:val="5"/>
          </w:tcPr>
          <w:p>
            <w:pPr>
              <w:jc w:val="right"/>
              <w:ind w:right="580"/>
              <w:spacing w:after="0"/>
              <w:rPr>
                <w:sz w:val="20"/>
                <w:szCs w:val="20"/>
                <w:color w:val="auto"/>
              </w:rPr>
            </w:pPr>
            <w:r>
              <w:rPr>
                <w:rFonts w:ascii="Arial" w:cs="Arial" w:eastAsia="Arial" w:hAnsi="Arial"/>
                <w:sz w:val="14"/>
                <w:szCs w:val="14"/>
                <w:b w:val="1"/>
                <w:bCs w:val="1"/>
                <w:color w:val="auto"/>
              </w:rPr>
              <w:t>Three months ended</w:t>
            </w:r>
          </w:p>
        </w:tc>
        <w:tc>
          <w:tcPr>
            <w:tcW w:w="1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080" w:type="dxa"/>
            <w:vAlign w:val="bottom"/>
            <w:gridSpan w:val="3"/>
          </w:tcPr>
          <w:p>
            <w:pPr>
              <w:jc w:val="right"/>
              <w:spacing w:after="0"/>
              <w:rPr>
                <w:sz w:val="20"/>
                <w:szCs w:val="20"/>
                <w:color w:val="auto"/>
              </w:rPr>
            </w:pPr>
            <w:r>
              <w:rPr>
                <w:rFonts w:ascii="Arial" w:cs="Arial" w:eastAsia="Arial" w:hAnsi="Arial"/>
                <w:sz w:val="14"/>
                <w:szCs w:val="14"/>
                <w:b w:val="1"/>
                <w:bCs w:val="1"/>
                <w:color w:val="auto"/>
              </w:rPr>
              <w:t>Year ended</w:t>
            </w:r>
          </w:p>
        </w:tc>
        <w:tc>
          <w:tcPr>
            <w:tcW w:w="700" w:type="dxa"/>
            <w:vAlign w:val="bottom"/>
          </w:tcPr>
          <w:p>
            <w:pPr>
              <w:spacing w:after="0"/>
              <w:rPr>
                <w:sz w:val="16"/>
                <w:szCs w:val="16"/>
                <w:color w:val="auto"/>
              </w:rPr>
            </w:pPr>
          </w:p>
        </w:tc>
        <w:tc>
          <w:tcPr>
            <w:tcW w:w="60" w:type="dxa"/>
            <w:vAlign w:val="bottom"/>
          </w:tcPr>
          <w:p>
            <w:pPr>
              <w:spacing w:after="0"/>
              <w:rPr>
                <w:sz w:val="16"/>
                <w:szCs w:val="16"/>
                <w:color w:val="auto"/>
              </w:rPr>
            </w:pPr>
          </w:p>
        </w:tc>
      </w:tr>
      <w:tr>
        <w:trPr>
          <w:trHeight w:val="188"/>
        </w:trPr>
        <w:tc>
          <w:tcPr>
            <w:tcW w:w="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7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October 31,</w:t>
            </w:r>
          </w:p>
        </w:tc>
        <w:tc>
          <w:tcPr>
            <w:tcW w:w="680" w:type="dxa"/>
            <w:vAlign w:val="bottom"/>
            <w:tcBorders>
              <w:bottom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October 31,</w:t>
            </w:r>
          </w:p>
        </w:tc>
        <w:tc>
          <w:tcPr>
            <w:tcW w:w="700" w:type="dxa"/>
            <w:vAlign w:val="bottom"/>
            <w:tcBorders>
              <w:bottom w:val="single" w:sz="8" w:color="auto"/>
            </w:tcBorders>
          </w:tcPr>
          <w:p>
            <w:pPr>
              <w:spacing w:after="0"/>
              <w:rPr>
                <w:sz w:val="16"/>
                <w:szCs w:val="16"/>
                <w:color w:val="auto"/>
              </w:rPr>
            </w:pPr>
          </w:p>
        </w:tc>
        <w:tc>
          <w:tcPr>
            <w:tcW w:w="60" w:type="dxa"/>
            <w:vAlign w:val="bottom"/>
          </w:tcPr>
          <w:p>
            <w:pPr>
              <w:spacing w:after="0"/>
              <w:rPr>
                <w:sz w:val="16"/>
                <w:szCs w:val="16"/>
                <w:color w:val="auto"/>
              </w:rPr>
            </w:pPr>
          </w:p>
        </w:tc>
      </w:tr>
      <w:tr>
        <w:trPr>
          <w:trHeight w:val="196"/>
        </w:trPr>
        <w:tc>
          <w:tcPr>
            <w:tcW w:w="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ind w:right="253"/>
              <w:spacing w:after="0"/>
              <w:rPr>
                <w:sz w:val="20"/>
                <w:szCs w:val="20"/>
                <w:color w:val="auto"/>
              </w:rPr>
            </w:pPr>
            <w:r>
              <w:rPr>
                <w:rFonts w:ascii="Arial" w:cs="Arial" w:eastAsia="Arial" w:hAnsi="Arial"/>
                <w:sz w:val="14"/>
                <w:szCs w:val="14"/>
                <w:b w:val="1"/>
                <w:bCs w:val="1"/>
                <w:color w:val="auto"/>
              </w:rPr>
              <w:t>2020</w:t>
            </w:r>
          </w:p>
        </w:tc>
        <w:tc>
          <w:tcPr>
            <w:tcW w:w="16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ind w:right="271"/>
              <w:spacing w:after="0"/>
              <w:rPr>
                <w:sz w:val="20"/>
                <w:szCs w:val="20"/>
                <w:color w:val="auto"/>
              </w:rPr>
            </w:pPr>
            <w:r>
              <w:rPr>
                <w:rFonts w:ascii="Arial" w:cs="Arial" w:eastAsia="Arial" w:hAnsi="Arial"/>
                <w:sz w:val="14"/>
                <w:szCs w:val="14"/>
                <w:b w:val="1"/>
                <w:bCs w:val="1"/>
                <w:color w:val="auto"/>
                <w:w w:val="96"/>
              </w:rPr>
              <w:t>2019</w:t>
            </w:r>
          </w:p>
        </w:tc>
        <w:tc>
          <w:tcPr>
            <w:tcW w:w="20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gridSpan w:val="2"/>
          </w:tcPr>
          <w:p>
            <w:pPr>
              <w:ind w:left="260"/>
              <w:spacing w:after="0"/>
              <w:rPr>
                <w:sz w:val="20"/>
                <w:szCs w:val="20"/>
                <w:color w:val="auto"/>
              </w:rPr>
            </w:pPr>
            <w:r>
              <w:rPr>
                <w:rFonts w:ascii="Arial" w:cs="Arial" w:eastAsia="Arial" w:hAnsi="Arial"/>
                <w:sz w:val="14"/>
                <w:szCs w:val="14"/>
                <w:b w:val="1"/>
                <w:bCs w:val="1"/>
                <w:color w:val="auto"/>
              </w:rPr>
              <w:t>2020</w:t>
            </w:r>
          </w:p>
        </w:tc>
        <w:tc>
          <w:tcPr>
            <w:tcW w:w="16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ind w:right="251"/>
              <w:spacing w:after="0"/>
              <w:rPr>
                <w:sz w:val="20"/>
                <w:szCs w:val="20"/>
                <w:color w:val="auto"/>
              </w:rPr>
            </w:pPr>
            <w:r>
              <w:rPr>
                <w:rFonts w:ascii="Arial" w:cs="Arial" w:eastAsia="Arial" w:hAnsi="Arial"/>
                <w:sz w:val="14"/>
                <w:szCs w:val="14"/>
                <w:b w:val="1"/>
                <w:bCs w:val="1"/>
                <w:color w:val="auto"/>
              </w:rPr>
              <w:t>2019</w:t>
            </w:r>
          </w:p>
        </w:tc>
        <w:tc>
          <w:tcPr>
            <w:tcW w:w="60" w:type="dxa"/>
            <w:vAlign w:val="bottom"/>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02"/>
        </w:trPr>
        <w:tc>
          <w:tcPr>
            <w:tcW w:w="4000" w:type="dxa"/>
            <w:vAlign w:val="bottom"/>
            <w:gridSpan w:val="4"/>
            <w:shd w:val="clear" w:color="auto" w:fill="CCEEFF"/>
          </w:tcPr>
          <w:p>
            <w:pPr>
              <w:ind w:left="20"/>
              <w:spacing w:after="0" w:line="201" w:lineRule="exact"/>
              <w:rPr>
                <w:sz w:val="20"/>
                <w:szCs w:val="20"/>
                <w:color w:val="auto"/>
              </w:rPr>
            </w:pPr>
            <w:r>
              <w:rPr>
                <w:rFonts w:ascii="Arial" w:cs="Arial" w:eastAsia="Arial" w:hAnsi="Arial"/>
                <w:sz w:val="18"/>
                <w:szCs w:val="18"/>
                <w:color w:val="auto"/>
              </w:rPr>
              <w:t>Net income (loss) attributable to Calavo Growers,</w:t>
            </w:r>
          </w:p>
        </w:tc>
        <w:tc>
          <w:tcPr>
            <w:tcW w:w="1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r>
      <w:tr>
        <w:trPr>
          <w:trHeight w:val="203"/>
        </w:trPr>
        <w:tc>
          <w:tcPr>
            <w:tcW w:w="20" w:type="dxa"/>
            <w:vAlign w:val="bottom"/>
            <w:shd w:val="clear" w:color="auto" w:fill="CCEEFF"/>
          </w:tcPr>
          <w:p>
            <w:pPr>
              <w:spacing w:after="0"/>
              <w:rPr>
                <w:sz w:val="17"/>
                <w:szCs w:val="17"/>
                <w:color w:val="auto"/>
              </w:rPr>
            </w:pPr>
          </w:p>
        </w:tc>
        <w:tc>
          <w:tcPr>
            <w:tcW w:w="3980" w:type="dxa"/>
            <w:vAlign w:val="bottom"/>
            <w:gridSpan w:val="3"/>
            <w:shd w:val="clear" w:color="auto" w:fill="CCEEFF"/>
          </w:tcPr>
          <w:p>
            <w:pPr>
              <w:ind w:left="120"/>
              <w:spacing w:after="0" w:line="203" w:lineRule="exact"/>
              <w:rPr>
                <w:sz w:val="20"/>
                <w:szCs w:val="20"/>
                <w:color w:val="auto"/>
              </w:rPr>
            </w:pPr>
            <w:r>
              <w:rPr>
                <w:rFonts w:ascii="Arial" w:cs="Arial" w:eastAsia="Arial" w:hAnsi="Arial"/>
                <w:sz w:val="18"/>
                <w:szCs w:val="18"/>
                <w:color w:val="auto"/>
              </w:rPr>
              <w:t>Inc.</w:t>
            </w:r>
          </w:p>
        </w:tc>
        <w:tc>
          <w:tcPr>
            <w:tcW w:w="380" w:type="dxa"/>
            <w:vAlign w:val="bottom"/>
            <w:gridSpan w:val="2"/>
            <w:shd w:val="clear" w:color="auto" w:fill="CCEEFF"/>
          </w:tcPr>
          <w:p>
            <w:pPr>
              <w:jc w:val="right"/>
              <w:ind w:right="30"/>
              <w:spacing w:after="0" w:line="203" w:lineRule="exact"/>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160"/>
              <w:spacing w:after="0" w:line="203" w:lineRule="exact"/>
              <w:rPr>
                <w:sz w:val="20"/>
                <w:szCs w:val="20"/>
                <w:color w:val="auto"/>
              </w:rPr>
            </w:pPr>
            <w:r>
              <w:rPr>
                <w:rFonts w:ascii="Arial" w:cs="Arial" w:eastAsia="Arial" w:hAnsi="Arial"/>
                <w:sz w:val="18"/>
                <w:szCs w:val="18"/>
                <w:color w:val="auto"/>
              </w:rPr>
              <w:t>6,227</w:t>
            </w:r>
          </w:p>
        </w:tc>
        <w:tc>
          <w:tcPr>
            <w:tcW w:w="340" w:type="dxa"/>
            <w:vAlign w:val="bottom"/>
            <w:shd w:val="clear" w:color="auto" w:fill="CCEEFF"/>
          </w:tcPr>
          <w:p>
            <w:pPr>
              <w:jc w:val="right"/>
              <w:ind w:right="90"/>
              <w:spacing w:after="0" w:line="203" w:lineRule="exact"/>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5,211</w:t>
            </w:r>
          </w:p>
        </w:tc>
        <w:tc>
          <w:tcPr>
            <w:tcW w:w="2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380" w:type="dxa"/>
            <w:vAlign w:val="bottom"/>
            <w:shd w:val="clear" w:color="auto" w:fill="CCEEFF"/>
          </w:tcPr>
          <w:p>
            <w:pPr>
              <w:ind w:left="280"/>
              <w:spacing w:after="0" w:line="203" w:lineRule="exact"/>
              <w:rPr>
                <w:sz w:val="20"/>
                <w:szCs w:val="20"/>
                <w:color w:val="auto"/>
              </w:rPr>
            </w:pPr>
            <w:r>
              <w:rPr>
                <w:rFonts w:ascii="Arial" w:cs="Arial" w:eastAsia="Arial" w:hAnsi="Arial"/>
                <w:sz w:val="18"/>
                <w:szCs w:val="18"/>
                <w:color w:val="auto"/>
                <w:w w:val="79"/>
              </w:rPr>
              <w:t>$</w:t>
            </w:r>
          </w:p>
        </w:tc>
        <w:tc>
          <w:tcPr>
            <w:tcW w:w="820" w:type="dxa"/>
            <w:vAlign w:val="bottom"/>
            <w:gridSpan w:val="2"/>
            <w:shd w:val="clear" w:color="auto" w:fill="CCEEFF"/>
          </w:tcPr>
          <w:p>
            <w:pPr>
              <w:jc w:val="right"/>
              <w:ind w:right="160"/>
              <w:spacing w:after="0" w:line="203" w:lineRule="exact"/>
              <w:rPr>
                <w:sz w:val="20"/>
                <w:szCs w:val="20"/>
                <w:color w:val="auto"/>
              </w:rPr>
            </w:pPr>
            <w:r>
              <w:rPr>
                <w:rFonts w:ascii="Arial" w:cs="Arial" w:eastAsia="Arial" w:hAnsi="Arial"/>
                <w:sz w:val="18"/>
                <w:szCs w:val="18"/>
                <w:color w:val="auto"/>
                <w:w w:val="95"/>
              </w:rPr>
              <w:t>(13,625)</w:t>
            </w:r>
          </w:p>
        </w:tc>
        <w:tc>
          <w:tcPr>
            <w:tcW w:w="26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36,646</w:t>
            </w:r>
          </w:p>
        </w:tc>
        <w:tc>
          <w:tcPr>
            <w:tcW w:w="60" w:type="dxa"/>
            <w:vAlign w:val="bottom"/>
            <w:shd w:val="clear" w:color="auto" w:fill="CCEEFF"/>
          </w:tcPr>
          <w:p>
            <w:pPr>
              <w:spacing w:after="0"/>
              <w:rPr>
                <w:sz w:val="17"/>
                <w:szCs w:val="17"/>
                <w:color w:val="auto"/>
              </w:rPr>
            </w:pPr>
          </w:p>
        </w:tc>
      </w:tr>
      <w:tr>
        <w:trPr>
          <w:trHeight w:val="405"/>
        </w:trPr>
        <w:tc>
          <w:tcPr>
            <w:tcW w:w="4000" w:type="dxa"/>
            <w:vAlign w:val="bottom"/>
            <w:gridSpan w:val="4"/>
            <w:shd w:val="clear" w:color="auto" w:fill="CCEEFF"/>
          </w:tcPr>
          <w:p>
            <w:pPr>
              <w:ind w:left="20"/>
              <w:spacing w:after="0"/>
              <w:rPr>
                <w:sz w:val="20"/>
                <w:szCs w:val="20"/>
                <w:color w:val="auto"/>
              </w:rPr>
            </w:pPr>
            <w:r>
              <w:rPr>
                <w:rFonts w:ascii="Arial" w:cs="Arial" w:eastAsia="Arial" w:hAnsi="Arial"/>
                <w:sz w:val="18"/>
                <w:szCs w:val="18"/>
                <w:color w:val="auto"/>
              </w:rPr>
              <w:t>Interest Income</w:t>
            </w:r>
          </w:p>
        </w:tc>
        <w:tc>
          <w:tcPr>
            <w:tcW w:w="16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(65)</w:t>
            </w:r>
          </w:p>
        </w:tc>
        <w:tc>
          <w:tcPr>
            <w:tcW w:w="340" w:type="dxa"/>
            <w:vAlign w:val="bottom"/>
            <w:shd w:val="clear" w:color="auto" w:fill="CCEEFF"/>
          </w:tcPr>
          <w:p>
            <w:pPr>
              <w:spacing w:after="0"/>
              <w:rPr>
                <w:sz w:val="24"/>
                <w:szCs w:val="24"/>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(874)</w:t>
            </w:r>
          </w:p>
        </w:tc>
        <w:tc>
          <w:tcPr>
            <w:tcW w:w="2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(1,998)</w:t>
            </w:r>
          </w:p>
        </w:tc>
        <w:tc>
          <w:tcPr>
            <w:tcW w:w="260" w:type="dxa"/>
            <w:vAlign w:val="bottom"/>
            <w:shd w:val="clear" w:color="auto" w:fill="CCEEFF"/>
          </w:tcPr>
          <w:p>
            <w:pPr>
              <w:spacing w:after="0"/>
              <w:rPr>
                <w:sz w:val="24"/>
                <w:szCs w:val="2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(2,675)</w:t>
            </w:r>
          </w:p>
        </w:tc>
        <w:tc>
          <w:tcPr>
            <w:tcW w:w="60" w:type="dxa"/>
            <w:vAlign w:val="bottom"/>
            <w:shd w:val="clear" w:color="auto" w:fill="CCEEFF"/>
          </w:tcPr>
          <w:p>
            <w:pPr>
              <w:spacing w:after="0"/>
              <w:rPr>
                <w:sz w:val="24"/>
                <w:szCs w:val="24"/>
                <w:color w:val="auto"/>
              </w:rPr>
            </w:pPr>
          </w:p>
        </w:tc>
      </w:tr>
      <w:tr>
        <w:trPr>
          <w:trHeight w:val="203"/>
        </w:trPr>
        <w:tc>
          <w:tcPr>
            <w:tcW w:w="4000" w:type="dxa"/>
            <w:vAlign w:val="bottom"/>
            <w:gridSpan w:val="4"/>
          </w:tcPr>
          <w:p>
            <w:pPr>
              <w:ind w:left="20"/>
              <w:spacing w:after="0" w:line="202" w:lineRule="exact"/>
              <w:rPr>
                <w:sz w:val="20"/>
                <w:szCs w:val="20"/>
                <w:color w:val="auto"/>
              </w:rPr>
            </w:pPr>
            <w:r>
              <w:rPr>
                <w:rFonts w:ascii="Arial" w:cs="Arial" w:eastAsia="Arial" w:hAnsi="Arial"/>
                <w:sz w:val="18"/>
                <w:szCs w:val="18"/>
                <w:color w:val="auto"/>
              </w:rPr>
              <w:t>Interest Expense</w:t>
            </w: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tcPr>
          <w:p>
            <w:pPr>
              <w:jc w:val="right"/>
              <w:spacing w:after="0" w:line="202" w:lineRule="exact"/>
              <w:rPr>
                <w:sz w:val="20"/>
                <w:szCs w:val="20"/>
                <w:color w:val="auto"/>
              </w:rPr>
            </w:pPr>
            <w:r>
              <w:rPr>
                <w:rFonts w:ascii="Arial" w:cs="Arial" w:eastAsia="Arial" w:hAnsi="Arial"/>
                <w:sz w:val="18"/>
                <w:szCs w:val="18"/>
                <w:color w:val="auto"/>
              </w:rPr>
              <w:t>145</w:t>
            </w:r>
          </w:p>
        </w:tc>
        <w:tc>
          <w:tcPr>
            <w:tcW w:w="1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680" w:type="dxa"/>
            <w:vAlign w:val="bottom"/>
          </w:tcPr>
          <w:p>
            <w:pPr>
              <w:jc w:val="right"/>
              <w:spacing w:after="0" w:line="202" w:lineRule="exact"/>
              <w:rPr>
                <w:sz w:val="20"/>
                <w:szCs w:val="20"/>
                <w:color w:val="auto"/>
              </w:rPr>
            </w:pPr>
            <w:r>
              <w:rPr>
                <w:rFonts w:ascii="Arial" w:cs="Arial" w:eastAsia="Arial" w:hAnsi="Arial"/>
                <w:sz w:val="18"/>
                <w:szCs w:val="18"/>
                <w:color w:val="auto"/>
              </w:rPr>
              <w:t>101</w:t>
            </w: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660" w:type="dxa"/>
            <w:vAlign w:val="bottom"/>
          </w:tcPr>
          <w:p>
            <w:pPr>
              <w:jc w:val="right"/>
              <w:spacing w:after="0" w:line="202" w:lineRule="exact"/>
              <w:rPr>
                <w:sz w:val="20"/>
                <w:szCs w:val="20"/>
                <w:color w:val="auto"/>
              </w:rPr>
            </w:pPr>
            <w:r>
              <w:rPr>
                <w:rFonts w:ascii="Arial" w:cs="Arial" w:eastAsia="Arial" w:hAnsi="Arial"/>
                <w:sz w:val="18"/>
                <w:szCs w:val="18"/>
                <w:color w:val="auto"/>
              </w:rPr>
              <w:t>877</w:t>
            </w:r>
          </w:p>
        </w:tc>
        <w:tc>
          <w:tcPr>
            <w:tcW w:w="1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00" w:type="dxa"/>
            <w:vAlign w:val="bottom"/>
          </w:tcPr>
          <w:p>
            <w:pPr>
              <w:jc w:val="right"/>
              <w:spacing w:after="0" w:line="202" w:lineRule="exact"/>
              <w:rPr>
                <w:sz w:val="20"/>
                <w:szCs w:val="20"/>
                <w:color w:val="auto"/>
              </w:rPr>
            </w:pPr>
            <w:r>
              <w:rPr>
                <w:rFonts w:ascii="Arial" w:cs="Arial" w:eastAsia="Arial" w:hAnsi="Arial"/>
                <w:sz w:val="18"/>
                <w:szCs w:val="18"/>
                <w:color w:val="auto"/>
              </w:rPr>
              <w:t>948</w:t>
            </w:r>
          </w:p>
        </w:tc>
        <w:tc>
          <w:tcPr>
            <w:tcW w:w="60" w:type="dxa"/>
            <w:vAlign w:val="bottom"/>
          </w:tcPr>
          <w:p>
            <w:pPr>
              <w:spacing w:after="0"/>
              <w:rPr>
                <w:sz w:val="17"/>
                <w:szCs w:val="17"/>
                <w:color w:val="auto"/>
              </w:rPr>
            </w:pPr>
          </w:p>
        </w:tc>
      </w:tr>
      <w:tr>
        <w:trPr>
          <w:trHeight w:val="405"/>
        </w:trPr>
        <w:tc>
          <w:tcPr>
            <w:tcW w:w="4000" w:type="dxa"/>
            <w:vAlign w:val="bottom"/>
            <w:gridSpan w:val="4"/>
            <w:shd w:val="clear" w:color="auto" w:fill="CCEEFF"/>
          </w:tcPr>
          <w:p>
            <w:pPr>
              <w:ind w:left="20"/>
              <w:spacing w:after="0"/>
              <w:rPr>
                <w:sz w:val="20"/>
                <w:szCs w:val="20"/>
                <w:color w:val="auto"/>
              </w:rPr>
            </w:pPr>
            <w:r>
              <w:rPr>
                <w:rFonts w:ascii="Arial" w:cs="Arial" w:eastAsia="Arial" w:hAnsi="Arial"/>
                <w:sz w:val="18"/>
                <w:szCs w:val="18"/>
                <w:color w:val="auto"/>
              </w:rPr>
              <w:t>Income taxes (benefit) provision</w:t>
            </w:r>
          </w:p>
        </w:tc>
        <w:tc>
          <w:tcPr>
            <w:tcW w:w="16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2,248</w:t>
            </w:r>
          </w:p>
        </w:tc>
        <w:tc>
          <w:tcPr>
            <w:tcW w:w="340" w:type="dxa"/>
            <w:vAlign w:val="bottom"/>
            <w:shd w:val="clear" w:color="auto" w:fill="CCEEFF"/>
          </w:tcPr>
          <w:p>
            <w:pPr>
              <w:spacing w:after="0"/>
              <w:rPr>
                <w:sz w:val="24"/>
                <w:szCs w:val="24"/>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1,788</w:t>
            </w:r>
          </w:p>
        </w:tc>
        <w:tc>
          <w:tcPr>
            <w:tcW w:w="2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(4,292)</w:t>
            </w:r>
          </w:p>
        </w:tc>
        <w:tc>
          <w:tcPr>
            <w:tcW w:w="260" w:type="dxa"/>
            <w:vAlign w:val="bottom"/>
            <w:shd w:val="clear" w:color="auto" w:fill="CCEEFF"/>
          </w:tcPr>
          <w:p>
            <w:pPr>
              <w:spacing w:after="0"/>
              <w:rPr>
                <w:sz w:val="24"/>
                <w:szCs w:val="2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12,881</w:t>
            </w:r>
          </w:p>
        </w:tc>
        <w:tc>
          <w:tcPr>
            <w:tcW w:w="60" w:type="dxa"/>
            <w:vAlign w:val="bottom"/>
            <w:shd w:val="clear" w:color="auto" w:fill="CCEEFF"/>
          </w:tcPr>
          <w:p>
            <w:pPr>
              <w:spacing w:after="0"/>
              <w:rPr>
                <w:sz w:val="24"/>
                <w:szCs w:val="24"/>
                <w:color w:val="auto"/>
              </w:rPr>
            </w:pPr>
          </w:p>
        </w:tc>
      </w:tr>
      <w:tr>
        <w:trPr>
          <w:trHeight w:val="203"/>
        </w:trPr>
        <w:tc>
          <w:tcPr>
            <w:tcW w:w="4000" w:type="dxa"/>
            <w:vAlign w:val="bottom"/>
            <w:gridSpan w:val="4"/>
          </w:tcPr>
          <w:p>
            <w:pPr>
              <w:ind w:left="20"/>
              <w:spacing w:after="0" w:line="202" w:lineRule="exact"/>
              <w:rPr>
                <w:sz w:val="20"/>
                <w:szCs w:val="20"/>
                <w:color w:val="auto"/>
              </w:rPr>
            </w:pPr>
            <w:r>
              <w:rPr>
                <w:rFonts w:ascii="Arial" w:cs="Arial" w:eastAsia="Arial" w:hAnsi="Arial"/>
                <w:sz w:val="18"/>
                <w:szCs w:val="18"/>
                <w:color w:val="auto"/>
              </w:rPr>
              <w:t>Depreciation &amp; Amortization</w:t>
            </w: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tcPr>
          <w:p>
            <w:pPr>
              <w:jc w:val="right"/>
              <w:spacing w:after="0" w:line="202" w:lineRule="exact"/>
              <w:rPr>
                <w:sz w:val="20"/>
                <w:szCs w:val="20"/>
                <w:color w:val="auto"/>
              </w:rPr>
            </w:pPr>
            <w:r>
              <w:rPr>
                <w:rFonts w:ascii="Arial" w:cs="Arial" w:eastAsia="Arial" w:hAnsi="Arial"/>
                <w:sz w:val="18"/>
                <w:szCs w:val="18"/>
                <w:color w:val="auto"/>
              </w:rPr>
              <w:t>4,243</w:t>
            </w:r>
          </w:p>
        </w:tc>
        <w:tc>
          <w:tcPr>
            <w:tcW w:w="1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680" w:type="dxa"/>
            <w:vAlign w:val="bottom"/>
          </w:tcPr>
          <w:p>
            <w:pPr>
              <w:jc w:val="right"/>
              <w:spacing w:after="0" w:line="202" w:lineRule="exact"/>
              <w:rPr>
                <w:sz w:val="20"/>
                <w:szCs w:val="20"/>
                <w:color w:val="auto"/>
              </w:rPr>
            </w:pPr>
            <w:r>
              <w:rPr>
                <w:rFonts w:ascii="Arial" w:cs="Arial" w:eastAsia="Arial" w:hAnsi="Arial"/>
                <w:sz w:val="18"/>
                <w:szCs w:val="18"/>
                <w:color w:val="auto"/>
              </w:rPr>
              <w:t>4,113</w:t>
            </w: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660" w:type="dxa"/>
            <w:vAlign w:val="bottom"/>
          </w:tcPr>
          <w:p>
            <w:pPr>
              <w:jc w:val="right"/>
              <w:spacing w:after="0" w:line="202" w:lineRule="exact"/>
              <w:rPr>
                <w:sz w:val="20"/>
                <w:szCs w:val="20"/>
                <w:color w:val="auto"/>
              </w:rPr>
            </w:pPr>
            <w:r>
              <w:rPr>
                <w:rFonts w:ascii="Arial" w:cs="Arial" w:eastAsia="Arial" w:hAnsi="Arial"/>
                <w:sz w:val="18"/>
                <w:szCs w:val="18"/>
                <w:color w:val="auto"/>
              </w:rPr>
              <w:t>16,093</w:t>
            </w:r>
          </w:p>
        </w:tc>
        <w:tc>
          <w:tcPr>
            <w:tcW w:w="1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00" w:type="dxa"/>
            <w:vAlign w:val="bottom"/>
          </w:tcPr>
          <w:p>
            <w:pPr>
              <w:jc w:val="right"/>
              <w:spacing w:after="0" w:line="202" w:lineRule="exact"/>
              <w:rPr>
                <w:sz w:val="20"/>
                <w:szCs w:val="20"/>
                <w:color w:val="auto"/>
              </w:rPr>
            </w:pPr>
            <w:r>
              <w:rPr>
                <w:rFonts w:ascii="Arial" w:cs="Arial" w:eastAsia="Arial" w:hAnsi="Arial"/>
                <w:sz w:val="18"/>
                <w:szCs w:val="18"/>
                <w:color w:val="auto"/>
              </w:rPr>
              <w:t>13,633</w:t>
            </w:r>
          </w:p>
        </w:tc>
        <w:tc>
          <w:tcPr>
            <w:tcW w:w="60" w:type="dxa"/>
            <w:vAlign w:val="bottom"/>
          </w:tcPr>
          <w:p>
            <w:pPr>
              <w:spacing w:after="0"/>
              <w:rPr>
                <w:sz w:val="17"/>
                <w:szCs w:val="17"/>
                <w:color w:val="auto"/>
              </w:rPr>
            </w:pPr>
          </w:p>
        </w:tc>
      </w:tr>
      <w:tr>
        <w:trPr>
          <w:trHeight w:val="203"/>
        </w:trPr>
        <w:tc>
          <w:tcPr>
            <w:tcW w:w="4000" w:type="dxa"/>
            <w:vAlign w:val="bottom"/>
            <w:gridSpan w:val="4"/>
            <w:shd w:val="clear" w:color="auto" w:fill="CCEEFF"/>
          </w:tcPr>
          <w:p>
            <w:pPr>
              <w:ind w:left="20"/>
              <w:spacing w:after="0" w:line="202" w:lineRule="exact"/>
              <w:rPr>
                <w:sz w:val="20"/>
                <w:szCs w:val="20"/>
                <w:color w:val="auto"/>
              </w:rPr>
            </w:pPr>
            <w:r>
              <w:rPr>
                <w:rFonts w:ascii="Arial" w:cs="Arial" w:eastAsia="Arial" w:hAnsi="Arial"/>
                <w:sz w:val="18"/>
                <w:szCs w:val="18"/>
                <w:color w:val="auto"/>
              </w:rPr>
              <w:t>Stock-Based Compensation (d)</w:t>
            </w:r>
          </w:p>
        </w:tc>
        <w:tc>
          <w:tcPr>
            <w:tcW w:w="16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918</w:t>
            </w:r>
          </w:p>
        </w:tc>
        <w:tc>
          <w:tcPr>
            <w:tcW w:w="160" w:type="dxa"/>
            <w:vAlign w:val="bottom"/>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spacing w:after="0"/>
              <w:rPr>
                <w:sz w:val="17"/>
                <w:szCs w:val="17"/>
                <w:color w:val="auto"/>
              </w:rPr>
            </w:pPr>
          </w:p>
        </w:tc>
        <w:tc>
          <w:tcPr>
            <w:tcW w:w="68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885</w:t>
            </w:r>
          </w:p>
        </w:tc>
        <w:tc>
          <w:tcPr>
            <w:tcW w:w="20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380" w:type="dxa"/>
            <w:vAlign w:val="bottom"/>
            <w:tcBorders>
              <w:bottom w:val="single" w:sz="8" w:color="auto"/>
            </w:tcBorders>
            <w:shd w:val="clear" w:color="auto" w:fill="CCEEFF"/>
          </w:tcPr>
          <w:p>
            <w:pPr>
              <w:spacing w:after="0"/>
              <w:rPr>
                <w:sz w:val="17"/>
                <w:szCs w:val="17"/>
                <w:color w:val="auto"/>
              </w:rPr>
            </w:pPr>
          </w:p>
        </w:tc>
        <w:tc>
          <w:tcPr>
            <w:tcW w:w="66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4,487</w:t>
            </w:r>
          </w:p>
        </w:tc>
        <w:tc>
          <w:tcPr>
            <w:tcW w:w="160" w:type="dxa"/>
            <w:vAlign w:val="bottom"/>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70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3,593</w:t>
            </w:r>
          </w:p>
        </w:tc>
        <w:tc>
          <w:tcPr>
            <w:tcW w:w="60" w:type="dxa"/>
            <w:vAlign w:val="bottom"/>
            <w:shd w:val="clear" w:color="auto" w:fill="CCEEFF"/>
          </w:tcPr>
          <w:p>
            <w:pPr>
              <w:spacing w:after="0"/>
              <w:rPr>
                <w:sz w:val="17"/>
                <w:szCs w:val="17"/>
                <w:color w:val="auto"/>
              </w:rPr>
            </w:pPr>
          </w:p>
        </w:tc>
      </w:tr>
      <w:tr>
        <w:trPr>
          <w:trHeight w:val="398"/>
        </w:trPr>
        <w:tc>
          <w:tcPr>
            <w:tcW w:w="4000" w:type="dxa"/>
            <w:vAlign w:val="bottom"/>
            <w:gridSpan w:val="4"/>
          </w:tcPr>
          <w:p>
            <w:pPr>
              <w:ind w:left="20"/>
              <w:spacing w:after="0"/>
              <w:rPr>
                <w:sz w:val="20"/>
                <w:szCs w:val="20"/>
                <w:color w:val="auto"/>
              </w:rPr>
            </w:pPr>
            <w:r>
              <w:rPr>
                <w:rFonts w:ascii="Arial" w:cs="Arial" w:eastAsia="Arial" w:hAnsi="Arial"/>
                <w:sz w:val="18"/>
                <w:szCs w:val="18"/>
                <w:color w:val="auto"/>
              </w:rPr>
              <w:t>EBITDA</w:t>
            </w:r>
          </w:p>
        </w:tc>
        <w:tc>
          <w:tcPr>
            <w:tcW w:w="38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rPr>
              <w:t>13,716</w:t>
            </w:r>
          </w:p>
        </w:tc>
        <w:tc>
          <w:tcPr>
            <w:tcW w:w="34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11,224</w:t>
            </w: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80" w:type="dxa"/>
            <w:vAlign w:val="bottom"/>
          </w:tcPr>
          <w:p>
            <w:pPr>
              <w:ind w:left="280"/>
              <w:spacing w:after="0"/>
              <w:rPr>
                <w:sz w:val="20"/>
                <w:szCs w:val="20"/>
                <w:color w:val="auto"/>
              </w:rPr>
            </w:pPr>
            <w:r>
              <w:rPr>
                <w:rFonts w:ascii="Arial" w:cs="Arial" w:eastAsia="Arial" w:hAnsi="Arial"/>
                <w:sz w:val="18"/>
                <w:szCs w:val="18"/>
                <w:color w:val="auto"/>
                <w:w w:val="79"/>
              </w:rPr>
              <w:t>$</w:t>
            </w:r>
          </w:p>
        </w:tc>
        <w:tc>
          <w:tcPr>
            <w:tcW w:w="820" w:type="dxa"/>
            <w:vAlign w:val="bottom"/>
            <w:gridSpan w:val="2"/>
          </w:tcPr>
          <w:p>
            <w:pPr>
              <w:jc w:val="right"/>
              <w:ind w:right="160"/>
              <w:spacing w:after="0"/>
              <w:rPr>
                <w:sz w:val="20"/>
                <w:szCs w:val="20"/>
                <w:color w:val="auto"/>
              </w:rPr>
            </w:pPr>
            <w:r>
              <w:rPr>
                <w:rFonts w:ascii="Arial" w:cs="Arial" w:eastAsia="Arial" w:hAnsi="Arial"/>
                <w:sz w:val="18"/>
                <w:szCs w:val="18"/>
                <w:color w:val="auto"/>
              </w:rPr>
              <w:t>1,542</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65,026</w:t>
            </w:r>
          </w:p>
        </w:tc>
        <w:tc>
          <w:tcPr>
            <w:tcW w:w="60" w:type="dxa"/>
            <w:vAlign w:val="bottom"/>
          </w:tcPr>
          <w:p>
            <w:pPr>
              <w:spacing w:after="0"/>
              <w:rPr>
                <w:sz w:val="24"/>
                <w:szCs w:val="24"/>
                <w:color w:val="auto"/>
              </w:rPr>
            </w:pPr>
          </w:p>
        </w:tc>
      </w:tr>
      <w:tr>
        <w:trPr>
          <w:trHeight w:val="203"/>
        </w:trPr>
        <w:tc>
          <w:tcPr>
            <w:tcW w:w="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7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r>
      <w:tr>
        <w:trPr>
          <w:trHeight w:val="176"/>
        </w:trPr>
        <w:tc>
          <w:tcPr>
            <w:tcW w:w="4000" w:type="dxa"/>
            <w:vAlign w:val="bottom"/>
            <w:gridSpan w:val="4"/>
          </w:tcPr>
          <w:p>
            <w:pPr>
              <w:ind w:left="20"/>
              <w:spacing w:after="0" w:line="176" w:lineRule="exact"/>
              <w:rPr>
                <w:sz w:val="20"/>
                <w:szCs w:val="20"/>
                <w:color w:val="auto"/>
              </w:rPr>
            </w:pPr>
            <w:r>
              <w:rPr>
                <w:rFonts w:ascii="Arial" w:cs="Arial" w:eastAsia="Arial" w:hAnsi="Arial"/>
                <w:sz w:val="18"/>
                <w:szCs w:val="18"/>
                <w:color w:val="auto"/>
              </w:rPr>
              <w:t>Adjustments:</w:t>
            </w:r>
          </w:p>
        </w:tc>
        <w:tc>
          <w:tcPr>
            <w:tcW w:w="1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0" w:type="dxa"/>
            <w:vAlign w:val="bottom"/>
          </w:tcPr>
          <w:p>
            <w:pPr>
              <w:spacing w:after="0"/>
              <w:rPr>
                <w:sz w:val="15"/>
                <w:szCs w:val="15"/>
                <w:color w:val="auto"/>
              </w:rPr>
            </w:pPr>
          </w:p>
        </w:tc>
      </w:tr>
      <w:tr>
        <w:trPr>
          <w:trHeight w:val="27"/>
        </w:trPr>
        <w:tc>
          <w:tcPr>
            <w:tcW w:w="20" w:type="dxa"/>
            <w:vAlign w:val="bottom"/>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18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60" w:type="dxa"/>
            <w:vAlign w:val="bottom"/>
          </w:tcPr>
          <w:p>
            <w:pPr>
              <w:spacing w:after="0"/>
              <w:rPr>
                <w:sz w:val="2"/>
                <w:szCs w:val="2"/>
                <w:color w:val="auto"/>
              </w:rPr>
            </w:pPr>
          </w:p>
        </w:tc>
        <w:tc>
          <w:tcPr>
            <w:tcW w:w="340" w:type="dxa"/>
            <w:vAlign w:val="bottom"/>
          </w:tcPr>
          <w:p>
            <w:pPr>
              <w:spacing w:after="0"/>
              <w:rPr>
                <w:sz w:val="2"/>
                <w:szCs w:val="2"/>
                <w:color w:val="auto"/>
              </w:rPr>
            </w:pPr>
          </w:p>
        </w:tc>
        <w:tc>
          <w:tcPr>
            <w:tcW w:w="6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380" w:type="dxa"/>
            <w:vAlign w:val="bottom"/>
          </w:tcPr>
          <w:p>
            <w:pPr>
              <w:spacing w:after="0"/>
              <w:rPr>
                <w:sz w:val="2"/>
                <w:szCs w:val="2"/>
                <w:color w:val="auto"/>
              </w:rPr>
            </w:pPr>
          </w:p>
        </w:tc>
        <w:tc>
          <w:tcPr>
            <w:tcW w:w="660" w:type="dxa"/>
            <w:vAlign w:val="bottom"/>
          </w:tcPr>
          <w:p>
            <w:pPr>
              <w:spacing w:after="0"/>
              <w:rPr>
                <w:sz w:val="2"/>
                <w:szCs w:val="2"/>
                <w:color w:val="auto"/>
              </w:rPr>
            </w:pPr>
          </w:p>
        </w:tc>
        <w:tc>
          <w:tcPr>
            <w:tcW w:w="160" w:type="dxa"/>
            <w:vAlign w:val="bottom"/>
          </w:tcPr>
          <w:p>
            <w:pPr>
              <w:spacing w:after="0"/>
              <w:rPr>
                <w:sz w:val="2"/>
                <w:szCs w:val="2"/>
                <w:color w:val="auto"/>
              </w:rPr>
            </w:pPr>
          </w:p>
        </w:tc>
        <w:tc>
          <w:tcPr>
            <w:tcW w:w="260" w:type="dxa"/>
            <w:vAlign w:val="bottom"/>
          </w:tcPr>
          <w:p>
            <w:pPr>
              <w:spacing w:after="0"/>
              <w:rPr>
                <w:sz w:val="2"/>
                <w:szCs w:val="2"/>
                <w:color w:val="auto"/>
              </w:rPr>
            </w:pPr>
          </w:p>
        </w:tc>
        <w:tc>
          <w:tcPr>
            <w:tcW w:w="700" w:type="dxa"/>
            <w:vAlign w:val="bottom"/>
          </w:tcPr>
          <w:p>
            <w:pPr>
              <w:spacing w:after="0"/>
              <w:rPr>
                <w:sz w:val="2"/>
                <w:szCs w:val="2"/>
                <w:color w:val="auto"/>
              </w:rPr>
            </w:pPr>
          </w:p>
        </w:tc>
        <w:tc>
          <w:tcPr>
            <w:tcW w:w="60" w:type="dxa"/>
            <w:vAlign w:val="bottom"/>
          </w:tcPr>
          <w:p>
            <w:pPr>
              <w:spacing w:after="0"/>
              <w:rPr>
                <w:sz w:val="2"/>
                <w:szCs w:val="2"/>
                <w:color w:val="auto"/>
              </w:rPr>
            </w:pPr>
          </w:p>
        </w:tc>
      </w:tr>
      <w:tr>
        <w:trPr>
          <w:trHeight w:val="202"/>
        </w:trPr>
        <w:tc>
          <w:tcPr>
            <w:tcW w:w="4000" w:type="dxa"/>
            <w:vAlign w:val="bottom"/>
            <w:gridSpan w:val="4"/>
            <w:shd w:val="clear" w:color="auto" w:fill="CCEEFF"/>
          </w:tcPr>
          <w:p>
            <w:pPr>
              <w:ind w:left="20"/>
              <w:spacing w:after="0" w:line="201" w:lineRule="exact"/>
              <w:rPr>
                <w:sz w:val="20"/>
                <w:szCs w:val="20"/>
                <w:color w:val="auto"/>
              </w:rPr>
            </w:pPr>
            <w:r>
              <w:rPr>
                <w:rFonts w:ascii="Arial" w:cs="Arial" w:eastAsia="Arial" w:hAnsi="Arial"/>
                <w:sz w:val="18"/>
                <w:szCs w:val="18"/>
                <w:color w:val="auto"/>
              </w:rPr>
              <w:t>Non-cash net losses (income) recognized from</w:t>
            </w:r>
          </w:p>
        </w:tc>
        <w:tc>
          <w:tcPr>
            <w:tcW w:w="1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r>
      <w:tr>
        <w:trPr>
          <w:trHeight w:val="203"/>
        </w:trPr>
        <w:tc>
          <w:tcPr>
            <w:tcW w:w="4000" w:type="dxa"/>
            <w:vAlign w:val="bottom"/>
            <w:gridSpan w:val="4"/>
            <w:shd w:val="clear" w:color="auto" w:fill="CCEEFF"/>
          </w:tcPr>
          <w:p>
            <w:pPr>
              <w:ind w:left="20"/>
              <w:spacing w:after="0" w:line="203" w:lineRule="exact"/>
              <w:rPr>
                <w:sz w:val="20"/>
                <w:szCs w:val="20"/>
                <w:color w:val="auto"/>
              </w:rPr>
            </w:pPr>
            <w:r>
              <w:rPr>
                <w:rFonts w:ascii="Arial" w:cs="Arial" w:eastAsia="Arial" w:hAnsi="Arial"/>
                <w:sz w:val="18"/>
                <w:szCs w:val="18"/>
                <w:color w:val="auto"/>
              </w:rPr>
              <w:t>unconsolidated entities (a)</w:t>
            </w:r>
          </w:p>
        </w:tc>
        <w:tc>
          <w:tcPr>
            <w:tcW w:w="1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(265)</w:t>
            </w:r>
          </w:p>
        </w:tc>
        <w:tc>
          <w:tcPr>
            <w:tcW w:w="1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2,138</w:t>
            </w:r>
          </w:p>
        </w:tc>
        <w:tc>
          <w:tcPr>
            <w:tcW w:w="2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6,110</w:t>
            </w:r>
          </w:p>
        </w:tc>
        <w:tc>
          <w:tcPr>
            <w:tcW w:w="1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14,082</w:t>
            </w:r>
          </w:p>
        </w:tc>
        <w:tc>
          <w:tcPr>
            <w:tcW w:w="60" w:type="dxa"/>
            <w:vAlign w:val="bottom"/>
            <w:shd w:val="clear" w:color="auto" w:fill="CCEEFF"/>
          </w:tcPr>
          <w:p>
            <w:pPr>
              <w:spacing w:after="0"/>
              <w:rPr>
                <w:sz w:val="17"/>
                <w:szCs w:val="17"/>
                <w:color w:val="auto"/>
              </w:rPr>
            </w:pPr>
          </w:p>
        </w:tc>
      </w:tr>
      <w:tr>
        <w:trPr>
          <w:trHeight w:val="202"/>
        </w:trPr>
        <w:tc>
          <w:tcPr>
            <w:tcW w:w="4000" w:type="dxa"/>
            <w:vAlign w:val="bottom"/>
            <w:gridSpan w:val="4"/>
          </w:tcPr>
          <w:p>
            <w:pPr>
              <w:ind w:left="20"/>
              <w:spacing w:after="0" w:line="201" w:lineRule="exact"/>
              <w:rPr>
                <w:sz w:val="20"/>
                <w:szCs w:val="20"/>
                <w:color w:val="auto"/>
              </w:rPr>
            </w:pPr>
            <w:r>
              <w:rPr>
                <w:rFonts w:ascii="Arial" w:cs="Arial" w:eastAsia="Arial" w:hAnsi="Arial"/>
                <w:sz w:val="18"/>
                <w:szCs w:val="18"/>
                <w:color w:val="auto"/>
              </w:rPr>
              <w:t>Loss on reserve for FreshRealm note receivable</w:t>
            </w: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03"/>
        </w:trPr>
        <w:tc>
          <w:tcPr>
            <w:tcW w:w="4000" w:type="dxa"/>
            <w:vAlign w:val="bottom"/>
            <w:gridSpan w:val="4"/>
          </w:tcPr>
          <w:p>
            <w:pPr>
              <w:ind w:left="20"/>
              <w:spacing w:after="0" w:line="203" w:lineRule="exact"/>
              <w:rPr>
                <w:sz w:val="20"/>
                <w:szCs w:val="20"/>
                <w:color w:val="auto"/>
              </w:rPr>
            </w:pPr>
            <w:r>
              <w:rPr>
                <w:rFonts w:ascii="Arial" w:cs="Arial" w:eastAsia="Arial" w:hAnsi="Arial"/>
                <w:sz w:val="18"/>
                <w:szCs w:val="18"/>
                <w:color w:val="auto"/>
              </w:rPr>
              <w:t>and impairment of investment (b)</w:t>
            </w: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tcPr>
          <w:p>
            <w:pPr>
              <w:jc w:val="right"/>
              <w:spacing w:after="0" w:line="203" w:lineRule="exact"/>
              <w:rPr>
                <w:sz w:val="20"/>
                <w:szCs w:val="20"/>
                <w:color w:val="auto"/>
              </w:rPr>
            </w:pPr>
            <w:r>
              <w:rPr>
                <w:rFonts w:ascii="Arial" w:cs="Arial" w:eastAsia="Arial" w:hAnsi="Arial"/>
                <w:sz w:val="18"/>
                <w:szCs w:val="18"/>
                <w:color w:val="auto"/>
              </w:rPr>
              <w:t>130</w:t>
            </w:r>
          </w:p>
        </w:tc>
        <w:tc>
          <w:tcPr>
            <w:tcW w:w="1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80" w:type="dxa"/>
            <w:vAlign w:val="bottom"/>
            <w:gridSpan w:val="2"/>
          </w:tcPr>
          <w:p>
            <w:pPr>
              <w:ind w:left="500"/>
              <w:spacing w:after="0" w:line="203" w:lineRule="exact"/>
              <w:rPr>
                <w:sz w:val="20"/>
                <w:szCs w:val="20"/>
                <w:color w:val="auto"/>
              </w:rPr>
            </w:pPr>
            <w:r>
              <w:rPr>
                <w:rFonts w:ascii="Arial" w:cs="Arial" w:eastAsia="Arial" w:hAnsi="Arial"/>
                <w:sz w:val="18"/>
                <w:szCs w:val="18"/>
                <w:color w:val="auto"/>
              </w:rPr>
              <w:t>—</w:t>
            </w:r>
          </w:p>
        </w:tc>
        <w:tc>
          <w:tcPr>
            <w:tcW w:w="1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660" w:type="dxa"/>
            <w:vAlign w:val="bottom"/>
          </w:tcPr>
          <w:p>
            <w:pPr>
              <w:jc w:val="right"/>
              <w:spacing w:after="0" w:line="203" w:lineRule="exact"/>
              <w:rPr>
                <w:sz w:val="20"/>
                <w:szCs w:val="20"/>
                <w:color w:val="auto"/>
              </w:rPr>
            </w:pPr>
            <w:r>
              <w:rPr>
                <w:rFonts w:ascii="Arial" w:cs="Arial" w:eastAsia="Arial" w:hAnsi="Arial"/>
                <w:sz w:val="18"/>
                <w:szCs w:val="18"/>
                <w:color w:val="auto"/>
              </w:rPr>
              <w:t>37,322</w:t>
            </w:r>
          </w:p>
        </w:tc>
        <w:tc>
          <w:tcPr>
            <w:tcW w:w="1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60" w:type="dxa"/>
            <w:vAlign w:val="bottom"/>
            <w:gridSpan w:val="2"/>
          </w:tcPr>
          <w:p>
            <w:pPr>
              <w:jc w:val="right"/>
              <w:ind w:right="100"/>
              <w:spacing w:after="0" w:line="203" w:lineRule="exact"/>
              <w:rPr>
                <w:sz w:val="20"/>
                <w:szCs w:val="20"/>
                <w:color w:val="auto"/>
              </w:rPr>
            </w:pPr>
            <w:r>
              <w:rPr>
                <w:rFonts w:ascii="Arial" w:cs="Arial" w:eastAsia="Arial" w:hAnsi="Arial"/>
                <w:sz w:val="18"/>
                <w:szCs w:val="18"/>
                <w:color w:val="auto"/>
              </w:rPr>
              <w:t>—</w:t>
            </w:r>
          </w:p>
        </w:tc>
      </w:tr>
      <w:tr>
        <w:trPr>
          <w:trHeight w:val="202"/>
        </w:trPr>
        <w:tc>
          <w:tcPr>
            <w:tcW w:w="4000" w:type="dxa"/>
            <w:vAlign w:val="bottom"/>
            <w:gridSpan w:val="4"/>
            <w:shd w:val="clear" w:color="auto" w:fill="CCEEFF"/>
          </w:tcPr>
          <w:p>
            <w:pPr>
              <w:ind w:left="20"/>
              <w:spacing w:after="0" w:line="201" w:lineRule="exact"/>
              <w:rPr>
                <w:sz w:val="20"/>
                <w:szCs w:val="20"/>
                <w:color w:val="auto"/>
              </w:rPr>
            </w:pPr>
            <w:r>
              <w:rPr>
                <w:rFonts w:ascii="Arial" w:cs="Arial" w:eastAsia="Arial" w:hAnsi="Arial"/>
                <w:sz w:val="18"/>
                <w:szCs w:val="18"/>
                <w:color w:val="auto"/>
              </w:rPr>
              <w:t>Net loss (gain) on Limoneira shares (f)</w:t>
            </w:r>
          </w:p>
        </w:tc>
        <w:tc>
          <w:tcPr>
            <w:tcW w:w="1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160"/>
              <w:spacing w:after="0" w:line="201" w:lineRule="exact"/>
              <w:rPr>
                <w:sz w:val="20"/>
                <w:szCs w:val="20"/>
                <w:color w:val="auto"/>
              </w:rPr>
            </w:pPr>
            <w:r>
              <w:rPr>
                <w:rFonts w:ascii="Arial" w:cs="Arial" w:eastAsia="Arial" w:hAnsi="Arial"/>
                <w:sz w:val="18"/>
                <w:szCs w:val="18"/>
                <w:color w:val="auto"/>
              </w:rPr>
              <w:t>(588)</w:t>
            </w:r>
          </w:p>
        </w:tc>
        <w:tc>
          <w:tcPr>
            <w:tcW w:w="34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line="201" w:lineRule="exact"/>
              <w:rPr>
                <w:sz w:val="20"/>
                <w:szCs w:val="20"/>
                <w:color w:val="auto"/>
              </w:rPr>
            </w:pPr>
            <w:r>
              <w:rPr>
                <w:rFonts w:ascii="Arial" w:cs="Arial" w:eastAsia="Arial" w:hAnsi="Arial"/>
                <w:sz w:val="18"/>
                <w:szCs w:val="18"/>
                <w:color w:val="auto"/>
              </w:rPr>
              <w:t>1,460</w:t>
            </w:r>
          </w:p>
        </w:tc>
        <w:tc>
          <w:tcPr>
            <w:tcW w:w="2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line="201" w:lineRule="exact"/>
              <w:rPr>
                <w:sz w:val="20"/>
                <w:szCs w:val="20"/>
                <w:color w:val="auto"/>
              </w:rPr>
            </w:pPr>
            <w:r>
              <w:rPr>
                <w:rFonts w:ascii="Arial" w:cs="Arial" w:eastAsia="Arial" w:hAnsi="Arial"/>
                <w:sz w:val="18"/>
                <w:szCs w:val="18"/>
                <w:color w:val="auto"/>
              </w:rPr>
              <w:t>8,537</w:t>
            </w:r>
          </w:p>
        </w:tc>
        <w:tc>
          <w:tcPr>
            <w:tcW w:w="1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line="201" w:lineRule="exact"/>
              <w:rPr>
                <w:sz w:val="20"/>
                <w:szCs w:val="20"/>
                <w:color w:val="auto"/>
              </w:rPr>
            </w:pPr>
            <w:r>
              <w:rPr>
                <w:rFonts w:ascii="Arial" w:cs="Arial" w:eastAsia="Arial" w:hAnsi="Arial"/>
                <w:sz w:val="18"/>
                <w:szCs w:val="18"/>
                <w:color w:val="auto"/>
              </w:rPr>
              <w:t>9,722</w:t>
            </w:r>
          </w:p>
        </w:tc>
        <w:tc>
          <w:tcPr>
            <w:tcW w:w="60" w:type="dxa"/>
            <w:vAlign w:val="bottom"/>
            <w:shd w:val="clear" w:color="auto" w:fill="CCEEFF"/>
          </w:tcPr>
          <w:p>
            <w:pPr>
              <w:spacing w:after="0"/>
              <w:rPr>
                <w:sz w:val="17"/>
                <w:szCs w:val="17"/>
                <w:color w:val="auto"/>
              </w:rPr>
            </w:pPr>
          </w:p>
        </w:tc>
      </w:tr>
      <w:tr>
        <w:trPr>
          <w:trHeight w:val="203"/>
        </w:trPr>
        <w:tc>
          <w:tcPr>
            <w:tcW w:w="4000" w:type="dxa"/>
            <w:vAlign w:val="bottom"/>
            <w:gridSpan w:val="4"/>
            <w:shd w:val="clear" w:color="auto" w:fill="CCEEFF"/>
          </w:tcPr>
          <w:p>
            <w:pPr>
              <w:ind w:left="20"/>
              <w:spacing w:after="0" w:line="203" w:lineRule="exact"/>
              <w:rPr>
                <w:sz w:val="20"/>
                <w:szCs w:val="20"/>
                <w:color w:val="auto"/>
              </w:rPr>
            </w:pPr>
            <w:r>
              <w:rPr>
                <w:rFonts w:ascii="Arial" w:cs="Arial" w:eastAsia="Arial" w:hAnsi="Arial"/>
                <w:sz w:val="18"/>
                <w:szCs w:val="18"/>
                <w:color w:val="auto"/>
              </w:rPr>
              <w:t>Professional expenses related to FreshRealm (e)</w:t>
            </w:r>
          </w:p>
        </w:tc>
        <w:tc>
          <w:tcPr>
            <w:tcW w:w="1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160"/>
              <w:spacing w:after="0" w:line="203" w:lineRule="exact"/>
              <w:rPr>
                <w:sz w:val="20"/>
                <w:szCs w:val="20"/>
                <w:color w:val="auto"/>
              </w:rPr>
            </w:pPr>
            <w:r>
              <w:rPr>
                <w:rFonts w:ascii="Arial" w:cs="Arial" w:eastAsia="Arial" w:hAnsi="Arial"/>
                <w:sz w:val="18"/>
                <w:szCs w:val="18"/>
                <w:color w:val="auto"/>
              </w:rPr>
              <w:t>255</w:t>
            </w:r>
          </w:p>
        </w:tc>
        <w:tc>
          <w:tcPr>
            <w:tcW w:w="34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240"/>
              <w:spacing w:after="0" w:line="203" w:lineRule="exact"/>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255</w:t>
            </w:r>
          </w:p>
        </w:tc>
        <w:tc>
          <w:tcPr>
            <w:tcW w:w="1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100"/>
              <w:spacing w:after="0" w:line="203" w:lineRule="exact"/>
              <w:rPr>
                <w:sz w:val="20"/>
                <w:szCs w:val="20"/>
                <w:color w:val="auto"/>
              </w:rPr>
            </w:pPr>
            <w:r>
              <w:rPr>
                <w:rFonts w:ascii="Arial" w:cs="Arial" w:eastAsia="Arial" w:hAnsi="Arial"/>
                <w:sz w:val="18"/>
                <w:szCs w:val="18"/>
                <w:color w:val="auto"/>
              </w:rPr>
              <w:t>—</w:t>
            </w:r>
          </w:p>
        </w:tc>
      </w:tr>
      <w:tr>
        <w:trPr>
          <w:trHeight w:val="202"/>
        </w:trPr>
        <w:tc>
          <w:tcPr>
            <w:tcW w:w="4000" w:type="dxa"/>
            <w:vAlign w:val="bottom"/>
            <w:gridSpan w:val="4"/>
          </w:tcPr>
          <w:p>
            <w:pPr>
              <w:ind w:left="20"/>
              <w:spacing w:after="0" w:line="201" w:lineRule="exact"/>
              <w:rPr>
                <w:sz w:val="20"/>
                <w:szCs w:val="20"/>
                <w:color w:val="auto"/>
              </w:rPr>
            </w:pPr>
            <w:r>
              <w:rPr>
                <w:rFonts w:ascii="Arial" w:cs="Arial" w:eastAsia="Arial" w:hAnsi="Arial"/>
                <w:sz w:val="18"/>
                <w:szCs w:val="18"/>
                <w:color w:val="auto"/>
              </w:rPr>
              <w:t>Gain on sale-Temecula packinghouse, net of</w:t>
            </w: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03"/>
        </w:trPr>
        <w:tc>
          <w:tcPr>
            <w:tcW w:w="4000" w:type="dxa"/>
            <w:vAlign w:val="bottom"/>
            <w:gridSpan w:val="4"/>
          </w:tcPr>
          <w:p>
            <w:pPr>
              <w:ind w:left="20"/>
              <w:spacing w:after="0" w:line="202" w:lineRule="exact"/>
              <w:rPr>
                <w:sz w:val="20"/>
                <w:szCs w:val="20"/>
                <w:color w:val="auto"/>
              </w:rPr>
            </w:pPr>
            <w:r>
              <w:rPr>
                <w:rFonts w:ascii="Arial" w:cs="Arial" w:eastAsia="Arial" w:hAnsi="Arial"/>
                <w:sz w:val="18"/>
                <w:szCs w:val="18"/>
                <w:color w:val="auto"/>
              </w:rPr>
              <w:t>sales commission (c)</w:t>
            </w: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w:t>
            </w:r>
          </w:p>
        </w:tc>
        <w:tc>
          <w:tcPr>
            <w:tcW w:w="340" w:type="dxa"/>
            <w:vAlign w:val="bottom"/>
          </w:tcPr>
          <w:p>
            <w:pPr>
              <w:spacing w:after="0"/>
              <w:rPr>
                <w:sz w:val="17"/>
                <w:szCs w:val="17"/>
                <w:color w:val="auto"/>
              </w:rPr>
            </w:pPr>
          </w:p>
        </w:tc>
        <w:tc>
          <w:tcPr>
            <w:tcW w:w="880" w:type="dxa"/>
            <w:vAlign w:val="bottom"/>
            <w:gridSpan w:val="2"/>
          </w:tcPr>
          <w:p>
            <w:pPr>
              <w:ind w:left="500"/>
              <w:spacing w:after="0" w:line="202" w:lineRule="exact"/>
              <w:rPr>
                <w:sz w:val="20"/>
                <w:szCs w:val="20"/>
                <w:color w:val="auto"/>
              </w:rPr>
            </w:pPr>
            <w:r>
              <w:rPr>
                <w:rFonts w:ascii="Arial" w:cs="Arial" w:eastAsia="Arial" w:hAnsi="Arial"/>
                <w:sz w:val="18"/>
                <w:szCs w:val="18"/>
                <w:color w:val="auto"/>
              </w:rPr>
              <w:t>—</w:t>
            </w:r>
          </w:p>
        </w:tc>
        <w:tc>
          <w:tcPr>
            <w:tcW w:w="1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20" w:type="dxa"/>
            <w:vAlign w:val="bottom"/>
            <w:gridSpan w:val="2"/>
          </w:tcPr>
          <w:p>
            <w:pPr>
              <w:jc w:val="right"/>
              <w:ind w:right="200"/>
              <w:spacing w:after="0" w:line="202" w:lineRule="exact"/>
              <w:rPr>
                <w:sz w:val="20"/>
                <w:szCs w:val="20"/>
                <w:color w:val="auto"/>
              </w:rPr>
            </w:pPr>
            <w:r>
              <w:rPr>
                <w:rFonts w:ascii="Arial" w:cs="Arial" w:eastAsia="Arial" w:hAnsi="Arial"/>
                <w:sz w:val="18"/>
                <w:szCs w:val="18"/>
                <w:color w:val="auto"/>
              </w:rPr>
              <w:t>—</w:t>
            </w:r>
          </w:p>
        </w:tc>
        <w:tc>
          <w:tcPr>
            <w:tcW w:w="260" w:type="dxa"/>
            <w:vAlign w:val="bottom"/>
          </w:tcPr>
          <w:p>
            <w:pPr>
              <w:spacing w:after="0"/>
              <w:rPr>
                <w:sz w:val="17"/>
                <w:szCs w:val="17"/>
                <w:color w:val="auto"/>
              </w:rPr>
            </w:pPr>
          </w:p>
        </w:tc>
        <w:tc>
          <w:tcPr>
            <w:tcW w:w="76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(1,572)</w:t>
            </w:r>
          </w:p>
        </w:tc>
      </w:tr>
      <w:tr>
        <w:trPr>
          <w:trHeight w:val="203"/>
        </w:trPr>
        <w:tc>
          <w:tcPr>
            <w:tcW w:w="4000" w:type="dxa"/>
            <w:vAlign w:val="bottom"/>
            <w:gridSpan w:val="4"/>
          </w:tcPr>
          <w:p>
            <w:pPr>
              <w:ind w:left="20"/>
              <w:spacing w:after="0" w:line="203" w:lineRule="exact"/>
              <w:rPr>
                <w:sz w:val="20"/>
                <w:szCs w:val="20"/>
                <w:color w:val="auto"/>
              </w:rPr>
            </w:pPr>
            <w:r>
              <w:rPr>
                <w:rFonts w:ascii="Arial" w:cs="Arial" w:eastAsia="Arial" w:hAnsi="Arial"/>
                <w:sz w:val="18"/>
                <w:szCs w:val="18"/>
                <w:color w:val="auto"/>
              </w:rPr>
              <w:t>RFG rent expense add back (g)</w:t>
            </w: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gridSpan w:val="2"/>
          </w:tcPr>
          <w:p>
            <w:pPr>
              <w:jc w:val="right"/>
              <w:ind w:right="160"/>
              <w:spacing w:after="0" w:line="203" w:lineRule="exact"/>
              <w:rPr>
                <w:sz w:val="20"/>
                <w:szCs w:val="20"/>
                <w:color w:val="auto"/>
              </w:rPr>
            </w:pPr>
            <w:r>
              <w:rPr>
                <w:rFonts w:ascii="Arial" w:cs="Arial" w:eastAsia="Arial" w:hAnsi="Arial"/>
                <w:sz w:val="18"/>
                <w:szCs w:val="18"/>
                <w:color w:val="auto"/>
              </w:rPr>
              <w:t>108</w:t>
            </w:r>
          </w:p>
        </w:tc>
        <w:tc>
          <w:tcPr>
            <w:tcW w:w="340" w:type="dxa"/>
            <w:vAlign w:val="bottom"/>
          </w:tcPr>
          <w:p>
            <w:pPr>
              <w:spacing w:after="0"/>
              <w:rPr>
                <w:sz w:val="17"/>
                <w:szCs w:val="17"/>
                <w:color w:val="auto"/>
              </w:rPr>
            </w:pPr>
          </w:p>
        </w:tc>
        <w:tc>
          <w:tcPr>
            <w:tcW w:w="880" w:type="dxa"/>
            <w:vAlign w:val="bottom"/>
            <w:gridSpan w:val="2"/>
          </w:tcPr>
          <w:p>
            <w:pPr>
              <w:ind w:left="500"/>
              <w:spacing w:after="0" w:line="203" w:lineRule="exact"/>
              <w:rPr>
                <w:sz w:val="20"/>
                <w:szCs w:val="20"/>
                <w:color w:val="auto"/>
              </w:rPr>
            </w:pPr>
            <w:r>
              <w:rPr>
                <w:rFonts w:ascii="Arial" w:cs="Arial" w:eastAsia="Arial" w:hAnsi="Arial"/>
                <w:sz w:val="18"/>
                <w:szCs w:val="18"/>
                <w:color w:val="auto"/>
              </w:rPr>
              <w:t>—</w:t>
            </w:r>
          </w:p>
        </w:tc>
        <w:tc>
          <w:tcPr>
            <w:tcW w:w="1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660" w:type="dxa"/>
            <w:vAlign w:val="bottom"/>
          </w:tcPr>
          <w:p>
            <w:pPr>
              <w:jc w:val="right"/>
              <w:spacing w:after="0" w:line="203" w:lineRule="exact"/>
              <w:rPr>
                <w:sz w:val="20"/>
                <w:szCs w:val="20"/>
                <w:color w:val="auto"/>
              </w:rPr>
            </w:pPr>
            <w:r>
              <w:rPr>
                <w:rFonts w:ascii="Arial" w:cs="Arial" w:eastAsia="Arial" w:hAnsi="Arial"/>
                <w:sz w:val="18"/>
                <w:szCs w:val="18"/>
                <w:color w:val="auto"/>
              </w:rPr>
              <w:t>108</w:t>
            </w:r>
          </w:p>
        </w:tc>
        <w:tc>
          <w:tcPr>
            <w:tcW w:w="1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60" w:type="dxa"/>
            <w:vAlign w:val="bottom"/>
            <w:gridSpan w:val="2"/>
          </w:tcPr>
          <w:p>
            <w:pPr>
              <w:jc w:val="right"/>
              <w:ind w:right="60"/>
              <w:spacing w:after="0" w:line="203" w:lineRule="exact"/>
              <w:rPr>
                <w:sz w:val="20"/>
                <w:szCs w:val="20"/>
                <w:color w:val="auto"/>
              </w:rPr>
            </w:pPr>
            <w:r>
              <w:rPr>
                <w:rFonts w:ascii="Arial" w:cs="Arial" w:eastAsia="Arial" w:hAnsi="Arial"/>
                <w:sz w:val="18"/>
                <w:szCs w:val="18"/>
                <w:color w:val="auto"/>
              </w:rPr>
              <w:t>—</w:t>
            </w:r>
          </w:p>
        </w:tc>
      </w:tr>
      <w:tr>
        <w:trPr>
          <w:trHeight w:val="203"/>
        </w:trPr>
        <w:tc>
          <w:tcPr>
            <w:tcW w:w="4000" w:type="dxa"/>
            <w:vAlign w:val="bottom"/>
            <w:gridSpan w:val="4"/>
            <w:shd w:val="clear" w:color="auto" w:fill="CCEEFF"/>
          </w:tcPr>
          <w:p>
            <w:pPr>
              <w:ind w:left="20"/>
              <w:spacing w:after="0" w:line="202" w:lineRule="exact"/>
              <w:rPr>
                <w:sz w:val="20"/>
                <w:szCs w:val="20"/>
                <w:color w:val="auto"/>
              </w:rPr>
            </w:pPr>
            <w:r>
              <w:rPr>
                <w:rFonts w:ascii="Arial" w:cs="Arial" w:eastAsia="Arial" w:hAnsi="Arial"/>
                <w:sz w:val="18"/>
                <w:szCs w:val="18"/>
                <w:color w:val="auto"/>
              </w:rPr>
              <w:t>Acquisition costs - SFFI, Inc. (e)</w:t>
            </w:r>
          </w:p>
        </w:tc>
        <w:tc>
          <w:tcPr>
            <w:tcW w:w="1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7"/>
                <w:szCs w:val="17"/>
                <w:color w:val="auto"/>
              </w:rPr>
            </w:pPr>
          </w:p>
        </w:tc>
        <w:tc>
          <w:tcPr>
            <w:tcW w:w="880" w:type="dxa"/>
            <w:vAlign w:val="bottom"/>
            <w:gridSpan w:val="2"/>
            <w:shd w:val="clear" w:color="auto" w:fill="CCEEFF"/>
          </w:tcPr>
          <w:p>
            <w:pPr>
              <w:ind w:left="500"/>
              <w:spacing w:after="0" w:line="202" w:lineRule="exact"/>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510</w:t>
            </w:r>
          </w:p>
        </w:tc>
        <w:tc>
          <w:tcPr>
            <w:tcW w:w="1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w:t>
            </w:r>
          </w:p>
        </w:tc>
      </w:tr>
      <w:tr>
        <w:trPr>
          <w:trHeight w:val="20"/>
        </w:trPr>
        <w:tc>
          <w:tcPr>
            <w:tcW w:w="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399"/>
        </w:trPr>
        <w:tc>
          <w:tcPr>
            <w:tcW w:w="4000" w:type="dxa"/>
            <w:vAlign w:val="bottom"/>
            <w:gridSpan w:val="4"/>
          </w:tcPr>
          <w:p>
            <w:pPr>
              <w:ind w:left="20"/>
              <w:spacing w:after="0"/>
              <w:rPr>
                <w:sz w:val="20"/>
                <w:szCs w:val="20"/>
                <w:color w:val="auto"/>
              </w:rPr>
            </w:pPr>
            <w:r>
              <w:rPr>
                <w:rFonts w:ascii="Arial" w:cs="Arial" w:eastAsia="Arial" w:hAnsi="Arial"/>
                <w:sz w:val="18"/>
                <w:szCs w:val="18"/>
                <w:color w:val="auto"/>
              </w:rPr>
              <w:t>Adjusted EBITDA</w:t>
            </w:r>
          </w:p>
        </w:tc>
        <w:tc>
          <w:tcPr>
            <w:tcW w:w="38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13,356</w:t>
            </w:r>
          </w:p>
        </w:tc>
        <w:tc>
          <w:tcPr>
            <w:tcW w:w="160" w:type="dxa"/>
            <w:vAlign w:val="bottom"/>
          </w:tcPr>
          <w:p>
            <w:pPr>
              <w:spacing w:after="0"/>
              <w:rPr>
                <w:sz w:val="24"/>
                <w:szCs w:val="24"/>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14,822</w:t>
            </w: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80" w:type="dxa"/>
            <w:vAlign w:val="bottom"/>
          </w:tcPr>
          <w:p>
            <w:pPr>
              <w:jc w:val="right"/>
              <w:ind w:right="135"/>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54,384</w:t>
            </w:r>
          </w:p>
        </w:tc>
        <w:tc>
          <w:tcPr>
            <w:tcW w:w="160" w:type="dxa"/>
            <w:vAlign w:val="bottom"/>
          </w:tcPr>
          <w:p>
            <w:pPr>
              <w:spacing w:after="0"/>
              <w:rPr>
                <w:sz w:val="24"/>
                <w:szCs w:val="24"/>
                <w:color w:val="auto"/>
              </w:rPr>
            </w:pP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87,258</w:t>
            </w:r>
          </w:p>
        </w:tc>
        <w:tc>
          <w:tcPr>
            <w:tcW w:w="60" w:type="dxa"/>
            <w:vAlign w:val="bottom"/>
          </w:tcPr>
          <w:p>
            <w:pPr>
              <w:spacing w:after="0"/>
              <w:rPr>
                <w:sz w:val="24"/>
                <w:szCs w:val="24"/>
                <w:color w:val="auto"/>
              </w:rPr>
            </w:pPr>
          </w:p>
        </w:tc>
      </w:tr>
      <w:tr>
        <w:trPr>
          <w:trHeight w:val="20"/>
        </w:trPr>
        <w:tc>
          <w:tcPr>
            <w:tcW w:w="20" w:type="dxa"/>
            <w:vAlign w:val="bottom"/>
            <w:shd w:val="clear" w:color="auto" w:fill="CCEEFF"/>
          </w:tcPr>
          <w:p>
            <w:pPr>
              <w:spacing w:after="0" w:line="20" w:lineRule="exact"/>
              <w:rPr>
                <w:sz w:val="1"/>
                <w:szCs w:val="1"/>
                <w:color w:val="auto"/>
              </w:rPr>
            </w:pPr>
          </w:p>
        </w:tc>
        <w:tc>
          <w:tcPr>
            <w:tcW w:w="1040" w:type="dxa"/>
            <w:vAlign w:val="bottom"/>
            <w:shd w:val="clear" w:color="auto" w:fill="CCEEFF"/>
          </w:tcPr>
          <w:p>
            <w:pPr>
              <w:spacing w:after="0" w:line="20" w:lineRule="exact"/>
              <w:rPr>
                <w:sz w:val="1"/>
                <w:szCs w:val="1"/>
                <w:color w:val="auto"/>
              </w:rPr>
            </w:pPr>
          </w:p>
        </w:tc>
        <w:tc>
          <w:tcPr>
            <w:tcW w:w="1180" w:type="dxa"/>
            <w:vAlign w:val="bottom"/>
            <w:shd w:val="clear" w:color="auto" w:fill="CCEEFF"/>
          </w:tcPr>
          <w:p>
            <w:pPr>
              <w:spacing w:after="0" w:line="20" w:lineRule="exact"/>
              <w:rPr>
                <w:sz w:val="1"/>
                <w:szCs w:val="1"/>
                <w:color w:val="auto"/>
              </w:rPr>
            </w:pPr>
          </w:p>
        </w:tc>
        <w:tc>
          <w:tcPr>
            <w:tcW w:w="176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820" w:type="dxa"/>
            <w:vAlign w:val="bottom"/>
            <w:gridSpan w:val="2"/>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r>
      <w:tr>
        <w:trPr>
          <w:trHeight w:val="398"/>
        </w:trPr>
        <w:tc>
          <w:tcPr>
            <w:tcW w:w="4000" w:type="dxa"/>
            <w:vAlign w:val="bottom"/>
            <w:gridSpan w:val="4"/>
            <w:shd w:val="clear" w:color="auto" w:fill="CCEEFF"/>
          </w:tcPr>
          <w:p>
            <w:pPr>
              <w:ind w:left="20"/>
              <w:spacing w:after="0"/>
              <w:rPr>
                <w:sz w:val="20"/>
                <w:szCs w:val="20"/>
                <w:color w:val="auto"/>
              </w:rPr>
            </w:pPr>
            <w:r>
              <w:rPr>
                <w:rFonts w:ascii="Arial" w:cs="Arial" w:eastAsia="Arial" w:hAnsi="Arial"/>
                <w:sz w:val="18"/>
                <w:szCs w:val="18"/>
                <w:color w:val="auto"/>
              </w:rPr>
              <w:t>Adjusted EBITDA per share</w:t>
            </w:r>
          </w:p>
        </w:tc>
        <w:tc>
          <w:tcPr>
            <w:tcW w:w="160" w:type="dxa"/>
            <w:vAlign w:val="bottom"/>
            <w:shd w:val="clear" w:color="auto" w:fill="CCEEFF"/>
          </w:tcPr>
          <w:p>
            <w:pPr>
              <w:spacing w:after="0"/>
              <w:rPr>
                <w:sz w:val="24"/>
                <w:szCs w:val="24"/>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0.76</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0.84</w:t>
            </w:r>
          </w:p>
        </w:tc>
        <w:tc>
          <w:tcPr>
            <w:tcW w:w="200" w:type="dxa"/>
            <w:vAlign w:val="bottom"/>
            <w:shd w:val="clear" w:color="auto" w:fill="CCEEFF"/>
          </w:tcPr>
          <w:p>
            <w:pPr>
              <w:spacing w:after="0"/>
              <w:rPr>
                <w:sz w:val="24"/>
                <w:szCs w:val="24"/>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380" w:type="dxa"/>
            <w:vAlign w:val="bottom"/>
            <w:shd w:val="clear" w:color="auto" w:fill="CCEEFF"/>
          </w:tcPr>
          <w:p>
            <w:pPr>
              <w:spacing w:after="0"/>
              <w:rPr>
                <w:sz w:val="24"/>
                <w:szCs w:val="24"/>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3.10</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4.96</w:t>
            </w:r>
          </w:p>
        </w:tc>
        <w:tc>
          <w:tcPr>
            <w:tcW w:w="60" w:type="dxa"/>
            <w:vAlign w:val="bottom"/>
            <w:shd w:val="clear" w:color="auto" w:fill="CCEEFF"/>
          </w:tcPr>
          <w:p>
            <w:pPr>
              <w:spacing w:after="0"/>
              <w:rPr>
                <w:sz w:val="24"/>
                <w:szCs w:val="24"/>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tcBorders>
          </w:tcPr>
          <w:p>
            <w:pPr>
              <w:spacing w:after="0" w:line="20" w:lineRule="exact"/>
              <w:rPr>
                <w:sz w:val="1"/>
                <w:szCs w:val="1"/>
                <w:color w:val="auto"/>
              </w:rPr>
            </w:pPr>
          </w:p>
        </w:tc>
        <w:tc>
          <w:tcPr>
            <w:tcW w:w="17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r>
      <w:tr>
        <w:trPr>
          <w:trHeight w:val="88"/>
        </w:trPr>
        <w:tc>
          <w:tcPr>
            <w:tcW w:w="2240" w:type="dxa"/>
            <w:vAlign w:val="bottom"/>
            <w:tcBorders>
              <w:bottom w:val="single" w:sz="8" w:color="auto"/>
            </w:tcBorders>
            <w:gridSpan w:val="3"/>
          </w:tcPr>
          <w:p>
            <w:pPr>
              <w:spacing w:after="0"/>
              <w:rPr>
                <w:sz w:val="7"/>
                <w:szCs w:val="7"/>
                <w:color w:val="auto"/>
              </w:rPr>
            </w:pPr>
          </w:p>
        </w:tc>
        <w:tc>
          <w:tcPr>
            <w:tcW w:w="1760" w:type="dxa"/>
            <w:vAlign w:val="bottom"/>
          </w:tcPr>
          <w:p>
            <w:pPr>
              <w:spacing w:after="0"/>
              <w:rPr>
                <w:sz w:val="7"/>
                <w:szCs w:val="7"/>
                <w:color w:val="auto"/>
              </w:rPr>
            </w:pPr>
          </w:p>
        </w:tc>
        <w:tc>
          <w:tcPr>
            <w:tcW w:w="160" w:type="dxa"/>
            <w:vAlign w:val="bottom"/>
          </w:tcPr>
          <w:p>
            <w:pPr>
              <w:spacing w:after="0"/>
              <w:rPr>
                <w:sz w:val="7"/>
                <w:szCs w:val="7"/>
                <w:color w:val="auto"/>
              </w:rPr>
            </w:pPr>
          </w:p>
        </w:tc>
        <w:tc>
          <w:tcPr>
            <w:tcW w:w="220" w:type="dxa"/>
            <w:vAlign w:val="bottom"/>
          </w:tcPr>
          <w:p>
            <w:pPr>
              <w:spacing w:after="0"/>
              <w:rPr>
                <w:sz w:val="7"/>
                <w:szCs w:val="7"/>
                <w:color w:val="auto"/>
              </w:rPr>
            </w:pPr>
          </w:p>
        </w:tc>
        <w:tc>
          <w:tcPr>
            <w:tcW w:w="760" w:type="dxa"/>
            <w:vAlign w:val="bottom"/>
          </w:tcPr>
          <w:p>
            <w:pPr>
              <w:spacing w:after="0"/>
              <w:rPr>
                <w:sz w:val="7"/>
                <w:szCs w:val="7"/>
                <w:color w:val="auto"/>
              </w:rPr>
            </w:pPr>
          </w:p>
        </w:tc>
        <w:tc>
          <w:tcPr>
            <w:tcW w:w="160" w:type="dxa"/>
            <w:vAlign w:val="bottom"/>
          </w:tcPr>
          <w:p>
            <w:pPr>
              <w:spacing w:after="0"/>
              <w:rPr>
                <w:sz w:val="7"/>
                <w:szCs w:val="7"/>
                <w:color w:val="auto"/>
              </w:rPr>
            </w:pPr>
          </w:p>
        </w:tc>
        <w:tc>
          <w:tcPr>
            <w:tcW w:w="340" w:type="dxa"/>
            <w:vAlign w:val="bottom"/>
          </w:tcPr>
          <w:p>
            <w:pPr>
              <w:spacing w:after="0"/>
              <w:rPr>
                <w:sz w:val="7"/>
                <w:szCs w:val="7"/>
                <w:color w:val="auto"/>
              </w:rPr>
            </w:pPr>
          </w:p>
        </w:tc>
        <w:tc>
          <w:tcPr>
            <w:tcW w:w="680" w:type="dxa"/>
            <w:vAlign w:val="bottom"/>
          </w:tcPr>
          <w:p>
            <w:pPr>
              <w:spacing w:after="0"/>
              <w:rPr>
                <w:sz w:val="7"/>
                <w:szCs w:val="7"/>
                <w:color w:val="auto"/>
              </w:rPr>
            </w:pPr>
          </w:p>
        </w:tc>
        <w:tc>
          <w:tcPr>
            <w:tcW w:w="200" w:type="dxa"/>
            <w:vAlign w:val="bottom"/>
          </w:tcPr>
          <w:p>
            <w:pPr>
              <w:spacing w:after="0"/>
              <w:rPr>
                <w:sz w:val="7"/>
                <w:szCs w:val="7"/>
                <w:color w:val="auto"/>
              </w:rPr>
            </w:pPr>
          </w:p>
        </w:tc>
        <w:tc>
          <w:tcPr>
            <w:tcW w:w="180" w:type="dxa"/>
            <w:vAlign w:val="bottom"/>
          </w:tcPr>
          <w:p>
            <w:pPr>
              <w:spacing w:after="0"/>
              <w:rPr>
                <w:sz w:val="7"/>
                <w:szCs w:val="7"/>
                <w:color w:val="auto"/>
              </w:rPr>
            </w:pPr>
          </w:p>
        </w:tc>
        <w:tc>
          <w:tcPr>
            <w:tcW w:w="380" w:type="dxa"/>
            <w:vAlign w:val="bottom"/>
          </w:tcPr>
          <w:p>
            <w:pPr>
              <w:spacing w:after="0"/>
              <w:rPr>
                <w:sz w:val="7"/>
                <w:szCs w:val="7"/>
                <w:color w:val="auto"/>
              </w:rPr>
            </w:pPr>
          </w:p>
        </w:tc>
        <w:tc>
          <w:tcPr>
            <w:tcW w:w="660" w:type="dxa"/>
            <w:vAlign w:val="bottom"/>
          </w:tcPr>
          <w:p>
            <w:pPr>
              <w:spacing w:after="0"/>
              <w:rPr>
                <w:sz w:val="7"/>
                <w:szCs w:val="7"/>
                <w:color w:val="auto"/>
              </w:rPr>
            </w:pPr>
          </w:p>
        </w:tc>
        <w:tc>
          <w:tcPr>
            <w:tcW w:w="160" w:type="dxa"/>
            <w:vAlign w:val="bottom"/>
          </w:tcPr>
          <w:p>
            <w:pPr>
              <w:spacing w:after="0"/>
              <w:rPr>
                <w:sz w:val="7"/>
                <w:szCs w:val="7"/>
                <w:color w:val="auto"/>
              </w:rPr>
            </w:pPr>
          </w:p>
        </w:tc>
        <w:tc>
          <w:tcPr>
            <w:tcW w:w="260" w:type="dxa"/>
            <w:vAlign w:val="bottom"/>
          </w:tcPr>
          <w:p>
            <w:pPr>
              <w:spacing w:after="0"/>
              <w:rPr>
                <w:sz w:val="7"/>
                <w:szCs w:val="7"/>
                <w:color w:val="auto"/>
              </w:rPr>
            </w:pPr>
          </w:p>
        </w:tc>
        <w:tc>
          <w:tcPr>
            <w:tcW w:w="700" w:type="dxa"/>
            <w:vAlign w:val="bottom"/>
          </w:tcPr>
          <w:p>
            <w:pPr>
              <w:spacing w:after="0"/>
              <w:rPr>
                <w:sz w:val="7"/>
                <w:szCs w:val="7"/>
                <w:color w:val="auto"/>
              </w:rPr>
            </w:pPr>
          </w:p>
        </w:tc>
        <w:tc>
          <w:tcPr>
            <w:tcW w:w="60" w:type="dxa"/>
            <w:vAlign w:val="bottom"/>
          </w:tcPr>
          <w:p>
            <w:pPr>
              <w:spacing w:after="0"/>
              <w:rPr>
                <w:sz w:val="7"/>
                <w:szCs w:val="7"/>
                <w:color w:val="auto"/>
              </w:rPr>
            </w:pPr>
          </w:p>
        </w:tc>
      </w:tr>
      <w:tr>
        <w:trPr>
          <w:trHeight w:val="304"/>
        </w:trPr>
        <w:tc>
          <w:tcPr>
            <w:tcW w:w="4000" w:type="dxa"/>
            <w:vAlign w:val="bottom"/>
            <w:gridSpan w:val="4"/>
          </w:tcPr>
          <w:p>
            <w:pPr>
              <w:ind w:left="20"/>
              <w:spacing w:after="0"/>
              <w:rPr>
                <w:sz w:val="20"/>
                <w:szCs w:val="20"/>
                <w:color w:val="auto"/>
              </w:rPr>
            </w:pPr>
            <w:r>
              <w:rPr>
                <w:rFonts w:ascii="Arial" w:cs="Arial" w:eastAsia="Arial" w:hAnsi="Arial"/>
                <w:sz w:val="18"/>
                <w:szCs w:val="18"/>
                <w:color w:val="auto"/>
              </w:rPr>
              <w:t>See prior page for footnote references</w:t>
            </w: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1181"/>
        </w:trPr>
        <w:tc>
          <w:tcPr>
            <w:tcW w:w="2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17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661" w:right="1440" w:bottom="1440" w:gutter="0" w:footer="0" w:header="0"/>
        </w:sectPr>
      </w:pPr>
    </w:p>
    <w:bookmarkStart w:id="16" w:name="page17"/>
    <w:bookmarkEnd w:id="16"/>
    <w:p>
      <w:pPr>
        <w:ind w:left="60"/>
        <w:spacing w:after="0"/>
        <w:rPr>
          <w:sz w:val="20"/>
          <w:szCs w:val="20"/>
          <w:color w:val="auto"/>
        </w:rPr>
      </w:pPr>
      <w:r>
        <w:rPr>
          <w:rFonts w:ascii="Arial" w:cs="Arial" w:eastAsia="Arial" w:hAnsi="Arial"/>
          <w:sz w:val="18"/>
          <w:szCs w:val="18"/>
          <w:i w:val="1"/>
          <w:iCs w:val="1"/>
          <w:color w:val="auto"/>
        </w:rPr>
        <w:t>Calavo Growers, Inc.</w:t>
      </w:r>
    </w:p>
    <w:p>
      <w:pPr>
        <w:spacing w:after="0" w:line="14"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page 14 of 14</w:t>
      </w:r>
    </w:p>
    <w:p>
      <w:pPr>
        <w:spacing w:after="0" w:line="17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CALAVO GROWERS, INC.</w:t>
      </w:r>
    </w:p>
    <w:p>
      <w:pPr>
        <w:spacing w:after="0" w:line="21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OTHER INFORMATION (UNAUDITED)</w:t>
      </w:r>
    </w:p>
    <w:p>
      <w:pPr>
        <w:spacing w:after="0" w:line="1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 except per pound amounts)</w:t>
      </w:r>
    </w:p>
    <w:p>
      <w:pPr>
        <w:spacing w:after="0" w:line="199" w:lineRule="exact"/>
        <w:rPr>
          <w:sz w:val="20"/>
          <w:szCs w:val="20"/>
          <w:color w:val="auto"/>
        </w:rPr>
      </w:pPr>
    </w:p>
    <w:tbl>
      <w:tblPr>
        <w:tblLayout w:type="fixed"/>
        <w:tblInd w:w="40" w:type="dxa"/>
        <w:tblCellMar>
          <w:top w:w="0" w:type="dxa"/>
          <w:left w:w="0" w:type="dxa"/>
          <w:bottom w:w="0" w:type="dxa"/>
          <w:right w:w="0" w:type="dxa"/>
        </w:tblCellMar>
      </w:tblPr>
      <w:tr>
        <w:trPr>
          <w:trHeight w:val="162"/>
        </w:trPr>
        <w:tc>
          <w:tcPr>
            <w:tcW w:w="4220" w:type="dxa"/>
            <w:vAlign w:val="bottom"/>
          </w:tcPr>
          <w:p>
            <w:pPr>
              <w:spacing w:after="0"/>
              <w:rPr>
                <w:sz w:val="14"/>
                <w:szCs w:val="14"/>
                <w:color w:val="auto"/>
              </w:rPr>
            </w:pPr>
          </w:p>
        </w:tc>
        <w:tc>
          <w:tcPr>
            <w:tcW w:w="2740" w:type="dxa"/>
            <w:vAlign w:val="bottom"/>
            <w:gridSpan w:val="6"/>
          </w:tcPr>
          <w:p>
            <w:pPr>
              <w:jc w:val="right"/>
              <w:ind w:right="740"/>
              <w:spacing w:after="0"/>
              <w:rPr>
                <w:sz w:val="20"/>
                <w:szCs w:val="20"/>
                <w:color w:val="auto"/>
              </w:rPr>
            </w:pPr>
            <w:r>
              <w:rPr>
                <w:rFonts w:ascii="Arial" w:cs="Arial" w:eastAsia="Arial" w:hAnsi="Arial"/>
                <w:sz w:val="14"/>
                <w:szCs w:val="14"/>
                <w:b w:val="1"/>
                <w:bCs w:val="1"/>
                <w:color w:val="auto"/>
              </w:rPr>
              <w:t>Three months ended</w:t>
            </w:r>
          </w:p>
        </w:tc>
        <w:tc>
          <w:tcPr>
            <w:tcW w:w="180" w:type="dxa"/>
            <w:vAlign w:val="bottom"/>
          </w:tcPr>
          <w:p>
            <w:pPr>
              <w:spacing w:after="0"/>
              <w:rPr>
                <w:sz w:val="14"/>
                <w:szCs w:val="14"/>
                <w:color w:val="auto"/>
              </w:rPr>
            </w:pPr>
          </w:p>
        </w:tc>
        <w:tc>
          <w:tcPr>
            <w:tcW w:w="1780" w:type="dxa"/>
            <w:vAlign w:val="bottom"/>
            <w:gridSpan w:val="4"/>
          </w:tcPr>
          <w:p>
            <w:pPr>
              <w:jc w:val="right"/>
              <w:ind w:right="533"/>
              <w:spacing w:after="0"/>
              <w:rPr>
                <w:sz w:val="20"/>
                <w:szCs w:val="20"/>
                <w:color w:val="auto"/>
              </w:rPr>
            </w:pPr>
            <w:r>
              <w:rPr>
                <w:rFonts w:ascii="Arial" w:cs="Arial" w:eastAsia="Arial" w:hAnsi="Arial"/>
                <w:sz w:val="14"/>
                <w:szCs w:val="14"/>
                <w:b w:val="1"/>
                <w:bCs w:val="1"/>
                <w:color w:val="auto"/>
              </w:rPr>
              <w:t>Year ended</w:t>
            </w:r>
          </w:p>
        </w:tc>
      </w:tr>
      <w:tr>
        <w:trPr>
          <w:trHeight w:val="175"/>
        </w:trPr>
        <w:tc>
          <w:tcPr>
            <w:tcW w:w="4220" w:type="dxa"/>
            <w:vAlign w:val="bottom"/>
          </w:tcPr>
          <w:p>
            <w:pPr>
              <w:spacing w:after="0"/>
              <w:rPr>
                <w:sz w:val="15"/>
                <w:szCs w:val="15"/>
                <w:color w:val="auto"/>
              </w:rPr>
            </w:pPr>
          </w:p>
        </w:tc>
        <w:tc>
          <w:tcPr>
            <w:tcW w:w="88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gridSpan w:val="3"/>
          </w:tcPr>
          <w:p>
            <w:pPr>
              <w:jc w:val="right"/>
              <w:ind w:right="30"/>
              <w:spacing w:after="0"/>
              <w:rPr>
                <w:sz w:val="20"/>
                <w:szCs w:val="20"/>
                <w:color w:val="auto"/>
              </w:rPr>
            </w:pPr>
            <w:r>
              <w:rPr>
                <w:rFonts w:ascii="Arial" w:cs="Arial" w:eastAsia="Arial" w:hAnsi="Arial"/>
                <w:sz w:val="14"/>
                <w:szCs w:val="14"/>
                <w:b w:val="1"/>
                <w:bCs w:val="1"/>
                <w:color w:val="auto"/>
              </w:rPr>
              <w:t>October 31,</w:t>
            </w:r>
          </w:p>
        </w:tc>
        <w:tc>
          <w:tcPr>
            <w:tcW w:w="82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780" w:type="dxa"/>
            <w:vAlign w:val="bottom"/>
            <w:tcBorders>
              <w:bottom w:val="single" w:sz="8" w:color="auto"/>
            </w:tcBorders>
            <w:gridSpan w:val="4"/>
          </w:tcPr>
          <w:p>
            <w:pPr>
              <w:jc w:val="right"/>
              <w:ind w:right="513"/>
              <w:spacing w:after="0"/>
              <w:rPr>
                <w:sz w:val="20"/>
                <w:szCs w:val="20"/>
                <w:color w:val="auto"/>
              </w:rPr>
            </w:pPr>
            <w:r>
              <w:rPr>
                <w:rFonts w:ascii="Arial" w:cs="Arial" w:eastAsia="Arial" w:hAnsi="Arial"/>
                <w:sz w:val="14"/>
                <w:szCs w:val="14"/>
                <w:b w:val="1"/>
                <w:bCs w:val="1"/>
                <w:color w:val="auto"/>
              </w:rPr>
              <w:t>October 31,</w:t>
            </w:r>
          </w:p>
        </w:tc>
      </w:tr>
      <w:tr>
        <w:trPr>
          <w:trHeight w:val="196"/>
        </w:trPr>
        <w:tc>
          <w:tcPr>
            <w:tcW w:w="4220" w:type="dxa"/>
            <w:vAlign w:val="bottom"/>
            <w:tcBorders>
              <w:bottom w:val="single" w:sz="8" w:color="CCEEFF"/>
            </w:tcBorders>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600" w:type="dxa"/>
            <w:vAlign w:val="bottom"/>
            <w:tcBorders>
              <w:bottom w:val="single" w:sz="8" w:color="auto"/>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ind w:right="313"/>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276"/>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ind w:right="13"/>
              <w:spacing w:after="0"/>
              <w:rPr>
                <w:sz w:val="20"/>
                <w:szCs w:val="20"/>
                <w:color w:val="auto"/>
              </w:rPr>
            </w:pPr>
            <w:r>
              <w:rPr>
                <w:rFonts w:ascii="Arial" w:cs="Arial" w:eastAsia="Arial" w:hAnsi="Arial"/>
                <w:sz w:val="14"/>
                <w:szCs w:val="14"/>
                <w:b w:val="1"/>
                <w:bCs w:val="1"/>
                <w:color w:val="auto"/>
              </w:rPr>
              <w:t>2019</w:t>
            </w:r>
          </w:p>
        </w:tc>
      </w:tr>
      <w:tr>
        <w:trPr>
          <w:trHeight w:val="196"/>
        </w:trPr>
        <w:tc>
          <w:tcPr>
            <w:tcW w:w="422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color w:val="auto"/>
              </w:rPr>
              <w:t>Pounds of avocados sold</w:t>
            </w:r>
          </w:p>
        </w:tc>
        <w:tc>
          <w:tcPr>
            <w:tcW w:w="88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98"/>
              </w:rPr>
              <w:t>87,868</w:t>
            </w: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85,648</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40" w:type="dxa"/>
            <w:vAlign w:val="bottom"/>
            <w:shd w:val="clear" w:color="auto" w:fill="CCEEFF"/>
          </w:tcPr>
          <w:p>
            <w:pPr>
              <w:jc w:val="right"/>
              <w:ind w:right="16"/>
              <w:spacing w:after="0" w:line="196" w:lineRule="exact"/>
              <w:rPr>
                <w:sz w:val="20"/>
                <w:szCs w:val="20"/>
                <w:color w:val="auto"/>
              </w:rPr>
            </w:pPr>
            <w:r>
              <w:rPr>
                <w:rFonts w:ascii="Arial" w:cs="Arial" w:eastAsia="Arial" w:hAnsi="Arial"/>
                <w:sz w:val="18"/>
                <w:szCs w:val="18"/>
                <w:color w:val="auto"/>
              </w:rPr>
              <w:t>379,910</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98"/>
              </w:rPr>
              <w:t>354,754</w:t>
            </w:r>
          </w:p>
        </w:tc>
      </w:tr>
      <w:tr>
        <w:trPr>
          <w:trHeight w:val="203"/>
        </w:trPr>
        <w:tc>
          <w:tcPr>
            <w:tcW w:w="4220" w:type="dxa"/>
            <w:vAlign w:val="bottom"/>
          </w:tcPr>
          <w:p>
            <w:pPr>
              <w:ind w:left="20"/>
              <w:spacing w:after="0" w:line="202" w:lineRule="exact"/>
              <w:rPr>
                <w:sz w:val="20"/>
                <w:szCs w:val="20"/>
                <w:color w:val="auto"/>
              </w:rPr>
            </w:pPr>
            <w:r>
              <w:rPr>
                <w:rFonts w:ascii="Arial" w:cs="Arial" w:eastAsia="Arial" w:hAnsi="Arial"/>
                <w:sz w:val="18"/>
                <w:szCs w:val="18"/>
                <w:color w:val="auto"/>
              </w:rPr>
              <w:t>Pounds of processed avocado products sold</w:t>
            </w:r>
          </w:p>
        </w:tc>
        <w:tc>
          <w:tcPr>
            <w:tcW w:w="880" w:type="dxa"/>
            <w:vAlign w:val="bottom"/>
          </w:tcPr>
          <w:p>
            <w:pPr>
              <w:spacing w:after="0"/>
              <w:rPr>
                <w:sz w:val="17"/>
                <w:szCs w:val="17"/>
                <w:color w:val="auto"/>
              </w:rPr>
            </w:pPr>
          </w:p>
        </w:tc>
        <w:tc>
          <w:tcPr>
            <w:tcW w:w="600" w:type="dxa"/>
            <w:vAlign w:val="bottom"/>
          </w:tcPr>
          <w:p>
            <w:pPr>
              <w:jc w:val="right"/>
              <w:spacing w:after="0" w:line="202" w:lineRule="exact"/>
              <w:rPr>
                <w:sz w:val="20"/>
                <w:szCs w:val="20"/>
                <w:color w:val="auto"/>
              </w:rPr>
            </w:pPr>
            <w:r>
              <w:rPr>
                <w:rFonts w:ascii="Arial" w:cs="Arial" w:eastAsia="Arial" w:hAnsi="Arial"/>
                <w:sz w:val="18"/>
                <w:szCs w:val="18"/>
                <w:color w:val="auto"/>
              </w:rPr>
              <w:t>6,064</w:t>
            </w: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4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7,513</w:t>
            </w:r>
          </w:p>
        </w:tc>
        <w:tc>
          <w:tcPr>
            <w:tcW w:w="180" w:type="dxa"/>
            <w:vAlign w:val="bottom"/>
          </w:tcPr>
          <w:p>
            <w:pPr>
              <w:spacing w:after="0"/>
              <w:rPr>
                <w:sz w:val="17"/>
                <w:szCs w:val="17"/>
                <w:color w:val="auto"/>
              </w:rPr>
            </w:pPr>
          </w:p>
        </w:tc>
        <w:tc>
          <w:tcPr>
            <w:tcW w:w="840" w:type="dxa"/>
            <w:vAlign w:val="bottom"/>
          </w:tcPr>
          <w:p>
            <w:pPr>
              <w:jc w:val="right"/>
              <w:ind w:right="16"/>
              <w:spacing w:after="0" w:line="202" w:lineRule="exact"/>
              <w:rPr>
                <w:sz w:val="20"/>
                <w:szCs w:val="20"/>
                <w:color w:val="auto"/>
              </w:rPr>
            </w:pPr>
            <w:r>
              <w:rPr>
                <w:rFonts w:ascii="Arial" w:cs="Arial" w:eastAsia="Arial" w:hAnsi="Arial"/>
                <w:sz w:val="18"/>
                <w:szCs w:val="18"/>
                <w:color w:val="auto"/>
              </w:rPr>
              <w:t>25,480</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jc w:val="right"/>
              <w:spacing w:after="0" w:line="202" w:lineRule="exact"/>
              <w:rPr>
                <w:sz w:val="20"/>
                <w:szCs w:val="20"/>
                <w:color w:val="auto"/>
              </w:rPr>
            </w:pPr>
            <w:r>
              <w:rPr>
                <w:rFonts w:ascii="Arial" w:cs="Arial" w:eastAsia="Arial" w:hAnsi="Arial"/>
                <w:sz w:val="18"/>
                <w:szCs w:val="18"/>
                <w:color w:val="auto"/>
              </w:rPr>
              <w:t>32,016</w:t>
            </w:r>
          </w:p>
        </w:tc>
      </w:tr>
      <w:tr>
        <w:trPr>
          <w:trHeight w:val="405"/>
        </w:trPr>
        <w:tc>
          <w:tcPr>
            <w:tcW w:w="4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Average sales price per pound - avocados</w:t>
            </w:r>
          </w:p>
        </w:tc>
        <w:tc>
          <w:tcPr>
            <w:tcW w:w="880" w:type="dxa"/>
            <w:vAlign w:val="bottom"/>
            <w:shd w:val="clear" w:color="auto" w:fill="CCEEFF"/>
          </w:tcPr>
          <w:p>
            <w:pPr>
              <w:jc w:val="right"/>
              <w:ind w:right="696"/>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w:t>
            </w:r>
          </w:p>
        </w:tc>
        <w:tc>
          <w:tcPr>
            <w:tcW w:w="80" w:type="dxa"/>
            <w:vAlign w:val="bottom"/>
            <w:shd w:val="clear" w:color="auto" w:fill="CCEEFF"/>
          </w:tcPr>
          <w:p>
            <w:pPr>
              <w:spacing w:after="0"/>
              <w:rPr>
                <w:sz w:val="24"/>
                <w:szCs w:val="24"/>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1.57</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1.37</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w:t>
            </w:r>
          </w:p>
        </w:tc>
      </w:tr>
      <w:tr>
        <w:trPr>
          <w:trHeight w:val="405"/>
        </w:trPr>
        <w:tc>
          <w:tcPr>
            <w:tcW w:w="4220" w:type="dxa"/>
            <w:vAlign w:val="bottom"/>
          </w:tcPr>
          <w:p>
            <w:pPr>
              <w:ind w:left="20"/>
              <w:spacing w:after="0"/>
              <w:rPr>
                <w:sz w:val="20"/>
                <w:szCs w:val="20"/>
                <w:color w:val="auto"/>
              </w:rPr>
            </w:pPr>
            <w:r>
              <w:rPr>
                <w:rFonts w:ascii="Arial" w:cs="Arial" w:eastAsia="Arial" w:hAnsi="Arial"/>
                <w:sz w:val="18"/>
                <w:szCs w:val="18"/>
                <w:color w:val="auto"/>
              </w:rPr>
              <w:t>Gross profit per pound - avocados</w:t>
            </w:r>
          </w:p>
        </w:tc>
        <w:tc>
          <w:tcPr>
            <w:tcW w:w="880" w:type="dxa"/>
            <w:vAlign w:val="bottom"/>
          </w:tcPr>
          <w:p>
            <w:pPr>
              <w:jc w:val="right"/>
              <w:ind w:right="696"/>
              <w:spacing w:after="0"/>
              <w:rPr>
                <w:sz w:val="20"/>
                <w:szCs w:val="20"/>
                <w:color w:val="auto"/>
              </w:rPr>
            </w:pPr>
            <w:r>
              <w:rPr>
                <w:rFonts w:ascii="Arial" w:cs="Arial" w:eastAsia="Arial" w:hAnsi="Arial"/>
                <w:sz w:val="18"/>
                <w:szCs w:val="18"/>
                <w:color w:val="auto"/>
                <w:w w:val="79"/>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0.10</w:t>
            </w:r>
          </w:p>
        </w:tc>
        <w:tc>
          <w:tcPr>
            <w:tcW w:w="80" w:type="dxa"/>
            <w:vAlign w:val="bottom"/>
          </w:tcPr>
          <w:p>
            <w:pPr>
              <w:spacing w:after="0"/>
              <w:rPr>
                <w:sz w:val="24"/>
                <w:szCs w:val="24"/>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940" w:type="dxa"/>
            <w:vAlign w:val="bottom"/>
            <w:gridSpan w:val="2"/>
          </w:tcPr>
          <w:p>
            <w:pPr>
              <w:jc w:val="right"/>
              <w:ind w:right="120"/>
              <w:spacing w:after="0"/>
              <w:rPr>
                <w:sz w:val="20"/>
                <w:szCs w:val="20"/>
                <w:color w:val="auto"/>
              </w:rPr>
            </w:pPr>
            <w:r>
              <w:rPr>
                <w:rFonts w:ascii="Arial" w:cs="Arial" w:eastAsia="Arial" w:hAnsi="Arial"/>
                <w:sz w:val="18"/>
                <w:szCs w:val="18"/>
                <w:color w:val="auto"/>
              </w:rPr>
              <w:t>0.14</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ind w:right="16"/>
              <w:spacing w:after="0"/>
              <w:rPr>
                <w:sz w:val="20"/>
                <w:szCs w:val="20"/>
                <w:color w:val="auto"/>
              </w:rPr>
            </w:pPr>
            <w:r>
              <w:rPr>
                <w:rFonts w:ascii="Arial" w:cs="Arial" w:eastAsia="Arial" w:hAnsi="Arial"/>
                <w:sz w:val="18"/>
                <w:szCs w:val="18"/>
                <w:color w:val="auto"/>
              </w:rPr>
              <w:t>0.11</w:t>
            </w:r>
          </w:p>
        </w:tc>
        <w:tc>
          <w:tcPr>
            <w:tcW w:w="10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0.23</w:t>
            </w:r>
          </w:p>
        </w:tc>
      </w:tr>
      <w:tr>
        <w:trPr>
          <w:trHeight w:val="202"/>
        </w:trPr>
        <w:tc>
          <w:tcPr>
            <w:tcW w:w="4220" w:type="dxa"/>
            <w:vAlign w:val="bottom"/>
            <w:shd w:val="clear" w:color="auto" w:fill="CCEEFF"/>
          </w:tcPr>
          <w:p>
            <w:pPr>
              <w:ind w:left="20"/>
              <w:spacing w:after="0" w:line="201" w:lineRule="exact"/>
              <w:rPr>
                <w:sz w:val="20"/>
                <w:szCs w:val="20"/>
                <w:color w:val="auto"/>
              </w:rPr>
            </w:pPr>
            <w:r>
              <w:rPr>
                <w:rFonts w:ascii="Arial" w:cs="Arial" w:eastAsia="Arial" w:hAnsi="Arial"/>
                <w:sz w:val="18"/>
                <w:szCs w:val="18"/>
                <w:color w:val="auto"/>
              </w:rPr>
              <w:t>Average sales price per pound – processed</w:t>
            </w:r>
          </w:p>
        </w:tc>
        <w:tc>
          <w:tcPr>
            <w:tcW w:w="88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r>
      <w:tr>
        <w:trPr>
          <w:trHeight w:val="203"/>
        </w:trPr>
        <w:tc>
          <w:tcPr>
            <w:tcW w:w="4220" w:type="dxa"/>
            <w:vAlign w:val="bottom"/>
            <w:shd w:val="clear" w:color="auto" w:fill="CCEEFF"/>
          </w:tcPr>
          <w:p>
            <w:pPr>
              <w:ind w:left="20"/>
              <w:spacing w:after="0" w:line="203" w:lineRule="exact"/>
              <w:rPr>
                <w:sz w:val="20"/>
                <w:szCs w:val="20"/>
                <w:color w:val="auto"/>
              </w:rPr>
            </w:pPr>
            <w:r>
              <w:rPr>
                <w:rFonts w:ascii="Arial" w:cs="Arial" w:eastAsia="Arial" w:hAnsi="Arial"/>
                <w:sz w:val="18"/>
                <w:szCs w:val="18"/>
                <w:color w:val="auto"/>
              </w:rPr>
              <w:t>avocado products</w:t>
            </w:r>
          </w:p>
        </w:tc>
        <w:tc>
          <w:tcPr>
            <w:tcW w:w="880" w:type="dxa"/>
            <w:vAlign w:val="bottom"/>
            <w:shd w:val="clear" w:color="auto" w:fill="CCEEFF"/>
          </w:tcPr>
          <w:p>
            <w:pPr>
              <w:jc w:val="right"/>
              <w:ind w:right="696"/>
              <w:spacing w:after="0" w:line="203" w:lineRule="exact"/>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2.85</w:t>
            </w: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jc w:val="right"/>
              <w:ind w:right="50"/>
              <w:spacing w:after="0" w:line="203" w:lineRule="exact"/>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CCEEFF"/>
          </w:tcPr>
          <w:p>
            <w:pPr>
              <w:jc w:val="right"/>
              <w:ind w:right="120"/>
              <w:spacing w:after="0" w:line="203" w:lineRule="exact"/>
              <w:rPr>
                <w:sz w:val="20"/>
                <w:szCs w:val="20"/>
                <w:color w:val="auto"/>
              </w:rPr>
            </w:pPr>
            <w:r>
              <w:rPr>
                <w:rFonts w:ascii="Arial" w:cs="Arial" w:eastAsia="Arial" w:hAnsi="Arial"/>
                <w:sz w:val="18"/>
                <w:szCs w:val="18"/>
                <w:color w:val="auto"/>
              </w:rPr>
              <w:t>2.90</w:t>
            </w:r>
          </w:p>
        </w:tc>
        <w:tc>
          <w:tcPr>
            <w:tcW w:w="18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w w:val="79"/>
              </w:rPr>
              <w:t>$</w:t>
            </w:r>
          </w:p>
        </w:tc>
        <w:tc>
          <w:tcPr>
            <w:tcW w:w="840" w:type="dxa"/>
            <w:vAlign w:val="bottom"/>
            <w:shd w:val="clear" w:color="auto" w:fill="CCEEFF"/>
          </w:tcPr>
          <w:p>
            <w:pPr>
              <w:jc w:val="right"/>
              <w:ind w:right="16"/>
              <w:spacing w:after="0" w:line="203" w:lineRule="exact"/>
              <w:rPr>
                <w:sz w:val="20"/>
                <w:szCs w:val="20"/>
                <w:color w:val="auto"/>
              </w:rPr>
            </w:pPr>
            <w:r>
              <w:rPr>
                <w:rFonts w:ascii="Arial" w:cs="Arial" w:eastAsia="Arial" w:hAnsi="Arial"/>
                <w:sz w:val="18"/>
                <w:szCs w:val="18"/>
                <w:color w:val="auto"/>
              </w:rPr>
              <w:t>2.84</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2.85</w:t>
            </w:r>
          </w:p>
        </w:tc>
      </w:tr>
      <w:tr>
        <w:trPr>
          <w:trHeight w:val="202"/>
        </w:trPr>
        <w:tc>
          <w:tcPr>
            <w:tcW w:w="4220" w:type="dxa"/>
            <w:vAlign w:val="bottom"/>
          </w:tcPr>
          <w:p>
            <w:pPr>
              <w:ind w:left="20"/>
              <w:spacing w:after="0" w:line="201" w:lineRule="exact"/>
              <w:rPr>
                <w:sz w:val="20"/>
                <w:szCs w:val="20"/>
                <w:color w:val="auto"/>
              </w:rPr>
            </w:pPr>
            <w:r>
              <w:rPr>
                <w:rFonts w:ascii="Arial" w:cs="Arial" w:eastAsia="Arial" w:hAnsi="Arial"/>
                <w:sz w:val="18"/>
                <w:szCs w:val="18"/>
                <w:color w:val="auto"/>
              </w:rPr>
              <w:t>Gross profit per pound – processed avocado</w:t>
            </w:r>
          </w:p>
        </w:tc>
        <w:tc>
          <w:tcPr>
            <w:tcW w:w="8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spacing w:after="0"/>
              <w:rPr>
                <w:sz w:val="17"/>
                <w:szCs w:val="17"/>
                <w:color w:val="auto"/>
              </w:rPr>
            </w:pPr>
          </w:p>
        </w:tc>
      </w:tr>
      <w:tr>
        <w:trPr>
          <w:trHeight w:val="217"/>
        </w:trPr>
        <w:tc>
          <w:tcPr>
            <w:tcW w:w="4220" w:type="dxa"/>
            <w:vAlign w:val="bottom"/>
          </w:tcPr>
          <w:p>
            <w:pPr>
              <w:ind w:left="20"/>
              <w:spacing w:after="0"/>
              <w:rPr>
                <w:sz w:val="20"/>
                <w:szCs w:val="20"/>
                <w:color w:val="auto"/>
              </w:rPr>
            </w:pPr>
            <w:r>
              <w:rPr>
                <w:rFonts w:ascii="Arial" w:cs="Arial" w:eastAsia="Arial" w:hAnsi="Arial"/>
                <w:sz w:val="18"/>
                <w:szCs w:val="18"/>
                <w:color w:val="auto"/>
              </w:rPr>
              <w:t>products</w:t>
            </w:r>
          </w:p>
        </w:tc>
        <w:tc>
          <w:tcPr>
            <w:tcW w:w="880" w:type="dxa"/>
            <w:vAlign w:val="bottom"/>
          </w:tcPr>
          <w:p>
            <w:pPr>
              <w:jc w:val="right"/>
              <w:ind w:right="696"/>
              <w:spacing w:after="0"/>
              <w:rPr>
                <w:sz w:val="20"/>
                <w:szCs w:val="20"/>
                <w:color w:val="auto"/>
              </w:rPr>
            </w:pPr>
            <w:r>
              <w:rPr>
                <w:rFonts w:ascii="Arial" w:cs="Arial" w:eastAsia="Arial" w:hAnsi="Arial"/>
                <w:sz w:val="18"/>
                <w:szCs w:val="18"/>
                <w:color w:val="auto"/>
                <w:w w:val="79"/>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0.77</w:t>
            </w:r>
          </w:p>
        </w:tc>
        <w:tc>
          <w:tcPr>
            <w:tcW w:w="80" w:type="dxa"/>
            <w:vAlign w:val="bottom"/>
          </w:tcPr>
          <w:p>
            <w:pPr>
              <w:spacing w:after="0"/>
              <w:rPr>
                <w:sz w:val="18"/>
                <w:szCs w:val="18"/>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940" w:type="dxa"/>
            <w:vAlign w:val="bottom"/>
            <w:gridSpan w:val="2"/>
          </w:tcPr>
          <w:p>
            <w:pPr>
              <w:jc w:val="right"/>
              <w:ind w:right="120"/>
              <w:spacing w:after="0"/>
              <w:rPr>
                <w:sz w:val="20"/>
                <w:szCs w:val="20"/>
                <w:color w:val="auto"/>
              </w:rPr>
            </w:pPr>
            <w:r>
              <w:rPr>
                <w:rFonts w:ascii="Arial" w:cs="Arial" w:eastAsia="Arial" w:hAnsi="Arial"/>
                <w:sz w:val="18"/>
                <w:szCs w:val="18"/>
                <w:color w:val="auto"/>
              </w:rPr>
              <w:t>0.64</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ind w:right="16"/>
              <w:spacing w:after="0"/>
              <w:rPr>
                <w:sz w:val="20"/>
                <w:szCs w:val="20"/>
                <w:color w:val="auto"/>
              </w:rPr>
            </w:pPr>
            <w:r>
              <w:rPr>
                <w:rFonts w:ascii="Arial" w:cs="Arial" w:eastAsia="Arial" w:hAnsi="Arial"/>
                <w:sz w:val="18"/>
                <w:szCs w:val="18"/>
                <w:color w:val="auto"/>
              </w:rPr>
              <w:t>0.82</w:t>
            </w:r>
          </w:p>
        </w:tc>
        <w:tc>
          <w:tcPr>
            <w:tcW w:w="1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0.66</w:t>
            </w:r>
          </w:p>
        </w:tc>
      </w:tr>
      <w:tr>
        <w:trPr>
          <w:trHeight w:val="1384"/>
        </w:trPr>
        <w:tc>
          <w:tcPr>
            <w:tcW w:w="42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r>
    </w:tbl>
    <w:p>
      <w:pPr>
        <w:spacing w:after="0" w:line="1" w:lineRule="exact"/>
        <w:rPr>
          <w:sz w:val="20"/>
          <w:szCs w:val="20"/>
          <w:color w:val="auto"/>
        </w:rPr>
      </w:pPr>
    </w:p>
    <w:sectPr>
      <w:pgSz w:w="11900" w:h="16838" w:orient="portrait"/>
      <w:cols w:equalWidth="0" w:num="1">
        <w:col w:w="9019"/>
      </w:cols>
      <w:pgMar w:left="1440" w:top="661"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6E87CCD"/>
    <w:multiLevelType w:val="hybridMultilevel"/>
    <w:lvl w:ilvl="0">
      <w:lvlJc w:val="left"/>
      <w:lvlText w:val="☐"/>
      <w:numFmt w:val="bullet"/>
      <w:start w:val="1"/>
    </w:lvl>
  </w:abstractNum>
  <w:abstractNum w:abstractNumId="1">
    <w:nsid w:val="3D1B58BA"/>
    <w:multiLevelType w:val="hybridMultilevel"/>
    <w:lvl w:ilvl="0">
      <w:lvlJc w:val="left"/>
      <w:lvlText w:val="(%1)"/>
      <w:numFmt w:val="lowerLetter"/>
      <w:start w:val="4"/>
    </w:lvl>
  </w:abstractNum>
  <w:abstractNum w:abstractNumId="2">
    <w:nsid w:val="507ED7AB"/>
    <w:multiLevelType w:val="hybridMultilevel"/>
    <w:lvl w:ilvl="0">
      <w:lvlJc w:val="left"/>
      <w:lvlText w:val="●"/>
      <w:numFmt w:val="bullet"/>
      <w:start w:val="1"/>
    </w:lvl>
  </w:abstractNum>
  <w:abstractNum w:abstractNumId="3">
    <w:nsid w:val="2EB141F2"/>
    <w:multiLevelType w:val="hybridMultilevel"/>
    <w:lvl w:ilvl="0">
      <w:lvlJc w:val="left"/>
      <w:lvlText w:val="●"/>
      <w:numFmt w:val="bullet"/>
      <w:start w:val="1"/>
    </w:lvl>
  </w:abstractNum>
  <w:abstractNum w:abstractNumId="4">
    <w:nsid w:val="41B71EFB"/>
    <w:multiLevelType w:val="hybridMultilevel"/>
    <w:lvl w:ilvl="0">
      <w:lvlJc w:val="left"/>
      <w:lvlText w:val="●"/>
      <w:numFmt w:val="bullet"/>
      <w:start w:val="1"/>
    </w:lvl>
  </w:abstractNum>
  <w:abstractNum w:abstractNumId="5">
    <w:nsid w:val="79E2A9E3"/>
    <w:multiLevelType w:val="hybridMultilevel"/>
    <w:lvl w:ilvl="0">
      <w:lvlJc w:val="left"/>
      <w:lvlText w:val="(%1)"/>
      <w:numFmt w:val="decimal"/>
      <w:start w:val="4"/>
    </w:lvl>
  </w:abstractNum>
  <w:abstractNum w:abstractNumId="6">
    <w:nsid w:val="7545E146"/>
    <w:multiLevelType w:val="hybridMultilevel"/>
    <w:lvl w:ilvl="0">
      <w:lvlJc w:val="left"/>
      <w:lvlText w:val="(%1)"/>
      <w:numFmt w:val="decimal"/>
      <w:start w:val="4"/>
    </w:lvl>
  </w:abstractNum>
  <w:abstractNum w:abstractNumId="7">
    <w:nsid w:val="515F007C"/>
    <w:multiLevelType w:val="hybridMultilevel"/>
    <w:lvl w:ilvl="0">
      <w:lvlJc w:val="left"/>
      <w:lvlText w:val="(%1)"/>
      <w:numFmt w:val="lowerLetter"/>
      <w:start w:val="1"/>
    </w:lvl>
  </w:abstractNum>
  <w:abstractNum w:abstractNumId="8">
    <w:nsid w:val="5BD062C2"/>
    <w:multiLevelType w:val="hybridMultilevel"/>
    <w:lvl w:ilvl="0">
      <w:lvlJc w:val="left"/>
      <w:lvlText w:val="(%1)"/>
      <w:numFmt w:val="lowerLetter"/>
      <w:start w:val="3"/>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2020-12-22T05:03:01Z</dcterms:created>
  <dcterms:modified xsi:type="dcterms:W3CDTF">2020-12-22T05:03:01Z</dcterms:modified>
</cp:coreProperties>
</file>