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April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31" w:lineRule="exact"/>
        <w:rPr>
          <w:sz w:val="24"/>
          <w:szCs w:val="24"/>
          <w:color w:val="auto"/>
        </w:rPr>
      </w:pPr>
    </w:p>
    <w:p>
      <w:pPr>
        <w:sectPr>
          <w:pgSz w:w="11900" w:h="16838" w:orient="portrait"/>
          <w:cols w:equalWidth="0" w:num="3">
            <w:col w:w="4520" w:space="720"/>
            <w:col w:w="2860" w:space="720"/>
            <w:col w:w="2040"/>
          </w:cols>
          <w:pgMar w:left="440" w:top="476" w:right="59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160"/>
          </w:cols>
          <w:pgMar w:left="440" w:top="476" w:right="599" w:bottom="1440" w:gutter="0" w:footer="0" w:header="0"/>
          <w:type w:val="continuous"/>
        </w:sectPr>
      </w:pP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0" w:lineRule="exact"/>
        <w:rPr>
          <w:sz w:val="24"/>
          <w:szCs w:val="24"/>
          <w:color w:val="auto"/>
        </w:rPr>
      </w:pPr>
    </w:p>
    <w:p>
      <w:pPr>
        <w:spacing w:after="0" w:line="25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24, 2019, we held the annual meeting of shareholders of Calavo Growers, Inc. at 15765 W. Telegraph Road, Santa Paula,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93060. At the meeting, the holders of our outstanding common stock acted on the following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The shareholders voted and elected the following 13 directors, each to serve for a term of one year. Each nominee received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votes:</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Votes</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Votes</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5140" w:type="dxa"/>
            <w:vAlign w:val="bottom"/>
            <w:gridSpan w:val="3"/>
            <w:vMerge w:val="continue"/>
          </w:tcPr>
          <w:p>
            <w:pPr>
              <w:spacing w:after="0"/>
              <w:rPr>
                <w:sz w:val="15"/>
                <w:szCs w:val="15"/>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For</w:t>
            </w:r>
          </w:p>
        </w:tc>
        <w:tc>
          <w:tcPr>
            <w:tcW w:w="11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8"/>
              </w:rPr>
              <w:t>Withheld</w:t>
            </w:r>
          </w:p>
        </w:tc>
        <w:tc>
          <w:tcPr>
            <w:tcW w:w="8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Lecil E. Cole</w:t>
            </w:r>
          </w:p>
        </w:tc>
        <w:tc>
          <w:tcPr>
            <w:tcW w:w="40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14,715,908</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3,153,720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2,153,659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10,712,182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1,531,124</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7,740,152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4,703,185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Marc L. Brown</w:t>
            </w:r>
          </w:p>
        </w:tc>
        <w:tc>
          <w:tcPr>
            <w:tcW w:w="880" w:type="dxa"/>
            <w:vAlign w:val="bottom"/>
          </w:tcPr>
          <w:p>
            <w:pPr>
              <w:jc w:val="right"/>
              <w:spacing w:after="0"/>
              <w:rPr>
                <w:sz w:val="20"/>
                <w:szCs w:val="20"/>
                <w:color w:val="auto"/>
              </w:rPr>
            </w:pPr>
            <w:r>
              <w:rPr>
                <w:rFonts w:ascii="Arial" w:cs="Arial" w:eastAsia="Arial" w:hAnsi="Arial"/>
                <w:sz w:val="18"/>
                <w:szCs w:val="18"/>
                <w:color w:val="auto"/>
              </w:rPr>
              <w:t>7,601,786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4,761,770</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10,733,718</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1,486,838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Scott Van Der Kar</w:t>
            </w:r>
          </w:p>
        </w:tc>
        <w:tc>
          <w:tcPr>
            <w:tcW w:w="880" w:type="dxa"/>
            <w:vAlign w:val="bottom"/>
          </w:tcPr>
          <w:p>
            <w:pPr>
              <w:jc w:val="right"/>
              <w:spacing w:after="0"/>
              <w:rPr>
                <w:sz w:val="20"/>
                <w:szCs w:val="20"/>
                <w:color w:val="auto"/>
              </w:rPr>
            </w:pPr>
            <w:r>
              <w:rPr>
                <w:rFonts w:ascii="Arial" w:cs="Arial" w:eastAsia="Arial" w:hAnsi="Arial"/>
                <w:sz w:val="18"/>
                <w:szCs w:val="18"/>
                <w:color w:val="auto"/>
              </w:rPr>
              <w:t>9,184,418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4,709,615</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10,379,686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4,749,165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880" w:type="dxa"/>
            <w:vAlign w:val="bottom"/>
          </w:tcPr>
          <w:p>
            <w:pPr>
              <w:jc w:val="right"/>
              <w:spacing w:after="0"/>
              <w:rPr>
                <w:sz w:val="20"/>
                <w:szCs w:val="20"/>
                <w:color w:val="auto"/>
              </w:rPr>
            </w:pPr>
            <w:r>
              <w:rPr>
                <w:rFonts w:ascii="Arial" w:cs="Arial" w:eastAsia="Arial" w:hAnsi="Arial"/>
                <w:sz w:val="18"/>
                <w:szCs w:val="18"/>
                <w:color w:val="auto"/>
              </w:rPr>
              <w:t>9,110,750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3,221,983</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10,368,355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2,251,951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10,059,937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2,509,071</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Edwards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9,161,103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6,387,947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12,314,495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181,011</w:t>
            </w:r>
          </w:p>
        </w:tc>
        <w:tc>
          <w:tcPr>
            <w:tcW w:w="38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Holmgren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12,098,334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2,153,659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shareholders voted for the ratification of the appointment of Deloitte &amp; Touche LLP as our independent accountants for fiscal 2019. Votes cast were as follows:</w:t>
      </w:r>
    </w:p>
    <w:p>
      <w:pPr>
        <w:spacing w:after="0" w:line="212" w:lineRule="exact"/>
        <w:rPr>
          <w:sz w:val="20"/>
          <w:szCs w:val="20"/>
          <w:color w:val="auto"/>
        </w:rPr>
      </w:pPr>
    </w:p>
    <w:tbl>
      <w:tblPr>
        <w:tblLayout w:type="fixed"/>
        <w:tblInd w:w="3640" w:type="dxa"/>
        <w:tblCellMar>
          <w:top w:w="0" w:type="dxa"/>
          <w:left w:w="0" w:type="dxa"/>
          <w:bottom w:w="0" w:type="dxa"/>
          <w:right w:w="0" w:type="dxa"/>
        </w:tblCellMar>
      </w:tblP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15,452,440</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Against</w:t>
            </w:r>
          </w:p>
        </w:tc>
        <w:tc>
          <w:tcPr>
            <w:tcW w:w="2020" w:type="dxa"/>
            <w:vAlign w:val="bottom"/>
          </w:tcPr>
          <w:p>
            <w:pPr>
              <w:jc w:val="right"/>
              <w:spacing w:after="0"/>
              <w:rPr>
                <w:sz w:val="20"/>
                <w:szCs w:val="20"/>
                <w:color w:val="auto"/>
              </w:rPr>
            </w:pPr>
            <w:r>
              <w:rPr>
                <w:rFonts w:ascii="Arial" w:cs="Arial" w:eastAsia="Arial" w:hAnsi="Arial"/>
                <w:sz w:val="18"/>
                <w:szCs w:val="18"/>
                <w:color w:val="auto"/>
              </w:rPr>
              <w:t>69,242</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w:t>
            </w:r>
          </w:p>
        </w:tc>
      </w:tr>
    </w:tbl>
    <w:p>
      <w:pPr>
        <w:spacing w:after="0" w:line="202" w:lineRule="exact"/>
        <w:rPr>
          <w:sz w:val="20"/>
          <w:szCs w:val="20"/>
          <w:color w:val="auto"/>
        </w:rPr>
      </w:pPr>
    </w:p>
    <w:p>
      <w:pPr>
        <w:ind w:right="340" w:firstLine="4"/>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shareholders voted on an advisory basis to approve the compensation of the executive officers of Calavo Growers, Inc. as disclosed in the company’s 2019 proxy statement. Votes cast were as follows:</w:t>
      </w:r>
    </w:p>
    <w:p>
      <w:pPr>
        <w:spacing w:after="0" w:line="212" w:lineRule="exact"/>
        <w:rPr>
          <w:sz w:val="20"/>
          <w:szCs w:val="20"/>
          <w:color w:val="auto"/>
        </w:rPr>
      </w:pPr>
    </w:p>
    <w:tbl>
      <w:tblPr>
        <w:tblLayout w:type="fixed"/>
        <w:tblInd w:w="3640" w:type="dxa"/>
        <w:tblCellMar>
          <w:top w:w="0" w:type="dxa"/>
          <w:left w:w="0" w:type="dxa"/>
          <w:bottom w:w="0" w:type="dxa"/>
          <w:right w:w="0" w:type="dxa"/>
        </w:tblCellMar>
      </w:tblP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12,697,759</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Against</w:t>
            </w:r>
          </w:p>
        </w:tc>
        <w:tc>
          <w:tcPr>
            <w:tcW w:w="2160" w:type="dxa"/>
            <w:vAlign w:val="bottom"/>
          </w:tcPr>
          <w:p>
            <w:pPr>
              <w:jc w:val="right"/>
              <w:spacing w:after="0"/>
              <w:rPr>
                <w:sz w:val="20"/>
                <w:szCs w:val="20"/>
                <w:color w:val="auto"/>
              </w:rPr>
            </w:pPr>
            <w:r>
              <w:rPr>
                <w:rFonts w:ascii="Arial" w:cs="Arial" w:eastAsia="Arial" w:hAnsi="Arial"/>
                <w:sz w:val="18"/>
                <w:szCs w:val="18"/>
                <w:color w:val="auto"/>
              </w:rPr>
              <w:t>631,277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Broker Non-Votes</w:t>
            </w:r>
          </w:p>
        </w:tc>
        <w:tc>
          <w:tcPr>
            <w:tcW w:w="2160" w:type="dxa"/>
            <w:vAlign w:val="bottom"/>
          </w:tcPr>
          <w:p>
            <w:pPr>
              <w:jc w:val="right"/>
              <w:spacing w:after="0"/>
              <w:rPr>
                <w:sz w:val="20"/>
                <w:szCs w:val="20"/>
                <w:color w:val="auto"/>
              </w:rPr>
            </w:pPr>
            <w:r>
              <w:rPr>
                <w:rFonts w:ascii="Arial" w:cs="Arial" w:eastAsia="Arial" w:hAnsi="Arial"/>
                <w:sz w:val="18"/>
                <w:szCs w:val="18"/>
                <w:color w:val="auto"/>
              </w:rPr>
              <w:t>2,153,659</w:t>
            </w:r>
          </w:p>
        </w:tc>
      </w:tr>
      <w:tr>
        <w:trPr>
          <w:trHeight w:val="593"/>
        </w:trPr>
        <w:tc>
          <w:tcPr>
            <w:tcW w:w="1580" w:type="dxa"/>
            <w:vAlign w:val="bottom"/>
          </w:tcPr>
          <w:p>
            <w:pPr>
              <w:spacing w:after="0"/>
              <w:rPr>
                <w:sz w:val="24"/>
                <w:szCs w:val="24"/>
                <w:color w:val="auto"/>
              </w:rPr>
            </w:pPr>
          </w:p>
        </w:tc>
        <w:tc>
          <w:tcPr>
            <w:tcW w:w="2160" w:type="dxa"/>
            <w:vAlign w:val="bottom"/>
          </w:tcPr>
          <w:p>
            <w:pPr>
              <w:jc w:val="right"/>
              <w:ind w:right="17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840"/>
          </w:cols>
          <w:pgMar w:left="440" w:top="270"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Lecil E. Cole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-130810</wp:posOffset>
            </wp:positionV>
            <wp:extent cx="2727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Executive Officer)</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2019-12-03T04:56:18Z</dcterms:created>
  <dcterms:modified xsi:type="dcterms:W3CDTF">2019-12-03T04:56:18Z</dcterms:modified>
</cp:coreProperties>
</file>