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11, 2020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7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4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right="519"/>
        <w:spacing w:after="0" w:line="267" w:lineRule="auto"/>
        <w:rPr>
          <w:sz w:val="20"/>
          <w:szCs w:val="20"/>
          <w:color w:val="auto"/>
        </w:rPr>
      </w:pPr>
      <w:r>
        <w:rPr>
          <w:rFonts w:ascii="Arial" w:cs="Arial" w:eastAsia="Arial" w:hAnsi="Arial"/>
          <w:sz w:val="20"/>
          <w:szCs w:val="20"/>
          <w:b w:val="1"/>
          <w:bCs w:val="1"/>
          <w:color w:val="auto"/>
        </w:rPr>
        <w:t xml:space="preserve">Item 5.02 </w:t>
      </w:r>
      <w:r>
        <w:rPr>
          <w:rFonts w:ascii="Arial" w:cs="Arial" w:eastAsia="Arial" w:hAnsi="Arial"/>
          <w:sz w:val="20"/>
          <w:szCs w:val="20"/>
          <w:b w:val="1"/>
          <w:bCs w:val="1"/>
          <w:color w:val="212529"/>
        </w:rPr>
        <w:t>Departure of Directors or Certain Officers; Election of Directors; Appointment of Certain</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12529"/>
        </w:rPr>
        <w:t>Officers; Compensatory Arrangements of Certain Officers.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20"/>
          <w:szCs w:val="20"/>
          <w:color w:val="auto"/>
        </w:rPr>
        <w:t>On May 11, 2020, Calavo Growers, Inc. (“Calavo”) issued a press release announcing the appointment of Kevin Manion, age 61, as Chief Financial Officer. Calavo and Kevin Manion have entered into an Employment Agreement dated as of May 2, 2020 (the “Employment Agreement”). Pursuant to the Employment Agreement, which was approved by Calavo’s Compensation Committee and Board of Directors, Mr. Manion will serve as Calavo’s Chief Financial Officer effective May 11, 2020. Mr. Manion will report to Calavo’s Chief Executive Officer James Gibson.</w:t>
      </w:r>
    </w:p>
    <w:p>
      <w:pPr>
        <w:spacing w:after="0" w:line="19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8"/>
          <w:szCs w:val="18"/>
          <w:color w:val="auto"/>
        </w:rPr>
        <w:t>Mr. Manion succeeds John Lindeman, who resigned as Calavo’s Chief Financial Officer on March 11, 2020. Mr. Manion held financial leadership positions with companies including Century Snacks (producer and distributor of nuts, trail mixes, dried fruits and other snacks), Young’s Market Company (wholesaler and distributor of wine and spirits), Bolthouse Farms (provider of fresh, healthy and nutritious produce and beverages), Hostess Brands, Nestle USA and Kraft General Foods. In these roles, he supported revenue growth, efficiency and profitability initiatives, inventory management, treasury and capital markets activities, mergers and acquisitions, strategic and financial planning and investor relations. Mr. Manion began his career in public accounting at Arthur Andersen &amp; Co. He also served as the lead director of Fresh Food Group, a leading provider of fresh-cut fruit, apple slices, vegetables and snacking solutions.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The following are the material terms of the Employment Agreement:</w:t>
      </w:r>
    </w:p>
    <w:p>
      <w:pPr>
        <w:spacing w:after="0" w:line="216" w:lineRule="exact"/>
        <w:rPr>
          <w:sz w:val="20"/>
          <w:szCs w:val="20"/>
          <w:color w:val="auto"/>
        </w:rPr>
      </w:pPr>
    </w:p>
    <w:p>
      <w:pPr>
        <w:ind w:left="1040" w:right="199" w:hanging="315"/>
        <w:spacing w:after="0" w:line="260" w:lineRule="auto"/>
        <w:tabs>
          <w:tab w:leader="none" w:pos="1040" w:val="left"/>
        </w:tabs>
        <w:numPr>
          <w:ilvl w:val="0"/>
          <w:numId w:val="2"/>
        </w:numPr>
        <w:rPr>
          <w:rFonts w:ascii="Arial" w:cs="Arial" w:eastAsia="Arial" w:hAnsi="Arial"/>
          <w:sz w:val="20"/>
          <w:szCs w:val="20"/>
          <w:color w:val="auto"/>
        </w:rPr>
      </w:pPr>
      <w:r>
        <w:rPr>
          <w:rFonts w:ascii="Arial" w:cs="Arial" w:eastAsia="Arial" w:hAnsi="Arial"/>
          <w:sz w:val="20"/>
          <w:szCs w:val="20"/>
          <w:color w:val="auto"/>
        </w:rPr>
        <w:t>Mr. Manion will receive an annual base salary of $450,000, which is subject to being increased on an annual basis at the discretion of Calavo’s Compensation Committee.</w:t>
      </w:r>
    </w:p>
    <w:p>
      <w:pPr>
        <w:spacing w:after="0" w:line="190" w:lineRule="exact"/>
        <w:rPr>
          <w:rFonts w:ascii="Arial" w:cs="Arial" w:eastAsia="Arial" w:hAnsi="Arial"/>
          <w:sz w:val="20"/>
          <w:szCs w:val="20"/>
          <w:color w:val="auto"/>
        </w:rPr>
      </w:pPr>
    </w:p>
    <w:p>
      <w:pPr>
        <w:ind w:left="1040" w:right="219" w:hanging="315"/>
        <w:spacing w:after="0" w:line="276"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each of Calavo’s fiscal years beginning with the 2020 fiscal year, Mr. Manion will be eligible to receive a performance bonus pursuant to Calavo’s Management Incentive Plan in accordance with performance targets, thresholds and requirements to be established by Calavo’s Compensation Committee for Calavo’s executive officers. In addition, with respect to each fiscal year, the Compensation Committee may elect to award a discretionary bonus. The annual bonus for fiscal year 2020 shall be based upon the Calavo’s full fiscal year (not prorated).</w:t>
      </w:r>
    </w:p>
    <w:p>
      <w:pPr>
        <w:spacing w:after="0" w:line="178"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2"/>
        </w:numPr>
        <w:rPr>
          <w:rFonts w:ascii="Arial" w:cs="Arial" w:eastAsia="Arial" w:hAnsi="Arial"/>
          <w:sz w:val="20"/>
          <w:szCs w:val="20"/>
          <w:color w:val="auto"/>
        </w:rPr>
      </w:pPr>
      <w:r>
        <w:rPr>
          <w:rFonts w:ascii="Arial" w:cs="Arial" w:eastAsia="Arial" w:hAnsi="Arial"/>
          <w:sz w:val="20"/>
          <w:szCs w:val="20"/>
          <w:color w:val="auto"/>
        </w:rPr>
        <w:t>Mr. Manion will receive a signing bonus of $200,000 in cash, $100,000 of which is payable upon commencement of the term of employment and $100,000 of which is payable as the end of fiscal 2020, provided that the Mr. Manion has not terminated his employment without good cause or been terminated for cause.</w:t>
      </w:r>
    </w:p>
    <w:p>
      <w:pPr>
        <w:spacing w:after="0" w:line="204" w:lineRule="exact"/>
        <w:rPr>
          <w:rFonts w:ascii="Arial" w:cs="Arial" w:eastAsia="Arial" w:hAnsi="Arial"/>
          <w:sz w:val="20"/>
          <w:szCs w:val="20"/>
          <w:color w:val="auto"/>
        </w:rPr>
      </w:pPr>
    </w:p>
    <w:p>
      <w:pPr>
        <w:ind w:left="1040" w:right="79" w:hanging="315"/>
        <w:spacing w:after="0" w:line="291"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Manion will also receive a signing bonus of restricted shares of Calavo common stock having a value of $300,000, with such shares to vest in three equal annual installments subject to the requirement that Mr. Manion must remain in Calavo’s employment at time of vesting.</w:t>
      </w:r>
    </w:p>
    <w:p>
      <w:pPr>
        <w:spacing w:after="0" w:line="165" w:lineRule="exact"/>
        <w:rPr>
          <w:rFonts w:ascii="Arial" w:cs="Arial" w:eastAsia="Arial" w:hAnsi="Arial"/>
          <w:sz w:val="18"/>
          <w:szCs w:val="18"/>
          <w:color w:val="auto"/>
        </w:rPr>
      </w:pPr>
    </w:p>
    <w:p>
      <w:pPr>
        <w:ind w:left="1040" w:right="519" w:hanging="315"/>
        <w:spacing w:after="0" w:line="275"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Calavo terminates Mr. Manion’s employment without cause or if Mr. Manion terminates his employment for good reason, as such terms are defined in the Employment Agreement,</w:t>
      </w:r>
    </w:p>
    <w:p>
      <w:pPr>
        <w:jc w:val="both"/>
        <w:ind w:left="1040" w:right="79"/>
        <w:spacing w:after="0" w:line="241" w:lineRule="auto"/>
        <w:rPr>
          <w:rFonts w:ascii="Arial" w:cs="Arial" w:eastAsia="Arial" w:hAnsi="Arial"/>
          <w:sz w:val="18"/>
          <w:szCs w:val="18"/>
          <w:color w:val="auto"/>
        </w:rPr>
      </w:pPr>
      <w:r>
        <w:rPr>
          <w:rFonts w:ascii="Arial" w:cs="Arial" w:eastAsia="Arial" w:hAnsi="Arial"/>
          <w:sz w:val="20"/>
          <w:szCs w:val="20"/>
          <w:color w:val="auto"/>
        </w:rPr>
        <w:t>Mr. Manion’s restricted shares will vest and Mr. Manion will be entitled to receive one year of base salary and a pro rata portion of his annual performance bonus for the year in which his employment terminates.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ind w:left="60" w:right="199" w:firstLine="648"/>
        <w:spacing w:after="0" w:line="244" w:lineRule="auto"/>
        <w:rPr>
          <w:sz w:val="20"/>
          <w:szCs w:val="20"/>
          <w:color w:val="auto"/>
        </w:rPr>
      </w:pPr>
      <w:r>
        <w:rPr>
          <w:rFonts w:ascii="Arial" w:cs="Arial" w:eastAsia="Arial" w:hAnsi="Arial"/>
          <w:sz w:val="20"/>
          <w:szCs w:val="20"/>
          <w:color w:val="auto"/>
        </w:rPr>
        <w:t>The preceding summary of the Employment Agreement does not purport to be complete and is subject to and qualified in its entirety by the complete text of the Employment Agreement, which is filed as Exhibit 10.1 to this Current Report on Form 8-K and which is incorporated by reference into this Item 5.02. A copy of the press release announcing the appointment of Mr. Manion is attached hereto as Exhibit 99.1 and is incorporated by reference into this Item 5.02.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 xml:space="preserve">Item 9.01. </w:t>
      </w:r>
      <w:r>
        <w:rPr>
          <w:rFonts w:ascii="Arial" w:cs="Arial" w:eastAsia="Arial" w:hAnsi="Arial"/>
          <w:sz w:val="20"/>
          <w:szCs w:val="20"/>
          <w:b w:val="1"/>
          <w:bCs w:val="1"/>
          <w:color w:val="212529"/>
        </w:rPr>
        <w:t>Financial</w:t>
      </w:r>
      <w:r>
        <w:rPr>
          <w:rFonts w:ascii="Arial" w:cs="Arial" w:eastAsia="Arial" w:hAnsi="Arial"/>
          <w:sz w:val="20"/>
          <w:szCs w:val="20"/>
          <w:b w:val="1"/>
          <w:bCs w:val="1"/>
          <w:color w:val="auto"/>
        </w:rPr>
        <w:t xml:space="preserve"> Statements and Exhibits.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ind w:left="140"/>
        <w:spacing w:after="0"/>
        <w:tabs>
          <w:tab w:leader="none" w:pos="800" w:val="left"/>
        </w:tabs>
        <w:rPr>
          <w:rFonts w:ascii="Arial" w:cs="Arial" w:eastAsia="Arial" w:hAnsi="Arial"/>
          <w:sz w:val="16"/>
          <w:szCs w:val="16"/>
          <w:u w:val="single" w:color="auto"/>
          <w:color w:val="0000EE"/>
        </w:rPr>
      </w:pPr>
      <w:r>
        <w:rPr>
          <w:rFonts w:ascii="Arial" w:cs="Arial" w:eastAsia="Arial" w:hAnsi="Arial"/>
          <w:sz w:val="20"/>
          <w:szCs w:val="20"/>
          <w:color w:val="auto"/>
        </w:rPr>
        <w:t>10.1</w:t>
      </w:r>
      <w:r>
        <w:rPr>
          <w:sz w:val="20"/>
          <w:szCs w:val="20"/>
          <w:color w:val="auto"/>
        </w:rPr>
        <w:tab/>
      </w:r>
      <w:hyperlink w:anchor="page5">
        <w:r>
          <w:rPr>
            <w:rFonts w:ascii="Arial" w:cs="Arial" w:eastAsia="Arial" w:hAnsi="Arial"/>
            <w:sz w:val="16"/>
            <w:szCs w:val="16"/>
            <w:u w:val="single" w:color="auto"/>
            <w:color w:val="0000EE"/>
          </w:rPr>
          <w:t>Employment agreement dated May 2, 2020</w:t>
        </w:r>
      </w:hyperlink>
    </w:p>
    <w:p>
      <w:pPr>
        <w:spacing w:after="0" w:line="229" w:lineRule="exact"/>
        <w:rPr>
          <w:sz w:val="20"/>
          <w:szCs w:val="20"/>
          <w:color w:val="auto"/>
        </w:rPr>
      </w:pPr>
    </w:p>
    <w:p>
      <w:pPr>
        <w:ind w:left="140"/>
        <w:spacing w:after="0"/>
        <w:tabs>
          <w:tab w:leader="none" w:pos="800" w:val="left"/>
        </w:tabs>
        <w:rPr>
          <w:rFonts w:ascii="Arial" w:cs="Arial" w:eastAsia="Arial" w:hAnsi="Arial"/>
          <w:sz w:val="16"/>
          <w:szCs w:val="16"/>
          <w:u w:val="single" w:color="auto"/>
          <w:color w:val="0000EE"/>
        </w:rPr>
      </w:pPr>
      <w:r>
        <w:rPr>
          <w:rFonts w:ascii="Arial" w:cs="Arial" w:eastAsia="Arial" w:hAnsi="Arial"/>
          <w:sz w:val="20"/>
          <w:szCs w:val="20"/>
          <w:color w:val="auto"/>
        </w:rPr>
        <w:t>99.1</w:t>
      </w:r>
      <w:r>
        <w:rPr>
          <w:sz w:val="20"/>
          <w:szCs w:val="20"/>
          <w:color w:val="auto"/>
        </w:rPr>
        <w:tab/>
      </w:r>
      <w:hyperlink w:anchor="page18">
        <w:r>
          <w:rPr>
            <w:rFonts w:ascii="Arial" w:cs="Arial" w:eastAsia="Arial" w:hAnsi="Arial"/>
            <w:sz w:val="16"/>
            <w:szCs w:val="16"/>
            <w:u w:val="single" w:color="auto"/>
            <w:color w:val="0000EE"/>
          </w:rPr>
          <w:t>Press release dated May 11, 2020 of the Registrant.</w:t>
        </w:r>
      </w:hyperlink>
    </w:p>
    <w:p>
      <w:pPr>
        <w:spacing w:after="0" w:line="229"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left="60" w:right="379"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Calavo Growers,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May 11, 2020</w:t>
      </w:r>
    </w:p>
    <w:p>
      <w:pPr>
        <w:ind w:left="4500"/>
        <w:spacing w:after="0"/>
        <w:rPr>
          <w:sz w:val="20"/>
          <w:szCs w:val="20"/>
          <w:color w:val="auto"/>
        </w:rPr>
      </w:pPr>
      <w:r>
        <w:rPr>
          <w:rFonts w:ascii="Arial" w:cs="Arial" w:eastAsia="Arial" w:hAnsi="Arial"/>
          <w:sz w:val="20"/>
          <w:szCs w:val="20"/>
          <w:color w:val="auto"/>
        </w:rPr>
        <w:t>By:/s/ James Gibson</w:t>
      </w:r>
    </w:p>
    <w:p>
      <w:pPr>
        <w:ind w:left="4500"/>
        <w:spacing w:after="0"/>
        <w:rPr>
          <w:sz w:val="20"/>
          <w:szCs w:val="20"/>
          <w:color w:val="auto"/>
        </w:rPr>
      </w:pPr>
      <w:r>
        <w:rPr>
          <w:rFonts w:ascii="Arial" w:cs="Arial" w:eastAsia="Arial" w:hAnsi="Arial"/>
          <w:sz w:val="20"/>
          <w:szCs w:val="20"/>
          <w:color w:val="auto"/>
        </w:rPr>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-144780</wp:posOffset>
            </wp:positionV>
            <wp:extent cx="262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Chief Executive Officer</w:t>
      </w:r>
    </w:p>
    <w:p>
      <w:pPr>
        <w:ind w:left="450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76" w:lineRule="exact"/>
        <w:rPr>
          <w:sz w:val="20"/>
          <w:szCs w:val="20"/>
          <w:color w:val="auto"/>
        </w:rPr>
      </w:pPr>
    </w:p>
    <w:p>
      <w:pPr>
        <w:ind w:right="580" w:firstLine="648"/>
        <w:spacing w:after="0" w:line="334"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entered into as of May 2, 2020, by and between Calavo Growers, Inc., a California corporation (the "</w:t>
      </w:r>
      <w:r>
        <w:rPr>
          <w:rFonts w:ascii="Arial" w:cs="Arial" w:eastAsia="Arial" w:hAnsi="Arial"/>
          <w:sz w:val="19"/>
          <w:szCs w:val="19"/>
          <w:b w:val="1"/>
          <w:bCs w:val="1"/>
          <w:u w:val="single" w:color="auto"/>
          <w:color w:val="auto"/>
        </w:rPr>
        <w:t>Employer</w:t>
      </w:r>
      <w:r>
        <w:rPr>
          <w:rFonts w:ascii="Arial" w:cs="Arial" w:eastAsia="Arial" w:hAnsi="Arial"/>
          <w:sz w:val="19"/>
          <w:szCs w:val="19"/>
          <w:color w:val="auto"/>
        </w:rPr>
        <w:t>"), and Kevin Manion (the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w:t>
      </w:r>
    </w:p>
    <w:p>
      <w:pPr>
        <w:spacing w:after="0" w:line="239" w:lineRule="exact"/>
        <w:rPr>
          <w:sz w:val="20"/>
          <w:szCs w:val="20"/>
          <w:color w:val="auto"/>
        </w:rPr>
      </w:pPr>
    </w:p>
    <w:p>
      <w:pPr>
        <w:ind w:right="820" w:firstLine="648"/>
        <w:spacing w:after="0" w:line="328" w:lineRule="auto"/>
        <w:rPr>
          <w:sz w:val="20"/>
          <w:szCs w:val="20"/>
          <w:color w:val="auto"/>
        </w:rPr>
      </w:pPr>
      <w:r>
        <w:rPr>
          <w:rFonts w:ascii="Arial" w:cs="Arial" w:eastAsia="Arial" w:hAnsi="Arial"/>
          <w:sz w:val="19"/>
          <w:szCs w:val="19"/>
          <w:color w:val="auto"/>
        </w:rPr>
        <w:t>The Employer desires to employ the Employee as the Employer's Chief Financial Officer, and the Employee desires to accept such employment, upon the terms set forth in this Agreement.</w:t>
      </w:r>
    </w:p>
    <w:p>
      <w:pPr>
        <w:spacing w:after="0" w:line="132"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NOW, THEREFORE, in consideration of the foregoing and other good and valuable consideration, the receipt and sufficiency of which hereby are acknowledged, the Employer and the Employee hereby agree as follows:</w:t>
      </w:r>
    </w:p>
    <w:p>
      <w:pPr>
        <w:spacing w:after="0" w:line="207" w:lineRule="exact"/>
        <w:rPr>
          <w:sz w:val="20"/>
          <w:szCs w:val="20"/>
          <w:color w:val="auto"/>
        </w:rPr>
      </w:pPr>
    </w:p>
    <w:p>
      <w:pPr>
        <w:ind w:left="1480" w:hanging="694"/>
        <w:spacing w:after="0"/>
        <w:tabs>
          <w:tab w:leader="none" w:pos="14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right="100" w:firstLine="1305"/>
        <w:spacing w:after="0" w:line="283" w:lineRule="auto"/>
        <w:tabs>
          <w:tab w:leader="none" w:pos="2034" w:val="left"/>
        </w:tabs>
        <w:numPr>
          <w:ilvl w:val="1"/>
          <w:numId w:val="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1(b) below, the Employer hereby employs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Employee, and the Employee hereby accepts employment with the Employer </w:t>
      </w:r>
      <w:r>
        <w:rPr>
          <w:rFonts w:ascii="Arial" w:cs="Arial" w:eastAsia="Arial" w:hAnsi="Arial"/>
          <w:sz w:val="19"/>
          <w:szCs w:val="19"/>
          <w:b w:val="1"/>
          <w:bCs w:val="1"/>
          <w:u w:val="single" w:color="auto"/>
          <w:color w:val="auto"/>
        </w:rPr>
        <w:t>("Employment")</w:t>
      </w:r>
      <w:r>
        <w:rPr>
          <w:rFonts w:ascii="Arial" w:cs="Arial" w:eastAsia="Arial" w:hAnsi="Arial"/>
          <w:sz w:val="19"/>
          <w:szCs w:val="19"/>
          <w:b w:val="1"/>
          <w:bCs w:val="1"/>
          <w:color w:val="auto"/>
        </w:rPr>
        <w:t>,</w:t>
      </w:r>
      <w:r>
        <w:rPr>
          <w:rFonts w:ascii="Arial" w:cs="Arial" w:eastAsia="Arial" w:hAnsi="Arial"/>
          <w:sz w:val="19"/>
          <w:szCs w:val="19"/>
          <w:color w:val="auto"/>
        </w:rPr>
        <w:t xml:space="preserve"> in accordance with the terms and conditions of this Agreement. The term of the Employee's Employment under this Agreement (the “</w:t>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 shall commence on May 11, 2020 (the “</w:t>
      </w:r>
      <w:r>
        <w:rPr>
          <w:rFonts w:ascii="Arial" w:cs="Arial" w:eastAsia="Arial" w:hAnsi="Arial"/>
          <w:sz w:val="19"/>
          <w:szCs w:val="19"/>
          <w:b w:val="1"/>
          <w:bCs w:val="1"/>
          <w:u w:val="single" w:color="auto"/>
          <w:color w:val="auto"/>
        </w:rPr>
        <w:t>Commencement Date</w:t>
      </w:r>
      <w:r>
        <w:rPr>
          <w:rFonts w:ascii="Arial" w:cs="Arial" w:eastAsia="Arial" w:hAnsi="Arial"/>
          <w:sz w:val="19"/>
          <w:szCs w:val="19"/>
          <w:color w:val="auto"/>
        </w:rPr>
        <w:t>”), and continue until terminated by the Employer or Employee as provided herein.</w:t>
      </w:r>
    </w:p>
    <w:p>
      <w:pPr>
        <w:spacing w:after="0" w:line="169" w:lineRule="exact"/>
        <w:rPr>
          <w:rFonts w:ascii="Arial" w:cs="Arial" w:eastAsia="Arial" w:hAnsi="Arial"/>
          <w:sz w:val="19"/>
          <w:szCs w:val="19"/>
          <w:b w:val="1"/>
          <w:bCs w:val="1"/>
          <w:color w:val="auto"/>
        </w:rPr>
      </w:pPr>
    </w:p>
    <w:p>
      <w:pPr>
        <w:ind w:right="40" w:firstLine="1305"/>
        <w:spacing w:after="0" w:line="235" w:lineRule="auto"/>
        <w:tabs>
          <w:tab w:leader="none" w:pos="2046"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 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the Employer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210" w:lineRule="exact"/>
        <w:rPr>
          <w:rFonts w:ascii="Arial" w:cs="Arial" w:eastAsia="Arial" w:hAnsi="Arial"/>
          <w:sz w:val="22"/>
          <w:szCs w:val="22"/>
          <w:b w:val="1"/>
          <w:bCs w:val="1"/>
          <w:color w:val="auto"/>
        </w:rPr>
      </w:pPr>
    </w:p>
    <w:p>
      <w:pPr>
        <w:ind w:left="1480" w:hanging="694"/>
        <w:spacing w:after="0"/>
        <w:tabs>
          <w:tab w:leader="none" w:pos="14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DUTIES, AUTHORITY AND EXCLUSIVITY OF SERVICES.</w:t>
      </w:r>
    </w:p>
    <w:p>
      <w:pPr>
        <w:spacing w:after="0" w:line="233" w:lineRule="exact"/>
        <w:rPr>
          <w:rFonts w:ascii="Arial" w:cs="Arial" w:eastAsia="Arial" w:hAnsi="Arial"/>
          <w:sz w:val="22"/>
          <w:szCs w:val="22"/>
          <w:b w:val="1"/>
          <w:bCs w:val="1"/>
          <w:color w:val="auto"/>
        </w:rPr>
      </w:pPr>
    </w:p>
    <w:p>
      <w:pPr>
        <w:ind w:right="340" w:firstLine="1305"/>
        <w:spacing w:after="0" w:line="334" w:lineRule="auto"/>
        <w:tabs>
          <w:tab w:leader="none" w:pos="2034" w:val="left"/>
        </w:tabs>
        <w:numPr>
          <w:ilvl w:val="1"/>
          <w:numId w:val="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serve as the Employer's</w:t>
      </w:r>
      <w:r>
        <w:rPr>
          <w:rFonts w:ascii="Arial" w:cs="Arial" w:eastAsia="Arial" w:hAnsi="Arial"/>
          <w:sz w:val="19"/>
          <w:szCs w:val="19"/>
          <w:b w:val="1"/>
          <w:bCs w:val="1"/>
          <w:color w:val="auto"/>
        </w:rPr>
        <w:t xml:space="preserve"> </w:t>
      </w:r>
      <w:r>
        <w:rPr>
          <w:rFonts w:ascii="Arial" w:cs="Arial" w:eastAsia="Arial" w:hAnsi="Arial"/>
          <w:sz w:val="19"/>
          <w:szCs w:val="19"/>
          <w:color w:val="auto"/>
        </w:rPr>
        <w:t>Chief Financial Officer (or such other title as the parties may mutually agree upon from time to time).</w:t>
      </w:r>
    </w:p>
    <w:p>
      <w:pPr>
        <w:spacing w:after="0" w:line="120" w:lineRule="exact"/>
        <w:rPr>
          <w:rFonts w:ascii="Arial" w:cs="Arial" w:eastAsia="Arial" w:hAnsi="Arial"/>
          <w:sz w:val="19"/>
          <w:szCs w:val="19"/>
          <w:b w:val="1"/>
          <w:bCs w:val="1"/>
          <w:color w:val="auto"/>
        </w:rPr>
      </w:pPr>
    </w:p>
    <w:p>
      <w:pPr>
        <w:ind w:right="560" w:firstLine="1305"/>
        <w:spacing w:after="0" w:line="243" w:lineRule="auto"/>
        <w:tabs>
          <w:tab w:leader="none" w:pos="2046"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shall report on a day-to-day basis directly to,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supervision and direction of, the Employer's President and Chief Executive Officer (who is presently James E. Gibson).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5" w:name="page6"/>
    <w:bookmarkEnd w:id="5"/>
    <w:p>
      <w:pPr>
        <w:ind w:left="-20" w:right="20" w:firstLine="1305"/>
        <w:spacing w:after="0" w:line="246" w:lineRule="auto"/>
        <w:tabs>
          <w:tab w:leader="none" w:pos="2056" w:val="left"/>
        </w:tabs>
        <w:numPr>
          <w:ilvl w:val="1"/>
          <w:numId w:val="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Duties, Responsibilities and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Employee's duties, responsibilities and</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shall consist of the duties of Chief Financial Officer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or Chief Executive Officer may from time to time establish for the Employer's employees, including, without limitation, the Employer's Employee Handbook, Insider Trading Policy and Code of Business Conduct and Ethics.</w:t>
      </w:r>
    </w:p>
    <w:p>
      <w:pPr>
        <w:spacing w:after="0" w:line="202" w:lineRule="exact"/>
        <w:rPr>
          <w:rFonts w:ascii="Arial" w:cs="Arial" w:eastAsia="Arial" w:hAnsi="Arial"/>
          <w:sz w:val="21"/>
          <w:szCs w:val="21"/>
          <w:b w:val="1"/>
          <w:bCs w:val="1"/>
          <w:color w:val="auto"/>
        </w:rPr>
      </w:pPr>
    </w:p>
    <w:p>
      <w:pPr>
        <w:jc w:val="both"/>
        <w:ind w:left="-20" w:firstLine="1305"/>
        <w:spacing w:after="0" w:line="239" w:lineRule="auto"/>
        <w:tabs>
          <w:tab w:leader="none" w:pos="2026"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Principal Business Office.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restricting any requirement that the Employee engage</w:t>
      </w:r>
      <w:r>
        <w:rPr>
          <w:rFonts w:ascii="Arial" w:cs="Arial" w:eastAsia="Arial" w:hAnsi="Arial"/>
          <w:sz w:val="22"/>
          <w:szCs w:val="22"/>
          <w:b w:val="1"/>
          <w:bCs w:val="1"/>
          <w:color w:val="auto"/>
        </w:rPr>
        <w:t xml:space="preserve"> </w:t>
      </w:r>
      <w:r>
        <w:rPr>
          <w:rFonts w:ascii="Arial" w:cs="Arial" w:eastAsia="Arial" w:hAnsi="Arial"/>
          <w:sz w:val="22"/>
          <w:szCs w:val="22"/>
          <w:color w:val="auto"/>
        </w:rPr>
        <w:t>in reasonable business-related travel, the principal location in which the Employee shall be required to perform his duties and responsibilities shall be the Employer's Corporate Headquarters, which are presently located at 1141A Cummings Road, Santa Paula, California 93060.</w:t>
      </w:r>
    </w:p>
    <w:p>
      <w:pPr>
        <w:spacing w:after="0" w:line="207" w:lineRule="exact"/>
        <w:rPr>
          <w:rFonts w:ascii="Arial" w:cs="Arial" w:eastAsia="Arial" w:hAnsi="Arial"/>
          <w:sz w:val="22"/>
          <w:szCs w:val="22"/>
          <w:b w:val="1"/>
          <w:bCs w:val="1"/>
          <w:color w:val="auto"/>
        </w:rPr>
      </w:pPr>
    </w:p>
    <w:p>
      <w:pPr>
        <w:ind w:left="-20" w:right="40" w:firstLine="1305"/>
        <w:spacing w:after="0" w:line="245" w:lineRule="auto"/>
        <w:tabs>
          <w:tab w:leader="none" w:pos="2056" w:val="left"/>
        </w:tabs>
        <w:numPr>
          <w:ilvl w:val="1"/>
          <w:numId w:val="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Exclusivity of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 sick leave and other forms of leave that are permitted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Effective Date except that prior to the Commencement Date the Employee shall resign from service on the board of directors of Country Fresh, Inc. The Employee may serve on the board of directors of other for-profit entities with the prior written consent of the Employer's Board or Chief Executive Officer, which will not be unreasonably withheld.</w:t>
      </w:r>
    </w:p>
    <w:p>
      <w:pPr>
        <w:spacing w:after="0" w:line="200" w:lineRule="exact"/>
        <w:rPr>
          <w:rFonts w:ascii="Arial" w:cs="Arial" w:eastAsia="Arial" w:hAnsi="Arial"/>
          <w:sz w:val="21"/>
          <w:szCs w:val="21"/>
          <w:b w:val="1"/>
          <w:bCs w:val="1"/>
          <w:color w:val="auto"/>
        </w:rPr>
      </w:pPr>
    </w:p>
    <w:p>
      <w:pPr>
        <w:ind w:left="1460" w:hanging="694"/>
        <w:spacing w:after="0"/>
        <w:tabs>
          <w:tab w:leader="none" w:pos="1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left="-20" w:right="80" w:firstLine="1305"/>
        <w:spacing w:after="0" w:line="278" w:lineRule="auto"/>
        <w:tabs>
          <w:tab w:leader="none" w:pos="2014"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For services rendered during the Term of Employment, the Employer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pay the Employee an annual base salary at the initial rate of $450,000 per year, subject to review no less frequently than annually for potential increase or decrease, but not to decrease to below $450,000, in the discretion of the Employer’s Board or Compensation Committee,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28" w:right="999" w:bottom="1440" w:gutter="0" w:footer="0" w:header="0"/>
        </w:sectPr>
      </w:pPr>
    </w:p>
    <w:bookmarkStart w:id="6" w:name="page7"/>
    <w:bookmarkEnd w:id="6"/>
    <w:p>
      <w:pPr>
        <w:ind w:left="2060" w:hanging="755"/>
        <w:spacing w:after="0"/>
        <w:tabs>
          <w:tab w:leader="none" w:pos="20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p>
    <w:p>
      <w:pPr>
        <w:spacing w:after="0" w:line="239" w:lineRule="exact"/>
        <w:rPr>
          <w:rFonts w:ascii="Arial" w:cs="Arial" w:eastAsia="Arial" w:hAnsi="Arial"/>
          <w:sz w:val="22"/>
          <w:szCs w:val="22"/>
          <w:b w:val="1"/>
          <w:bCs w:val="1"/>
          <w:color w:val="auto"/>
        </w:rPr>
      </w:pPr>
    </w:p>
    <w:p>
      <w:pPr>
        <w:ind w:firstLine="1953"/>
        <w:spacing w:after="0" w:line="274" w:lineRule="auto"/>
        <w:tabs>
          <w:tab w:leader="none" w:pos="2661" w:val="left"/>
        </w:tabs>
        <w:numPr>
          <w:ilvl w:val="1"/>
          <w:numId w:val="6"/>
        </w:numPr>
        <w:rPr>
          <w:rFonts w:ascii="Arial" w:cs="Arial" w:eastAsia="Arial" w:hAnsi="Arial"/>
          <w:sz w:val="19"/>
          <w:szCs w:val="19"/>
          <w:color w:val="auto"/>
        </w:rPr>
      </w:pPr>
      <w:r>
        <w:rPr>
          <w:rFonts w:ascii="Arial" w:cs="Arial" w:eastAsia="Arial" w:hAnsi="Arial"/>
          <w:sz w:val="19"/>
          <w:szCs w:val="19"/>
          <w:color w:val="auto"/>
        </w:rPr>
        <w:t>With respect to each of the Employer's fiscal years during the Term of Employment beginning with the 2020 fiscal year, the Employee shall be eligible to receive an annual performance bonus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to be determined annually by the Employer's Compensation Committee in connection with its determination of performance based bonuses and performance targets, thresholds and requirements for other executive officers pursuant to the Employer's Management Incentive Plan ("</w:t>
      </w:r>
      <w:r>
        <w:rPr>
          <w:rFonts w:ascii="Arial" w:cs="Arial" w:eastAsia="Arial" w:hAnsi="Arial"/>
          <w:sz w:val="19"/>
          <w:szCs w:val="19"/>
          <w:b w:val="1"/>
          <w:bCs w:val="1"/>
          <w:u w:val="single" w:color="auto"/>
          <w:color w:val="auto"/>
        </w:rPr>
        <w:t>MIP</w:t>
      </w:r>
      <w:r>
        <w:rPr>
          <w:rFonts w:ascii="Arial" w:cs="Arial" w:eastAsia="Arial" w:hAnsi="Arial"/>
          <w:sz w:val="19"/>
          <w:szCs w:val="19"/>
          <w:color w:val="auto"/>
        </w:rPr>
        <w:t>"), as the MIP may be amended from time to time. In addition, with respect to each of the Employer's fiscal years during the Term of Employment beginning with the 2020 fiscal year (ending October 2020), the Compensation Committee may elect to award the Employee a discretionary bonus. The Employee’s Annual Bonus for fiscal year 2020 shall be based upon the Employer’s full fiscal year (not prorated).</w:t>
      </w:r>
    </w:p>
    <w:p>
      <w:pPr>
        <w:spacing w:after="0" w:line="185" w:lineRule="exact"/>
        <w:rPr>
          <w:rFonts w:ascii="Arial" w:cs="Arial" w:eastAsia="Arial" w:hAnsi="Arial"/>
          <w:sz w:val="19"/>
          <w:szCs w:val="19"/>
          <w:color w:val="auto"/>
        </w:rPr>
      </w:pPr>
    </w:p>
    <w:p>
      <w:pPr>
        <w:ind w:right="620" w:firstLine="1953"/>
        <w:spacing w:after="0" w:line="250" w:lineRule="auto"/>
        <w:tabs>
          <w:tab w:leader="none" w:pos="2694"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Employee acknowledges that the Compensation Committee may award bonuses to him in stock and/or cash.</w:t>
      </w:r>
    </w:p>
    <w:p>
      <w:pPr>
        <w:spacing w:after="0" w:line="195" w:lineRule="exact"/>
        <w:rPr>
          <w:rFonts w:ascii="Arial" w:cs="Arial" w:eastAsia="Arial" w:hAnsi="Arial"/>
          <w:sz w:val="22"/>
          <w:szCs w:val="22"/>
          <w:color w:val="auto"/>
        </w:rPr>
      </w:pPr>
    </w:p>
    <w:p>
      <w:pPr>
        <w:ind w:left="2080" w:hanging="775"/>
        <w:spacing w:after="0"/>
        <w:tabs>
          <w:tab w:leader="none" w:pos="20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left="2320" w:hanging="367"/>
        <w:spacing w:after="0"/>
        <w:tabs>
          <w:tab w:leader="none" w:pos="2320"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Employee shall be eligible to receive a signing bonus of $200,000 in cash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$300,000 in equity (the "</w:t>
      </w: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r>
        <w:rPr>
          <w:rFonts w:ascii="Arial" w:cs="Arial" w:eastAsia="Arial" w:hAnsi="Arial"/>
          <w:sz w:val="22"/>
          <w:szCs w:val="22"/>
          <w:color w:val="auto"/>
        </w:rPr>
        <w:t xml:space="preserve"> as follows.</w:t>
      </w:r>
    </w:p>
    <w:p>
      <w:pPr>
        <w:spacing w:after="0" w:line="215" w:lineRule="exact"/>
        <w:rPr>
          <w:sz w:val="20"/>
          <w:szCs w:val="20"/>
          <w:color w:val="auto"/>
        </w:rPr>
      </w:pPr>
    </w:p>
    <w:p>
      <w:pPr>
        <w:ind w:right="20" w:firstLine="1953"/>
        <w:spacing w:after="0" w:line="246" w:lineRule="auto"/>
        <w:tabs>
          <w:tab w:leader="none" w:pos="2316" w:val="left"/>
        </w:tabs>
        <w:numPr>
          <w:ilvl w:val="0"/>
          <w:numId w:val="7"/>
        </w:numPr>
        <w:rPr>
          <w:rFonts w:ascii="Arial" w:cs="Arial" w:eastAsia="Arial" w:hAnsi="Arial"/>
          <w:sz w:val="21"/>
          <w:szCs w:val="21"/>
          <w:color w:val="auto"/>
        </w:rPr>
      </w:pPr>
      <w:r>
        <w:rPr>
          <w:rFonts w:ascii="Arial" w:cs="Arial" w:eastAsia="Arial" w:hAnsi="Arial"/>
          <w:sz w:val="21"/>
          <w:szCs w:val="21"/>
          <w:color w:val="auto"/>
        </w:rPr>
        <w:t>Upon commencement of the Term of Employment, the Employee shall receive an initial payment of $100,000 (the "</w:t>
      </w:r>
      <w:r>
        <w:rPr>
          <w:rFonts w:ascii="Arial" w:cs="Arial" w:eastAsia="Arial" w:hAnsi="Arial"/>
          <w:sz w:val="21"/>
          <w:szCs w:val="21"/>
          <w:b w:val="1"/>
          <w:bCs w:val="1"/>
          <w:u w:val="single" w:color="auto"/>
          <w:color w:val="auto"/>
        </w:rPr>
        <w:t>Initial Payment</w:t>
      </w:r>
      <w:r>
        <w:rPr>
          <w:rFonts w:ascii="Arial" w:cs="Arial" w:eastAsia="Arial" w:hAnsi="Arial"/>
          <w:sz w:val="21"/>
          <w:szCs w:val="21"/>
          <w:color w:val="auto"/>
        </w:rPr>
        <w:t>"). If the Employee terminates his employment without Good Reason or is terminated by the Employer for Cause (as those terms are defined in this Agreement) within 90 days after the Commencement Date, the Employee shall be required to repay the Initial Payment to the Employer. The Employee shall receive a second payment of $100,000 at the end of the 2020 fiscal year provided that the Employee has not terminated his Employment without Good Cause or been terminated for Cause, as those terms are as defined in this Agreement.</w:t>
      </w:r>
    </w:p>
    <w:p>
      <w:pPr>
        <w:spacing w:after="0" w:line="211" w:lineRule="exact"/>
        <w:rPr>
          <w:rFonts w:ascii="Arial" w:cs="Arial" w:eastAsia="Arial" w:hAnsi="Arial"/>
          <w:sz w:val="21"/>
          <w:szCs w:val="21"/>
          <w:color w:val="auto"/>
        </w:rPr>
      </w:pPr>
    </w:p>
    <w:p>
      <w:pPr>
        <w:ind w:firstLine="1953"/>
        <w:spacing w:after="0" w:line="279" w:lineRule="auto"/>
        <w:tabs>
          <w:tab w:leader="none" w:pos="2588" w:val="left"/>
        </w:tabs>
        <w:numPr>
          <w:ilvl w:val="0"/>
          <w:numId w:val="7"/>
        </w:numPr>
        <w:rPr>
          <w:rFonts w:ascii="Arial" w:cs="Arial" w:eastAsia="Arial" w:hAnsi="Arial"/>
          <w:sz w:val="19"/>
          <w:szCs w:val="19"/>
          <w:color w:val="auto"/>
        </w:rPr>
      </w:pPr>
      <w:r>
        <w:rPr>
          <w:rFonts w:ascii="Arial" w:cs="Arial" w:eastAsia="Arial" w:hAnsi="Arial"/>
          <w:sz w:val="19"/>
          <w:szCs w:val="19"/>
          <w:color w:val="auto"/>
        </w:rPr>
        <w:t>Within 10 days after the Commencement Date, the Employee shall be awarded restricted shares of the Employer's common stock having a value of $300,000 based on the closing price of the Employer's stock on the Commencement Date. The shares will be granted under or treated as granted under the MIP and will vest in three equal annual installments on each of the first three anniversaries of the Commencement Date, subject to the requirement that the Employee must be employed with the Employer at the time the shares vest. The parties hereto shall sign a restricted stock agreement governing the shares issue to the Employee.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7" w:name="page8"/>
    <w:bookmarkEnd w:id="7"/>
    <w:p>
      <w:pPr>
        <w:jc w:val="both"/>
        <w:ind w:left="-60" w:right="60" w:firstLine="1305"/>
        <w:spacing w:after="0" w:line="239" w:lineRule="auto"/>
        <w:tabs>
          <w:tab w:leader="none" w:pos="1986"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 Change in Control, as defined in the MIP, occurs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Employment or during any other period contemplated by this Agreement, then the effect upon any compensation paid to the Employee under the MIP shall be governed in accordance with section 13.2 of the MIP.</w:t>
      </w:r>
    </w:p>
    <w:p>
      <w:pPr>
        <w:spacing w:after="0" w:line="207" w:lineRule="exact"/>
        <w:rPr>
          <w:rFonts w:ascii="Arial" w:cs="Arial" w:eastAsia="Arial" w:hAnsi="Arial"/>
          <w:sz w:val="22"/>
          <w:szCs w:val="22"/>
          <w:b w:val="1"/>
          <w:bCs w:val="1"/>
          <w:color w:val="auto"/>
        </w:rPr>
      </w:pPr>
    </w:p>
    <w:p>
      <w:pPr>
        <w:ind w:left="-60" w:right="160" w:firstLine="1305"/>
        <w:spacing w:after="0" w:line="239" w:lineRule="auto"/>
        <w:tabs>
          <w:tab w:leader="none" w:pos="2016"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Signing Bonus and all Base Salary, Annual Bonuses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to be made to the Employee under this Agreement are subject to the Employer's right to make customary and applicable deductions and withholdings, including, without limitation, for federal and state taxes, FICA, Medicaid and other customary payroll activities.</w:t>
      </w:r>
    </w:p>
    <w:p>
      <w:pPr>
        <w:spacing w:after="0" w:line="207" w:lineRule="exact"/>
        <w:rPr>
          <w:rFonts w:ascii="Arial" w:cs="Arial" w:eastAsia="Arial" w:hAnsi="Arial"/>
          <w:sz w:val="22"/>
          <w:szCs w:val="22"/>
          <w:b w:val="1"/>
          <w:bCs w:val="1"/>
          <w:color w:val="auto"/>
        </w:rPr>
      </w:pPr>
    </w:p>
    <w:p>
      <w:pPr>
        <w:ind w:left="-60" w:right="40" w:firstLine="1305"/>
        <w:spacing w:after="0" w:line="246" w:lineRule="auto"/>
        <w:tabs>
          <w:tab w:leader="none" w:pos="1992" w:val="left"/>
        </w:tabs>
        <w:numPr>
          <w:ilvl w:val="1"/>
          <w:numId w:val="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Clawback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provisions in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will be subject to such deductions and clawback as may be required to be made pursuant to such law, government regulation or stock exchange listing requirement (and any policy adopted by the Employer .pursuant to any such law, government regulation or stock exchange listing requirement, including but not limited to the MIP). The Employer will make any determination for clawback or recovery in accordance with its determination of any applicable law or regulation based on the guidance of outside professionals.</w:t>
      </w:r>
    </w:p>
    <w:p>
      <w:pPr>
        <w:spacing w:after="0" w:line="202" w:lineRule="exact"/>
        <w:rPr>
          <w:rFonts w:ascii="Arial" w:cs="Arial" w:eastAsia="Arial" w:hAnsi="Arial"/>
          <w:sz w:val="21"/>
          <w:szCs w:val="21"/>
          <w:b w:val="1"/>
          <w:bCs w:val="1"/>
          <w:color w:val="auto"/>
        </w:rPr>
      </w:pPr>
    </w:p>
    <w:p>
      <w:pPr>
        <w:ind w:left="-60" w:firstLine="1305"/>
        <w:spacing w:after="0" w:line="283" w:lineRule="auto"/>
        <w:tabs>
          <w:tab w:leader="none" w:pos="2028" w:val="left"/>
        </w:tabs>
        <w:numPr>
          <w:ilvl w:val="1"/>
          <w:numId w:val="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Interests in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69" w:lineRule="exact"/>
        <w:rPr>
          <w:rFonts w:ascii="Arial" w:cs="Arial" w:eastAsia="Arial" w:hAnsi="Arial"/>
          <w:sz w:val="19"/>
          <w:szCs w:val="19"/>
          <w:b w:val="1"/>
          <w:bCs w:val="1"/>
          <w:color w:val="auto"/>
        </w:rPr>
      </w:pPr>
    </w:p>
    <w:p>
      <w:pPr>
        <w:ind w:left="1380" w:right="220" w:hanging="654"/>
        <w:spacing w:after="0" w:line="256" w:lineRule="auto"/>
        <w:tabs>
          <w:tab w:leader="none" w:pos="1434"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BENEFITS, EXPENSE REIMBURSEMENT AND INDEMNIFICATION; 409(A) COMPLIANCE.</w:t>
      </w:r>
    </w:p>
    <w:p>
      <w:pPr>
        <w:spacing w:after="0" w:line="189" w:lineRule="exact"/>
        <w:rPr>
          <w:rFonts w:ascii="Arial" w:cs="Arial" w:eastAsia="Arial" w:hAnsi="Arial"/>
          <w:sz w:val="22"/>
          <w:szCs w:val="22"/>
          <w:b w:val="1"/>
          <w:bCs w:val="1"/>
          <w:color w:val="auto"/>
        </w:rPr>
      </w:pPr>
    </w:p>
    <w:p>
      <w:pPr>
        <w:ind w:left="-60" w:right="20" w:firstLine="1305"/>
        <w:spacing w:after="0" w:line="247" w:lineRule="auto"/>
        <w:tabs>
          <w:tab w:leader="none" w:pos="1974" w:val="left"/>
        </w:tabs>
        <w:numPr>
          <w:ilvl w:val="1"/>
          <w:numId w:val="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Employee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of Employment, the Employee shall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21"/>
          <w:szCs w:val="21"/>
          <w:b w:val="1"/>
          <w:bCs w:val="1"/>
          <w:u w:val="single" w:color="auto"/>
          <w:color w:val="auto"/>
        </w:rPr>
        <w:t>Benefits</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328" w:right="1039" w:bottom="1440" w:gutter="0" w:footer="0" w:header="0"/>
        </w:sectPr>
      </w:pPr>
    </w:p>
    <w:bookmarkStart w:id="8" w:name="page9"/>
    <w:bookmarkEnd w:id="8"/>
    <w:p>
      <w:pPr>
        <w:ind w:right="140"/>
        <w:spacing w:after="0" w:line="275" w:lineRule="auto"/>
        <w:rPr>
          <w:sz w:val="20"/>
          <w:szCs w:val="20"/>
          <w:color w:val="auto"/>
        </w:rPr>
      </w:pPr>
      <w:r>
        <w:rPr>
          <w:rFonts w:ascii="Arial" w:cs="Arial" w:eastAsia="Arial" w:hAnsi="Arial"/>
          <w:sz w:val="19"/>
          <w:szCs w:val="19"/>
          <w:color w:val="auto"/>
        </w:rPr>
        <w:t>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 If any of Employer’s health insurance Benefits plans, programs, or arrangements do not permit Employee’s participation commencing immediately upon the Commencement Date, the Company shall pay Employee an additional amount (the “COBRA Amount”) equal to the sum of (i) Employee’s COBRA cost to maintain his existing health through such time as he is eligible to participate in such Benefits plans and (ii) any tax liability incurred by the Employee by reason of receipt of the COBRA Amount.</w:t>
      </w:r>
    </w:p>
    <w:p>
      <w:pPr>
        <w:spacing w:after="0" w:line="178" w:lineRule="exact"/>
        <w:rPr>
          <w:sz w:val="20"/>
          <w:szCs w:val="20"/>
          <w:color w:val="auto"/>
        </w:rPr>
      </w:pPr>
    </w:p>
    <w:p>
      <w:pPr>
        <w:ind w:right="60" w:firstLine="1305"/>
        <w:spacing w:after="0" w:line="247" w:lineRule="auto"/>
        <w:tabs>
          <w:tab w:leader="none" w:pos="2046"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Business Expense Reimbursement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that the Employee provides appropriate</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of his expenses, the Employee shall be entitled to receive full reimbursement for all reasonable out-of-pocket business expenses that are incurred by him during the Term of Employment in accordance with the policies and procedures established from time to time by the Employer. The Employee's rights under this paragraph shall terminate as of the date that his Employment terminates for any reason, provided that the Employer shall remain obligated to reimburse the Employee for any such expenses that were properly incurred by his during the Term of Employment.</w:t>
      </w:r>
    </w:p>
    <w:p>
      <w:pPr>
        <w:spacing w:after="0" w:line="204" w:lineRule="exact"/>
        <w:rPr>
          <w:rFonts w:ascii="Arial" w:cs="Arial" w:eastAsia="Arial" w:hAnsi="Arial"/>
          <w:sz w:val="21"/>
          <w:szCs w:val="21"/>
          <w:b w:val="1"/>
          <w:bCs w:val="1"/>
          <w:color w:val="auto"/>
        </w:rPr>
      </w:pPr>
    </w:p>
    <w:p>
      <w:pPr>
        <w:ind w:right="40" w:firstLine="1305"/>
        <w:spacing w:after="0" w:line="245" w:lineRule="auto"/>
        <w:tabs>
          <w:tab w:leader="none" w:pos="2076"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that the Employee is made a party or threatened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a party to any action, suit, or proceeding, whether civil, criminal, administrative or investigative (a "</w:t>
      </w:r>
      <w:r>
        <w:rPr>
          <w:rFonts w:ascii="Arial" w:cs="Arial" w:eastAsia="Arial" w:hAnsi="Arial"/>
          <w:sz w:val="21"/>
          <w:szCs w:val="21"/>
          <w:b w:val="1"/>
          <w:bCs w:val="1"/>
          <w:u w:val="single" w:color="auto"/>
          <w:color w:val="auto"/>
        </w:rPr>
        <w:t>Proceeding</w:t>
      </w:r>
      <w:r>
        <w:rPr>
          <w:rFonts w:ascii="Arial" w:cs="Arial" w:eastAsia="Arial" w:hAnsi="Arial"/>
          <w:sz w:val="21"/>
          <w:szCs w:val="21"/>
          <w:color w:val="auto"/>
        </w:rPr>
        <w:t>"),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Company's bylaws from and against any liabilities, costs, claims and expenses, including all costs and expenses incurred in defense of any Proceeding (including 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w:t>
      </w:r>
    </w:p>
    <w:p>
      <w:pPr>
        <w:spacing w:after="0" w:line="210" w:lineRule="exact"/>
        <w:rPr>
          <w:rFonts w:ascii="Arial" w:cs="Arial" w:eastAsia="Arial" w:hAnsi="Arial"/>
          <w:sz w:val="21"/>
          <w:szCs w:val="21"/>
          <w:b w:val="1"/>
          <w:bCs w:val="1"/>
          <w:color w:val="auto"/>
        </w:rPr>
      </w:pPr>
    </w:p>
    <w:p>
      <w:pPr>
        <w:ind w:firstLine="1305"/>
        <w:spacing w:after="0" w:line="246" w:lineRule="auto"/>
        <w:tabs>
          <w:tab w:leader="none" w:pos="2046" w:val="left"/>
        </w:tabs>
        <w:numPr>
          <w:ilvl w:val="0"/>
          <w:numId w:val="10"/>
        </w:numPr>
        <w:rPr>
          <w:rFonts w:ascii="Arial" w:cs="Arial" w:eastAsia="Arial" w:hAnsi="Arial"/>
          <w:sz w:val="21"/>
          <w:szCs w:val="21"/>
          <w:b w:val="1"/>
          <w:bCs w:val="1"/>
          <w:color w:val="auto"/>
        </w:rPr>
      </w:pPr>
      <w:r>
        <w:rPr>
          <w:rFonts w:ascii="Arial" w:cs="Arial" w:eastAsia="Arial" w:hAnsi="Arial"/>
          <w:sz w:val="21"/>
          <w:szCs w:val="21"/>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409A</w:t>
      </w:r>
      <w:r>
        <w:rPr>
          <w:rFonts w:ascii="Arial" w:cs="Arial" w:eastAsia="Arial" w:hAnsi="Arial"/>
          <w:sz w:val="21"/>
          <w:szCs w:val="21"/>
          <w:color w:val="auto"/>
        </w:rPr>
        <w:t>”). If the Employee or the Employer believes, at any time, that any of such benefit or right does not comply,</w:t>
      </w:r>
      <w:r>
        <w:rPr>
          <w:rFonts w:ascii="Arial" w:cs="Arial" w:eastAsia="Arial" w:hAnsi="Arial"/>
          <w:sz w:val="21"/>
          <w:szCs w:val="21"/>
          <w:b w:val="1"/>
          <w:bCs w:val="1"/>
          <w:color w:val="auto"/>
        </w:rPr>
        <w:t xml:space="preserve"> </w:t>
      </w:r>
      <w:r>
        <w:rPr>
          <w:rFonts w:ascii="Arial" w:cs="Arial" w:eastAsia="Arial" w:hAnsi="Arial"/>
          <w:sz w:val="21"/>
          <w:szCs w:val="21"/>
          <w:color w:val="auto"/>
        </w:rPr>
        <w:t>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9" w:name="page10"/>
    <w:bookmarkEnd w:id="9"/>
    <w:p>
      <w:pPr>
        <w:ind w:left="1480" w:hanging="694"/>
        <w:spacing w:after="0"/>
        <w:tabs>
          <w:tab w:leader="none" w:pos="14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POST-EMPLOYMENT COMPENSATION</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right="240" w:firstLine="1305"/>
        <w:spacing w:after="0" w:line="300" w:lineRule="auto"/>
        <w:tabs>
          <w:tab w:leader="none" w:pos="2034"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provided in this Agreement, the Employer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make any compensation, severance or other payments to the Employee, or to provide any other benefits to the Employee, after the date of the termination of the Employee's Employment for any reason.</w:t>
      </w:r>
    </w:p>
    <w:p>
      <w:pPr>
        <w:spacing w:after="0" w:line="152" w:lineRule="exact"/>
        <w:rPr>
          <w:rFonts w:ascii="Arial" w:cs="Arial" w:eastAsia="Arial" w:hAnsi="Arial"/>
          <w:sz w:val="19"/>
          <w:szCs w:val="19"/>
          <w:b w:val="1"/>
          <w:bCs w:val="1"/>
          <w:color w:val="auto"/>
        </w:rPr>
      </w:pPr>
    </w:p>
    <w:p>
      <w:pPr>
        <w:ind w:right="400" w:firstLine="1305"/>
        <w:spacing w:after="0" w:line="334" w:lineRule="auto"/>
        <w:tabs>
          <w:tab w:leader="none" w:pos="2046"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termination of the Employee's Employment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be entitled to receive any additional Base Salary payments from the Employer except:</w:t>
      </w:r>
    </w:p>
    <w:p>
      <w:pPr>
        <w:spacing w:after="0" w:line="126" w:lineRule="exact"/>
        <w:rPr>
          <w:rFonts w:ascii="Arial" w:cs="Arial" w:eastAsia="Arial" w:hAnsi="Arial"/>
          <w:sz w:val="19"/>
          <w:szCs w:val="19"/>
          <w:b w:val="1"/>
          <w:bCs w:val="1"/>
          <w:color w:val="auto"/>
        </w:rPr>
      </w:pPr>
    </w:p>
    <w:p>
      <w:pPr>
        <w:ind w:right="340" w:firstLine="1953"/>
        <w:spacing w:after="0"/>
        <w:tabs>
          <w:tab w:leader="none" w:pos="2661" w:val="left"/>
        </w:tabs>
        <w:numPr>
          <w:ilvl w:val="2"/>
          <w:numId w:val="11"/>
        </w:numPr>
        <w:rPr>
          <w:rFonts w:ascii="Arial" w:cs="Arial" w:eastAsia="Arial" w:hAnsi="Arial"/>
          <w:sz w:val="22"/>
          <w:szCs w:val="22"/>
          <w:color w:val="auto"/>
        </w:rPr>
      </w:pPr>
      <w:r>
        <w:rPr>
          <w:rFonts w:ascii="Arial" w:cs="Arial" w:eastAsia="Arial" w:hAnsi="Arial"/>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213" w:lineRule="exact"/>
        <w:rPr>
          <w:rFonts w:ascii="Arial" w:cs="Arial" w:eastAsia="Arial" w:hAnsi="Arial"/>
          <w:sz w:val="22"/>
          <w:szCs w:val="22"/>
          <w:color w:val="auto"/>
        </w:rPr>
      </w:pPr>
    </w:p>
    <w:p>
      <w:pPr>
        <w:ind w:firstLine="1953"/>
        <w:spacing w:after="0" w:line="271" w:lineRule="auto"/>
        <w:tabs>
          <w:tab w:leader="none" w:pos="2694" w:val="left"/>
        </w:tabs>
        <w:numPr>
          <w:ilvl w:val="2"/>
          <w:numId w:val="11"/>
        </w:numPr>
        <w:rPr>
          <w:rFonts w:ascii="Arial" w:cs="Arial" w:eastAsia="Arial" w:hAnsi="Arial"/>
          <w:sz w:val="19"/>
          <w:szCs w:val="19"/>
          <w:color w:val="auto"/>
        </w:rPr>
      </w:pPr>
      <w:r>
        <w:rPr>
          <w:rFonts w:ascii="Arial" w:cs="Arial" w:eastAsia="Arial" w:hAnsi="Arial"/>
          <w:sz w:val="19"/>
          <w:szCs w:val="19"/>
          <w:color w:val="auto"/>
        </w:rPr>
        <w:t>If the Employer terminates the Employee's Employment without Cause (as defined in this Agreement), or the Employee terminates his Employment for Good Reason (as defined in this Agreement), then, provided that the Employee executes a Separation and Release Agreement in the form attached to this Agreement as Exhibit A, the Employer shall: (1) pay the Employee an amount equal to one year of his annual Base Salary, payable at regular payroll intervals; (2) make COBRA payments on behalf of the Employee in an amount sufficient for the Employee to maintain his then-current group health benefits for one year; and (3) provide the Employee with a pro rata portion of his Annual Bonus pursuant to the MIP for the year in which his Employment terminates, payable at the time that the Employer's other executive officers receive their Annual Bonuses.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The Employee shall not be entitled to receive the payments and benefits described in this paragraph if the Employer terminates the Employee's Employment for Cause or if he terminates his Employment other than for Good Reason.</w:t>
      </w:r>
    </w:p>
    <w:p>
      <w:pPr>
        <w:spacing w:after="0" w:line="185" w:lineRule="exact"/>
        <w:rPr>
          <w:rFonts w:ascii="Arial" w:cs="Arial" w:eastAsia="Arial" w:hAnsi="Arial"/>
          <w:sz w:val="19"/>
          <w:szCs w:val="19"/>
          <w:color w:val="auto"/>
        </w:rPr>
      </w:pPr>
    </w:p>
    <w:p>
      <w:pPr>
        <w:ind w:firstLine="1953"/>
        <w:spacing w:after="0" w:line="245" w:lineRule="auto"/>
        <w:tabs>
          <w:tab w:leader="none" w:pos="2713" w:val="left"/>
        </w:tabs>
        <w:numPr>
          <w:ilvl w:val="2"/>
          <w:numId w:val="11"/>
        </w:numPr>
        <w:rPr>
          <w:rFonts w:ascii="Arial" w:cs="Arial" w:eastAsia="Arial" w:hAnsi="Arial"/>
          <w:sz w:val="21"/>
          <w:szCs w:val="2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u w:val="single" w:color="auto"/>
          <w:color w:val="auto"/>
        </w:rPr>
        <w:t>Cause</w:t>
      </w:r>
      <w:r>
        <w:rPr>
          <w:rFonts w:ascii="Arial" w:cs="Arial" w:eastAsia="Arial" w:hAnsi="Arial"/>
          <w:sz w:val="21"/>
          <w:szCs w:val="21"/>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Chief Executive Officer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0" w:name="page11"/>
    <w:bookmarkEnd w:id="10"/>
    <w:p>
      <w:pPr>
        <w:spacing w:after="0" w:line="275" w:lineRule="auto"/>
        <w:rPr>
          <w:sz w:val="20"/>
          <w:szCs w:val="20"/>
          <w:color w:val="auto"/>
        </w:rPr>
      </w:pPr>
      <w:r>
        <w:rPr>
          <w:rFonts w:ascii="Arial" w:cs="Arial" w:eastAsia="Arial" w:hAnsi="Arial"/>
          <w:sz w:val="19"/>
          <w:szCs w:val="19"/>
          <w:color w:val="auto"/>
        </w:rPr>
        <w:t>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78" w:lineRule="exact"/>
        <w:rPr>
          <w:sz w:val="20"/>
          <w:szCs w:val="20"/>
          <w:color w:val="auto"/>
        </w:rPr>
      </w:pPr>
    </w:p>
    <w:p>
      <w:pPr>
        <w:ind w:right="80" w:firstLine="1953"/>
        <w:spacing w:after="0" w:line="270" w:lineRule="auto"/>
        <w:tabs>
          <w:tab w:leader="none" w:pos="2701" w:val="left"/>
        </w:tabs>
        <w:numPr>
          <w:ilvl w:val="3"/>
          <w:numId w:val="12"/>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without the Employee's written consent, of any of the following: (1) any requirement (whether as a result of change in duties or otherwise) that Employee perform the majority of his hours of employment more than 35 miles from the Employer's Corporate Headquarters, if the Employer fails to remedy such change within thirty days after written notice is given by the Employee to the Employer; (2) any reduction in base salary below $450,000 per year; (3) any material reduction the Employee’s title, duties, responsibilities or authority, including, without limitation, any adverse change in reporting relationship or assignment to Employee of duties inconsistent with position of Chief Financial Officer, which is not cured within thirty (30) days after written notice from the Employee to Employer;</w:t>
      </w:r>
    </w:p>
    <w:p>
      <w:pPr>
        <w:spacing w:after="0" w:line="1" w:lineRule="exact"/>
        <w:rPr>
          <w:rFonts w:ascii="Arial" w:cs="Arial" w:eastAsia="Arial" w:hAnsi="Arial"/>
          <w:sz w:val="19"/>
          <w:szCs w:val="19"/>
          <w:color w:val="auto"/>
        </w:rPr>
      </w:pPr>
    </w:p>
    <w:p>
      <w:pPr>
        <w:ind w:right="40" w:firstLine="9"/>
        <w:spacing w:after="0" w:line="271" w:lineRule="auto"/>
        <w:tabs>
          <w:tab w:leader="none" w:pos="3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breach by the Employer of any material provision of this Agreement (whether or not described above), which breach is not cured by the Employer within thirty days after written notice of such breach is given by the Employee to the Employer; or (5</w:t>
      </w:r>
      <w:r>
        <w:rPr>
          <w:rFonts w:ascii="Arial" w:cs="Arial" w:eastAsia="Arial" w:hAnsi="Arial"/>
          <w:sz w:val="19"/>
          <w:szCs w:val="19"/>
          <w:b w:val="1"/>
          <w:bCs w:val="1"/>
          <w:color w:val="auto"/>
        </w:rPr>
        <w:t>)</w:t>
      </w:r>
      <w:r>
        <w:rPr>
          <w:rFonts w:ascii="Arial" w:cs="Arial" w:eastAsia="Arial" w:hAnsi="Arial"/>
          <w:sz w:val="19"/>
          <w:szCs w:val="19"/>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days after he provides the successor to the Employer with written notice of his desire to receive such agreement. Notwithstanding the foregoing, the Employee shall be deemed to have terminated his Employment for Good Reason for purposes of this Agreement only if he terminates his Employment within sixty days after the occurrence of the event described in this paragraph (including expiration of the applicable notice and cure period) that permits him to terminate his Employment for Good Reason.</w:t>
      </w:r>
    </w:p>
    <w:p>
      <w:pPr>
        <w:spacing w:after="0" w:line="181" w:lineRule="exact"/>
        <w:rPr>
          <w:rFonts w:ascii="Arial" w:cs="Arial" w:eastAsia="Arial" w:hAnsi="Arial"/>
          <w:sz w:val="19"/>
          <w:szCs w:val="19"/>
          <w:color w:val="auto"/>
        </w:rPr>
      </w:pPr>
    </w:p>
    <w:p>
      <w:pPr>
        <w:ind w:left="1480" w:hanging="694"/>
        <w:spacing w:after="0"/>
        <w:tabs>
          <w:tab w:leader="none" w:pos="1480" w:val="left"/>
        </w:tabs>
        <w:numPr>
          <w:ilvl w:val="1"/>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CONFIDENTIALITY/UNFAIR COMPETITION.</w:t>
      </w:r>
    </w:p>
    <w:p>
      <w:pPr>
        <w:spacing w:after="0" w:line="233" w:lineRule="exact"/>
        <w:rPr>
          <w:rFonts w:ascii="Arial" w:cs="Arial" w:eastAsia="Arial" w:hAnsi="Arial"/>
          <w:sz w:val="22"/>
          <w:szCs w:val="22"/>
          <w:b w:val="1"/>
          <w:bCs w:val="1"/>
          <w:color w:val="auto"/>
        </w:rPr>
      </w:pPr>
    </w:p>
    <w:p>
      <w:pPr>
        <w:ind w:firstLine="1305"/>
        <w:spacing w:after="0" w:line="247" w:lineRule="auto"/>
        <w:tabs>
          <w:tab w:leader="none" w:pos="2034" w:val="left"/>
        </w:tabs>
        <w:numPr>
          <w:ilvl w:val="2"/>
          <w:numId w:val="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Employee shall at no time, either during his Employment or after</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9"/>
          <w:szCs w:val="19"/>
          <w:color w:val="auto"/>
        </w:rPr>
        <w:t>in writing by the Employer's Chief Executive Officer or President or the Board. The prohibition that is contained in the preceding sentence shall not apply to any information that is or becomes available to the public other than through an improper disclosure by the Employee or by a person acting in concert with him to effect such improper disclosure. Within five days after the termination of his Employment, the Employee shall return to the Employer all memoranda, notes and other documents in his possession or control that relate to the confidential information of the Employer. Upon the Employer's request, the Employee agrees to execute and deliver to the Employer any reasonable form of confidentiality agreement to confirm the foregoing agreement of confidentiality.</w:t>
      </w:r>
    </w:p>
    <w:p>
      <w:pPr>
        <w:spacing w:after="0" w:line="173" w:lineRule="exact"/>
        <w:rPr>
          <w:sz w:val="20"/>
          <w:szCs w:val="20"/>
          <w:color w:val="auto"/>
        </w:rPr>
      </w:pPr>
    </w:p>
    <w:p>
      <w:pPr>
        <w:ind w:right="120" w:firstLine="1305"/>
        <w:spacing w:after="0" w:line="278" w:lineRule="auto"/>
        <w:tabs>
          <w:tab w:leader="none" w:pos="2046"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Competition During the 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his Employment,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w:t>
      </w:r>
    </w:p>
    <w:p>
      <w:pPr>
        <w:spacing w:after="0" w:line="172" w:lineRule="exact"/>
        <w:rPr>
          <w:rFonts w:ascii="Arial" w:cs="Arial" w:eastAsia="Arial" w:hAnsi="Arial"/>
          <w:sz w:val="19"/>
          <w:szCs w:val="19"/>
          <w:b w:val="1"/>
          <w:bCs w:val="1"/>
          <w:color w:val="auto"/>
        </w:rPr>
      </w:pPr>
    </w:p>
    <w:p>
      <w:pPr>
        <w:ind w:right="120" w:firstLine="1305"/>
        <w:spacing w:after="0" w:line="273" w:lineRule="auto"/>
        <w:tabs>
          <w:tab w:leader="none" w:pos="2076"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Employee breaches any of the provisions of this Section or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breaches any of the 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82" w:lineRule="exact"/>
        <w:rPr>
          <w:rFonts w:ascii="Arial" w:cs="Arial" w:eastAsia="Arial" w:hAnsi="Arial"/>
          <w:sz w:val="19"/>
          <w:szCs w:val="19"/>
          <w:b w:val="1"/>
          <w:bCs w:val="1"/>
          <w:color w:val="auto"/>
        </w:rPr>
      </w:pPr>
    </w:p>
    <w:p>
      <w:pPr>
        <w:ind w:left="1480" w:hanging="694"/>
        <w:spacing w:after="0"/>
        <w:tabs>
          <w:tab w:leader="none" w:pos="14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INVENTIONS/WORK PRODUCT</w:t>
      </w:r>
    </w:p>
    <w:p>
      <w:pPr>
        <w:spacing w:after="0" w:line="233" w:lineRule="exact"/>
        <w:rPr>
          <w:rFonts w:ascii="Arial" w:cs="Arial" w:eastAsia="Arial" w:hAnsi="Arial"/>
          <w:sz w:val="22"/>
          <w:szCs w:val="22"/>
          <w:b w:val="1"/>
          <w:bCs w:val="1"/>
          <w:color w:val="auto"/>
        </w:rPr>
      </w:pPr>
    </w:p>
    <w:p>
      <w:pPr>
        <w:ind w:right="120" w:firstLine="1305"/>
        <w:spacing w:after="0" w:line="280" w:lineRule="auto"/>
        <w:tabs>
          <w:tab w:leader="none" w:pos="2034" w:val="left"/>
        </w:tabs>
        <w:numPr>
          <w:ilvl w:val="1"/>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all writings,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9"/>
          <w:szCs w:val="19"/>
          <w:color w:val="auto"/>
        </w:rPr>
        <w:t xml:space="preserve">preparing the same) and all printed, physical and electronic copies, all improvements, </w:t>
      </w:r>
      <w:r>
        <w:rPr>
          <w:rFonts w:ascii="Arial" w:cs="Arial" w:eastAsia="Arial" w:hAnsi="Arial"/>
          <w:sz w:val="19"/>
          <w:szCs w:val="19"/>
          <w:i w:val="1"/>
          <w:iCs w:val="1"/>
          <w:color w:val="auto"/>
        </w:rPr>
        <w:t>rights</w:t>
      </w:r>
      <w:r>
        <w:rPr>
          <w:rFonts w:ascii="Arial" w:cs="Arial" w:eastAsia="Arial" w:hAnsi="Arial"/>
          <w:sz w:val="19"/>
          <w:szCs w:val="19"/>
          <w:color w:val="auto"/>
        </w:rPr>
        <w:t xml:space="preserve"> and claims related to the foregoing, and other tangible embodiments thereof (collectively, "</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shall be the sole and exclusive property of the Employer.</w:t>
      </w:r>
    </w:p>
    <w:p>
      <w:pPr>
        <w:spacing w:after="0" w:line="173" w:lineRule="exact"/>
        <w:rPr>
          <w:sz w:val="20"/>
          <w:szCs w:val="20"/>
          <w:color w:val="auto"/>
        </w:rPr>
      </w:pPr>
    </w:p>
    <w:p>
      <w:pPr>
        <w:ind w:firstLine="1305"/>
        <w:spacing w:after="0" w:line="274" w:lineRule="auto"/>
        <w:tabs>
          <w:tab w:leader="none" w:pos="2046"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Made for Hire;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that, by reason of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by the Employer at the relevant times, to the extent permitted by law, all of the Work Product consisting of copyrightable subject matter is "work made for hire" ac; defined in 17 U.S.C. </w:t>
      </w:r>
      <w:r>
        <w:rPr>
          <w:rFonts w:ascii="Arial" w:cs="Arial" w:eastAsia="Arial" w:hAnsi="Arial"/>
          <w:sz w:val="19"/>
          <w:szCs w:val="19"/>
          <w:i w:val="1"/>
          <w:iCs w:val="1"/>
          <w:color w:val="auto"/>
        </w:rPr>
        <w:t>§</w:t>
      </w:r>
      <w:r>
        <w:rPr>
          <w:rFonts w:ascii="Arial" w:cs="Arial" w:eastAsia="Arial" w:hAnsi="Arial"/>
          <w:sz w:val="19"/>
          <w:szCs w:val="19"/>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78" w:lineRule="exact"/>
        <w:rPr>
          <w:rFonts w:ascii="Arial" w:cs="Arial" w:eastAsia="Arial" w:hAnsi="Arial"/>
          <w:sz w:val="19"/>
          <w:szCs w:val="19"/>
          <w:b w:val="1"/>
          <w:bCs w:val="1"/>
          <w:color w:val="auto"/>
        </w:rPr>
      </w:pPr>
    </w:p>
    <w:p>
      <w:pPr>
        <w:ind w:firstLine="1305"/>
        <w:spacing w:after="0" w:line="269" w:lineRule="auto"/>
        <w:tabs>
          <w:tab w:leader="none" w:pos="2076"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Further Assurances; 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and after his Employment,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 w:lineRule="exact"/>
        <w:rPr>
          <w:rFonts w:ascii="Arial" w:cs="Arial" w:eastAsia="Arial" w:hAnsi="Arial"/>
          <w:sz w:val="19"/>
          <w:szCs w:val="19"/>
          <w:b w:val="1"/>
          <w:bCs w:val="1"/>
          <w:color w:val="auto"/>
        </w:rPr>
      </w:pPr>
    </w:p>
    <w:p>
      <w:pPr>
        <w:ind w:left="1480" w:hanging="694"/>
        <w:spacing w:after="0"/>
        <w:tabs>
          <w:tab w:leader="none" w:pos="14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u w:val="single" w:color="auto"/>
          <w:color w:val="auto"/>
        </w:rPr>
        <w:t>.</w:t>
      </w:r>
    </w:p>
    <w:p>
      <w:pPr>
        <w:spacing w:after="0" w:line="209" w:lineRule="exact"/>
        <w:rPr>
          <w:rFonts w:ascii="Arial" w:cs="Arial" w:eastAsia="Arial" w:hAnsi="Arial"/>
          <w:sz w:val="22"/>
          <w:szCs w:val="22"/>
          <w:b w:val="1"/>
          <w:bCs w:val="1"/>
          <w:color w:val="auto"/>
        </w:rPr>
      </w:pPr>
    </w:p>
    <w:p>
      <w:pPr>
        <w:ind w:right="240" w:firstLine="1305"/>
        <w:spacing w:after="0" w:line="243" w:lineRule="auto"/>
        <w:tabs>
          <w:tab w:leader="none" w:pos="2034" w:val="left"/>
        </w:tabs>
        <w:numPr>
          <w:ilvl w:val="1"/>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any separate confidentiality agreements that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entered into between the Employer and the Employee) constitutes the entire agreement of the Employer and the Employee relating to the terms and conditions of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3" w:name="page14"/>
    <w:bookmarkEnd w:id="13"/>
    <w:p>
      <w:pPr>
        <w:spacing w:after="0" w:line="250" w:lineRule="auto"/>
        <w:rPr>
          <w:sz w:val="20"/>
          <w:szCs w:val="20"/>
          <w:color w:val="auto"/>
        </w:rPr>
      </w:pPr>
      <w:r>
        <w:rPr>
          <w:rFonts w:ascii="Arial" w:cs="Arial" w:eastAsia="Arial" w:hAnsi="Arial"/>
          <w:sz w:val="22"/>
          <w:szCs w:val="22"/>
          <w:color w:val="auto"/>
        </w:rPr>
        <w:t>Employee's Employment and supersedes all prior oral and written understandings and agreements relating to such subject matter.</w:t>
      </w:r>
    </w:p>
    <w:p>
      <w:pPr>
        <w:spacing w:after="0" w:line="196" w:lineRule="exact"/>
        <w:rPr>
          <w:sz w:val="20"/>
          <w:szCs w:val="20"/>
          <w:color w:val="auto"/>
        </w:rPr>
      </w:pPr>
    </w:p>
    <w:p>
      <w:pPr>
        <w:ind w:right="60" w:firstLine="1305"/>
        <w:spacing w:after="0" w:line="244" w:lineRule="auto"/>
        <w:tabs>
          <w:tab w:leader="none" w:pos="2046"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by this Agreement to be given by one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3" w:lineRule="exact"/>
        <w:rPr>
          <w:rFonts w:ascii="Arial" w:cs="Arial" w:eastAsia="Arial" w:hAnsi="Arial"/>
          <w:sz w:val="21"/>
          <w:szCs w:val="21"/>
          <w:b w:val="1"/>
          <w:bCs w:val="1"/>
          <w:color w:val="auto"/>
        </w:rPr>
      </w:pPr>
    </w:p>
    <w:p>
      <w:pPr>
        <w:ind w:right="20" w:firstLine="1305"/>
        <w:spacing w:after="0" w:line="234" w:lineRule="auto"/>
        <w:tabs>
          <w:tab w:leader="none" w:pos="2076"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will pay directly or reimburse the Employee for the reasonable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costs incurred in connection with the negotiation and preparation of this Agreement upon receipt of invoice therefor.</w:t>
      </w:r>
    </w:p>
    <w:p>
      <w:pPr>
        <w:spacing w:after="0" w:line="208" w:lineRule="exact"/>
        <w:rPr>
          <w:rFonts w:ascii="Arial" w:cs="Arial" w:eastAsia="Arial" w:hAnsi="Arial"/>
          <w:sz w:val="22"/>
          <w:szCs w:val="22"/>
          <w:b w:val="1"/>
          <w:bCs w:val="1"/>
          <w:color w:val="auto"/>
        </w:rPr>
      </w:pPr>
    </w:p>
    <w:p>
      <w:pPr>
        <w:ind w:right="400" w:firstLine="1305"/>
        <w:spacing w:after="0" w:line="256" w:lineRule="auto"/>
        <w:tabs>
          <w:tab w:leader="none" w:pos="2046"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amended or terminated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writing executed by the Employer and the Employee.</w:t>
      </w:r>
    </w:p>
    <w:p>
      <w:pPr>
        <w:spacing w:after="0" w:line="189" w:lineRule="exact"/>
        <w:rPr>
          <w:rFonts w:ascii="Arial" w:cs="Arial" w:eastAsia="Arial" w:hAnsi="Arial"/>
          <w:sz w:val="22"/>
          <w:szCs w:val="22"/>
          <w:b w:val="1"/>
          <w:bCs w:val="1"/>
          <w:color w:val="auto"/>
        </w:rPr>
      </w:pPr>
    </w:p>
    <w:p>
      <w:pPr>
        <w:ind w:right="20" w:firstLine="1305"/>
        <w:spacing w:after="0" w:line="276" w:lineRule="auto"/>
        <w:tabs>
          <w:tab w:leader="none" w:pos="2076"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shall benefit,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76" w:lineRule="exact"/>
        <w:rPr>
          <w:rFonts w:ascii="Arial" w:cs="Arial" w:eastAsia="Arial" w:hAnsi="Arial"/>
          <w:sz w:val="19"/>
          <w:szCs w:val="19"/>
          <w:b w:val="1"/>
          <w:bCs w:val="1"/>
          <w:color w:val="auto"/>
        </w:rPr>
      </w:pPr>
    </w:p>
    <w:p>
      <w:pPr>
        <w:ind w:firstLine="1305"/>
        <w:spacing w:after="0" w:line="239" w:lineRule="auto"/>
        <w:tabs>
          <w:tab w:leader="none" w:pos="2052"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Time</w:t>
      </w:r>
      <w:r>
        <w:rPr>
          <w:rFonts w:ascii="Arial" w:cs="Arial" w:eastAsia="Arial" w:hAnsi="Arial"/>
          <w:sz w:val="22"/>
          <w:szCs w:val="22"/>
          <w:color w:val="auto"/>
        </w:rPr>
        <w:t>. Wherever in this Agreement a period of time is stated in a number</w:t>
      </w:r>
      <w:r>
        <w:rPr>
          <w:rFonts w:ascii="Arial" w:cs="Arial" w:eastAsia="Arial" w:hAnsi="Arial"/>
          <w:sz w:val="22"/>
          <w:szCs w:val="22"/>
          <w:b w:val="1"/>
          <w:bCs w:val="1"/>
          <w:color w:val="auto"/>
        </w:rPr>
        <w:t xml:space="preserve"> </w:t>
      </w:r>
      <w:r>
        <w:rPr>
          <w:rFonts w:ascii="Arial" w:cs="Arial" w:eastAsia="Arial" w:hAnsi="Arial"/>
          <w:sz w:val="22"/>
          <w:szCs w:val="22"/>
          <w:color w:val="auto"/>
        </w:rPr>
        <w:t>of 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207" w:lineRule="exact"/>
        <w:rPr>
          <w:rFonts w:ascii="Arial" w:cs="Arial" w:eastAsia="Arial" w:hAnsi="Arial"/>
          <w:sz w:val="22"/>
          <w:szCs w:val="22"/>
          <w:b w:val="1"/>
          <w:bCs w:val="1"/>
          <w:color w:val="auto"/>
        </w:rPr>
      </w:pPr>
    </w:p>
    <w:p>
      <w:pPr>
        <w:jc w:val="both"/>
        <w:ind w:right="120" w:firstLine="1305"/>
        <w:spacing w:after="0" w:line="243" w:lineRule="auto"/>
        <w:tabs>
          <w:tab w:leader="none" w:pos="2071" w:val="left"/>
        </w:tabs>
        <w:numPr>
          <w:ilvl w:val="0"/>
          <w:numId w:val="1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Employer and the Employee shall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acts and execute and deliver any further documents that may be reasonably necessary to carry out the provisions of this Agreement.</w:t>
      </w:r>
    </w:p>
    <w:p>
      <w:pPr>
        <w:spacing w:after="0" w:line="203" w:lineRule="exact"/>
        <w:rPr>
          <w:rFonts w:ascii="Arial" w:cs="Arial" w:eastAsia="Arial" w:hAnsi="Arial"/>
          <w:sz w:val="20"/>
          <w:szCs w:val="20"/>
          <w:b w:val="1"/>
          <w:bCs w:val="1"/>
          <w:color w:val="auto"/>
        </w:rPr>
      </w:pPr>
    </w:p>
    <w:p>
      <w:pPr>
        <w:ind w:right="700" w:firstLine="1305"/>
        <w:spacing w:after="0" w:line="256" w:lineRule="auto"/>
        <w:tabs>
          <w:tab w:leader="none" w:pos="2032" w:val="left"/>
        </w:tabs>
        <w:numPr>
          <w:ilvl w:val="0"/>
          <w:numId w:val="1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Provisions Subject to Applicable Law.</w:t>
      </w:r>
      <w:r>
        <w:rPr>
          <w:rFonts w:ascii="Arial" w:cs="Arial" w:eastAsia="Arial" w:hAnsi="Arial"/>
          <w:sz w:val="22"/>
          <w:szCs w:val="22"/>
          <w:b w:val="1"/>
          <w:bCs w:val="1"/>
          <w:color w:val="auto"/>
        </w:rPr>
        <w:t xml:space="preserve"> </w:t>
      </w:r>
      <w:r>
        <w:rPr>
          <w:rFonts w:ascii="Arial" w:cs="Arial" w:eastAsia="Arial" w:hAnsi="Arial"/>
          <w:sz w:val="22"/>
          <w:szCs w:val="22"/>
          <w:color w:val="auto"/>
        </w:rPr>
        <w:t>All provisions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only to the extent that they do not violate any applicable law</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34" w:right="1059" w:bottom="1440" w:gutter="0" w:footer="0" w:header="0"/>
        </w:sectPr>
      </w:pPr>
    </w:p>
    <w:bookmarkStart w:id="14" w:name="page15"/>
    <w:bookmarkEnd w:id="14"/>
    <w:p>
      <w:pPr>
        <w:ind w:right="40"/>
        <w:spacing w:after="0" w:line="287" w:lineRule="auto"/>
        <w:rPr>
          <w:sz w:val="20"/>
          <w:szCs w:val="20"/>
          <w:color w:val="auto"/>
        </w:rPr>
      </w:pPr>
      <w:r>
        <w:rPr>
          <w:rFonts w:ascii="Arial" w:cs="Arial" w:eastAsia="Arial" w:hAnsi="Arial"/>
          <w:sz w:val="19"/>
          <w:szCs w:val="19"/>
          <w:color w:val="auto"/>
        </w:rPr>
        <w:t>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64" w:lineRule="exact"/>
        <w:rPr>
          <w:sz w:val="20"/>
          <w:szCs w:val="20"/>
          <w:color w:val="auto"/>
        </w:rPr>
      </w:pPr>
    </w:p>
    <w:p>
      <w:pPr>
        <w:ind w:right="40" w:firstLine="1305"/>
        <w:spacing w:after="0" w:line="283" w:lineRule="auto"/>
        <w:tabs>
          <w:tab w:leader="none" w:pos="2076" w:val="left"/>
        </w:tabs>
        <w:numPr>
          <w:ilvl w:val="1"/>
          <w:numId w:val="19"/>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Waiver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party shall be deemed to have waived any right or remedy that</w:t>
      </w:r>
      <w:r>
        <w:rPr>
          <w:rFonts w:ascii="Arial" w:cs="Arial" w:eastAsia="Arial" w:hAnsi="Arial"/>
          <w:sz w:val="19"/>
          <w:szCs w:val="19"/>
          <w:b w:val="1"/>
          <w:bCs w:val="1"/>
          <w:color w:val="auto"/>
        </w:rPr>
        <w:t xml:space="preserve"> </w:t>
      </w:r>
      <w:r>
        <w:rPr>
          <w:rFonts w:ascii="Arial" w:cs="Arial" w:eastAsia="Arial" w:hAnsi="Arial"/>
          <w:sz w:val="19"/>
          <w:szCs w:val="19"/>
          <w:color w:val="auto"/>
        </w:rPr>
        <w:t>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69" w:lineRule="exact"/>
        <w:rPr>
          <w:rFonts w:ascii="Arial" w:cs="Arial" w:eastAsia="Arial" w:hAnsi="Arial"/>
          <w:sz w:val="18"/>
          <w:szCs w:val="18"/>
          <w:b w:val="1"/>
          <w:bCs w:val="1"/>
          <w:color w:val="auto"/>
        </w:rPr>
      </w:pPr>
    </w:p>
    <w:p>
      <w:pPr>
        <w:ind w:right="520" w:firstLine="1305"/>
        <w:spacing w:after="0" w:line="280" w:lineRule="auto"/>
        <w:tabs>
          <w:tab w:leader="none" w:pos="2038" w:val="left"/>
        </w:tabs>
        <w:numPr>
          <w:ilvl w:val="1"/>
          <w:numId w:val="19"/>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Headings; Gender and Number</w:t>
      </w:r>
      <w:r>
        <w:rPr>
          <w:rFonts w:ascii="Arial" w:cs="Arial" w:eastAsia="Arial" w:hAnsi="Arial"/>
          <w:sz w:val="19"/>
          <w:szCs w:val="19"/>
          <w:color w:val="auto"/>
        </w:rPr>
        <w:t>. The headings contained in this Agreement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purposes only and shall not affect in any manner the meaning or interpretation of this</w:t>
      </w:r>
    </w:p>
    <w:p>
      <w:pPr>
        <w:ind w:right="20"/>
        <w:spacing w:after="0" w:line="232" w:lineRule="auto"/>
        <w:rPr>
          <w:rFonts w:ascii="Arial" w:cs="Arial" w:eastAsia="Arial" w:hAnsi="Arial"/>
          <w:sz w:val="18"/>
          <w:szCs w:val="18"/>
          <w:b w:val="1"/>
          <w:bCs w:val="1"/>
          <w:color w:val="auto"/>
        </w:rPr>
      </w:pPr>
      <w:r>
        <w:rPr>
          <w:rFonts w:ascii="Arial" w:cs="Arial" w:eastAsia="Arial" w:hAnsi="Arial"/>
          <w:sz w:val="22"/>
          <w:szCs w:val="22"/>
          <w:color w:val="auto"/>
        </w:rPr>
        <w:t>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refers to any natural person, corporation, partnership, limited liability company or other association or entity, as applicable.</w:t>
      </w:r>
    </w:p>
    <w:p>
      <w:pPr>
        <w:spacing w:after="0" w:line="209" w:lineRule="exact"/>
        <w:rPr>
          <w:rFonts w:ascii="Arial" w:cs="Arial" w:eastAsia="Arial" w:hAnsi="Arial"/>
          <w:sz w:val="18"/>
          <w:szCs w:val="18"/>
          <w:b w:val="1"/>
          <w:bCs w:val="1"/>
          <w:color w:val="auto"/>
        </w:rPr>
      </w:pPr>
    </w:p>
    <w:p>
      <w:pPr>
        <w:ind w:firstLine="1305"/>
        <w:spacing w:after="0" w:line="280" w:lineRule="auto"/>
        <w:tabs>
          <w:tab w:leader="none" w:pos="2032" w:val="left"/>
        </w:tabs>
        <w:numPr>
          <w:ilvl w:val="1"/>
          <w:numId w:val="19"/>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Representation of the Employee; Interpretation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71" w:lineRule="exact"/>
        <w:rPr>
          <w:rFonts w:ascii="Arial" w:cs="Arial" w:eastAsia="Arial" w:hAnsi="Arial"/>
          <w:sz w:val="18"/>
          <w:szCs w:val="18"/>
          <w:b w:val="1"/>
          <w:bCs w:val="1"/>
          <w:color w:val="auto"/>
        </w:rPr>
      </w:pPr>
    </w:p>
    <w:p>
      <w:pPr>
        <w:ind w:right="200" w:firstLine="1305"/>
        <w:spacing w:after="0" w:line="243" w:lineRule="auto"/>
        <w:tabs>
          <w:tab w:leader="none" w:pos="2076" w:val="left"/>
        </w:tabs>
        <w:numPr>
          <w:ilvl w:val="1"/>
          <w:numId w:val="19"/>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and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PDF format, each of which will be deemed an original but both of which together will constitute a single instrument.</w:t>
      </w:r>
    </w:p>
    <w:p>
      <w:pPr>
        <w:spacing w:after="0" w:line="203" w:lineRule="exact"/>
        <w:rPr>
          <w:rFonts w:ascii="Arial" w:cs="Arial" w:eastAsia="Arial" w:hAnsi="Arial"/>
          <w:sz w:val="20"/>
          <w:szCs w:val="20"/>
          <w:b w:val="1"/>
          <w:bCs w:val="1"/>
          <w:color w:val="auto"/>
        </w:rPr>
      </w:pPr>
    </w:p>
    <w:p>
      <w:pPr>
        <w:ind w:right="300" w:firstLine="1305"/>
        <w:spacing w:after="0" w:line="256" w:lineRule="auto"/>
        <w:tabs>
          <w:tab w:leader="none" w:pos="2038" w:val="left"/>
        </w:tabs>
        <w:numPr>
          <w:ilvl w:val="1"/>
          <w:numId w:val="19"/>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California.</w:t>
      </w:r>
    </w:p>
    <w:p>
      <w:pPr>
        <w:spacing w:after="0" w:line="189" w:lineRule="exact"/>
        <w:rPr>
          <w:rFonts w:ascii="Arial" w:cs="Arial" w:eastAsia="Arial" w:hAnsi="Arial"/>
          <w:sz w:val="20"/>
          <w:szCs w:val="20"/>
          <w:b w:val="1"/>
          <w:bCs w:val="1"/>
          <w:color w:val="auto"/>
        </w:rPr>
      </w:pPr>
    </w:p>
    <w:p>
      <w:pPr>
        <w:ind w:left="1480" w:hanging="694"/>
        <w:spacing w:after="0"/>
        <w:tabs>
          <w:tab w:leader="none" w:pos="14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right="100" w:firstLine="1305"/>
        <w:spacing w:after="0" w:line="243" w:lineRule="auto"/>
        <w:tabs>
          <w:tab w:leader="none" w:pos="2034" w:val="left"/>
        </w:tabs>
        <w:numPr>
          <w:ilvl w:val="1"/>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Submission to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dispute, controversy or claim arising out of or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any breach of this Agreement or the Employee's employment with the Employer shall be submitted to and decided exclusively by binding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5" w:name="page16"/>
    <w:bookmarkEnd w:id="15"/>
    <w:p>
      <w:pPr>
        <w:ind w:right="20"/>
        <w:spacing w:after="0" w:line="270" w:lineRule="auto"/>
        <w:rPr>
          <w:sz w:val="20"/>
          <w:szCs w:val="20"/>
          <w:color w:val="auto"/>
        </w:rPr>
      </w:pPr>
      <w:r>
        <w:rPr>
          <w:rFonts w:ascii="Arial" w:cs="Arial" w:eastAsia="Arial" w:hAnsi="Arial"/>
          <w:sz w:val="19"/>
          <w:szCs w:val="19"/>
          <w:color w:val="auto"/>
        </w:rPr>
        <w:t xml:space="preserve">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seq.; </w:t>
      </w:r>
      <w:r>
        <w:rPr>
          <w:rFonts w:ascii="Arial" w:cs="Arial" w:eastAsia="Arial" w:hAnsi="Arial"/>
          <w:sz w:val="19"/>
          <w:szCs w:val="19"/>
          <w:color w:val="auto"/>
        </w:rPr>
        <w:t>and any other federal, state or local anti-discrimination laws relating to discrimination, including, but not</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200" w:lineRule="exact"/>
        <w:rPr>
          <w:sz w:val="20"/>
          <w:szCs w:val="20"/>
          <w:color w:val="auto"/>
        </w:rPr>
      </w:pPr>
    </w:p>
    <w:p>
      <w:pPr>
        <w:spacing w:after="0" w:line="235" w:lineRule="exact"/>
        <w:rPr>
          <w:sz w:val="20"/>
          <w:szCs w:val="20"/>
          <w:color w:val="auto"/>
        </w:rPr>
      </w:pPr>
    </w:p>
    <w:p>
      <w:pPr>
        <w:ind w:firstLine="1305"/>
        <w:spacing w:after="0" w:line="275" w:lineRule="auto"/>
        <w:tabs>
          <w:tab w:leader="none" w:pos="2066"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claims are expressly excluded and not covered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76" w:lineRule="exact"/>
        <w:rPr>
          <w:rFonts w:ascii="Arial" w:cs="Arial" w:eastAsia="Arial" w:hAnsi="Arial"/>
          <w:sz w:val="19"/>
          <w:szCs w:val="19"/>
          <w:b w:val="1"/>
          <w:bCs w:val="1"/>
          <w:color w:val="auto"/>
        </w:rPr>
      </w:pPr>
    </w:p>
    <w:p>
      <w:pPr>
        <w:ind w:right="140" w:firstLine="1305"/>
        <w:spacing w:after="0" w:line="276" w:lineRule="auto"/>
        <w:tabs>
          <w:tab w:leader="none" w:pos="2043"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 Provider and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Any claim arising between the Employee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auto"/>
        </w:rPr>
        <w:t xml:space="preserve">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6" w:lineRule="exact"/>
        <w:rPr>
          <w:rFonts w:ascii="Arial" w:cs="Arial" w:eastAsia="Arial" w:hAnsi="Arial"/>
          <w:sz w:val="19"/>
          <w:szCs w:val="19"/>
          <w:b w:val="1"/>
          <w:bCs w:val="1"/>
          <w:color w:val="auto"/>
        </w:rPr>
      </w:pPr>
    </w:p>
    <w:p>
      <w:pPr>
        <w:ind w:left="2080" w:hanging="775"/>
        <w:spacing w:after="0"/>
        <w:tabs>
          <w:tab w:leader="none" w:pos="2080" w:val="left"/>
        </w:tabs>
        <w:numPr>
          <w:ilvl w:val="0"/>
          <w:numId w:val="21"/>
        </w:numPr>
        <w:rPr>
          <w:rFonts w:ascii="Arial" w:cs="Arial" w:eastAsia="Arial" w:hAnsi="Arial"/>
          <w:sz w:val="21"/>
          <w:szCs w:val="21"/>
          <w:b w:val="1"/>
          <w:bCs w:val="1"/>
          <w:color w:val="auto"/>
        </w:rPr>
      </w:pPr>
      <w:r>
        <w:rPr>
          <w:rFonts w:ascii="Arial" w:cs="Arial" w:eastAsia="Arial" w:hAnsi="Arial"/>
          <w:sz w:val="22"/>
          <w:szCs w:val="22"/>
          <w:b w:val="1"/>
          <w:bCs w:val="1"/>
          <w:u w:val="single" w:color="auto"/>
          <w:color w:val="auto"/>
        </w:rPr>
        <w:t>Written Award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The arbitrator must issue a written award.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6" w:name="page17"/>
    <w:bookmarkEnd w:id="16"/>
    <w:p>
      <w:pPr>
        <w:ind w:right="200"/>
        <w:spacing w:after="0" w:line="287" w:lineRule="auto"/>
        <w:rPr>
          <w:sz w:val="20"/>
          <w:szCs w:val="20"/>
          <w:color w:val="auto"/>
        </w:rPr>
      </w:pPr>
      <w:r>
        <w:rPr>
          <w:rFonts w:ascii="Arial" w:cs="Arial" w:eastAsia="Arial" w:hAnsi="Arial"/>
          <w:sz w:val="19"/>
          <w:szCs w:val="19"/>
          <w:color w:val="auto"/>
        </w:rPr>
        <w:t>The arbitrator shall, 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64" w:lineRule="exact"/>
        <w:rPr>
          <w:sz w:val="20"/>
          <w:szCs w:val="20"/>
          <w:color w:val="auto"/>
        </w:rPr>
      </w:pPr>
    </w:p>
    <w:p>
      <w:pPr>
        <w:ind w:right="20" w:firstLine="1305"/>
        <w:spacing w:after="0" w:line="237" w:lineRule="auto"/>
        <w:tabs>
          <w:tab w:leader="none" w:pos="2043" w:val="left"/>
        </w:tabs>
        <w:numPr>
          <w:ilvl w:val="0"/>
          <w:numId w:val="22"/>
        </w:numPr>
        <w:rPr>
          <w:rFonts w:ascii="Arial" w:cs="Arial" w:eastAsia="Arial" w:hAnsi="Arial"/>
          <w:sz w:val="21"/>
          <w:szCs w:val="21"/>
          <w:b w:val="1"/>
          <w:bCs w:val="1"/>
          <w:color w:val="auto"/>
        </w:rPr>
      </w:pPr>
      <w:r>
        <w:rPr>
          <w:rFonts w:ascii="Arial" w:cs="Arial" w:eastAsia="Arial" w:hAnsi="Arial"/>
          <w:sz w:val="22"/>
          <w:szCs w:val="22"/>
          <w:b w:val="1"/>
          <w:bCs w:val="1"/>
          <w:u w:val="single" w:color="auto"/>
          <w:color w:val="auto"/>
        </w:rPr>
        <w:t>Fees and Costs.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required by law, the Employer shall pay the arbitrator's fees</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administrative costs of arbitration, and other reasonable costs as specified by the arbitrator under applicable law so that Employee does not have to bear any cost which he would not have to bear in court beyond any amount which would have to be paid as a filing fee in a superior court. The arbitrator shall award attorneys' fees and costs to the prevailing party.</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the Employer and the Employee have executed and delivered this Agreement as of the date first written above.</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CALAVO GROWERS, INC.</w:t>
      </w:r>
    </w:p>
    <w:p>
      <w:pPr>
        <w:spacing w:after="0" w:line="200" w:lineRule="exact"/>
        <w:rPr>
          <w:sz w:val="20"/>
          <w:szCs w:val="20"/>
          <w:color w:val="auto"/>
        </w:rPr>
      </w:pPr>
    </w:p>
    <w:p>
      <w:pPr>
        <w:spacing w:after="0" w:line="29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James E.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45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Chief Executive Officer</w:t>
      </w:r>
    </w:p>
    <w:p>
      <w:pPr>
        <w:ind w:left="4960"/>
        <w:spacing w:after="0" w:line="230" w:lineRule="auto"/>
        <w:rPr>
          <w:sz w:val="20"/>
          <w:szCs w:val="20"/>
          <w:color w:val="auto"/>
        </w:rPr>
      </w:pPr>
      <w:r>
        <w:rPr>
          <w:rFonts w:ascii="Arial" w:cs="Arial" w:eastAsia="Arial" w:hAnsi="Arial"/>
          <w:sz w:val="22"/>
          <w:szCs w:val="22"/>
          <w:color w:val="auto"/>
        </w:rPr>
        <w:t>Current Address:</w:t>
      </w:r>
    </w:p>
    <w:p>
      <w:pPr>
        <w:ind w:left="4960"/>
        <w:spacing w:after="0" w:line="231" w:lineRule="auto"/>
        <w:rPr>
          <w:sz w:val="20"/>
          <w:szCs w:val="20"/>
          <w:color w:val="auto"/>
        </w:rPr>
      </w:pPr>
      <w:r>
        <w:rPr>
          <w:rFonts w:ascii="Arial" w:cs="Arial" w:eastAsia="Arial" w:hAnsi="Arial"/>
          <w:sz w:val="22"/>
          <w:szCs w:val="22"/>
          <w:color w:val="auto"/>
        </w:rPr>
        <w:t>1141A Cummings Road Santa Paula, CA 93060</w:t>
      </w:r>
    </w:p>
    <w:p>
      <w:pPr>
        <w:ind w:left="4960"/>
        <w:spacing w:after="0"/>
        <w:rPr>
          <w:sz w:val="20"/>
          <w:szCs w:val="20"/>
          <w:color w:val="auto"/>
        </w:rPr>
      </w:pPr>
      <w:r>
        <w:rPr>
          <w:rFonts w:ascii="Arial" w:cs="Arial" w:eastAsia="Arial" w:hAnsi="Arial"/>
          <w:sz w:val="22"/>
          <w:szCs w:val="22"/>
          <w:color w:val="auto"/>
        </w:rPr>
        <w:t>JimG@calavo.com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45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927 County Valley Road</w:t>
      </w:r>
    </w:p>
    <w:p>
      <w:pPr>
        <w:ind w:left="4960"/>
        <w:spacing w:after="0"/>
        <w:rPr>
          <w:sz w:val="20"/>
          <w:szCs w:val="20"/>
          <w:color w:val="auto"/>
        </w:rPr>
      </w:pPr>
      <w:r>
        <w:rPr>
          <w:rFonts w:ascii="Arial" w:cs="Arial" w:eastAsia="Arial" w:hAnsi="Arial"/>
          <w:sz w:val="22"/>
          <w:szCs w:val="22"/>
          <w:color w:val="auto"/>
        </w:rPr>
        <w:t>Westlake Village, CA 91362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34" w:right="10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903095"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Appoints Kevin Manion as Chief Financial Officer</w:t>
      </w:r>
    </w:p>
    <w:p>
      <w:pPr>
        <w:spacing w:after="0" w:line="31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SANTA PAULA, Calif. May 11, 2020—Calavo Growers, Inc. (Nasdaq-GS: CVGW), a global avocado-industry leader and provider of value-added fresh food, today announced that Kevin Manion, a veteran finance executive, has been appointed Chief Financial Officer.</w:t>
      </w:r>
    </w:p>
    <w:p>
      <w:pPr>
        <w:spacing w:after="0" w:line="11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“We are delighted to welcome Kevin Manion as our new CFO,” said James E. Gibson, Chief Executive Officer of Calavo Growers. “Kevin has held senior financial leadership roles at several major food companies and has three decades of financial management, capital markets and operational experience. His wealth of experience in the food industry and his financial acumen will be invaluable to our company as we execute on the next phase of our long-term growth strategy.”</w:t>
      </w:r>
    </w:p>
    <w:p>
      <w:pPr>
        <w:spacing w:after="0" w:line="9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“I am very excited to join Calavo, which has had a long and successful history as a leader in the avocado and fresh food sector as demonstrated by its strong brand and blue-chip partners. Given growing consumer demand for avocados and other fresh food categories, Calavo is well-positioned for continued strong growth over the long term. I look forward to working with our new CEO Jim Gibson, our active board and the talented finance and operations professionals at Calavo to support our customers and growers and to drive sustainable growth for our shareholders,” said Mr. Manion.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Background of Kevin Manion</w:t>
      </w:r>
    </w:p>
    <w:p>
      <w:pPr>
        <w:spacing w:after="0" w:line="15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Prior to joining Calavo, Mr. Manion held financial leadership positions with companies including Century Snacks (producer and distributor of nuts, trail mixes, dried fruits and other snacks), Young’s Market Company (wholesaler and distributor of wine and spirits), Bolthouse Farms (provider of fresh, healthy and nutritious produce and beverages), Hostess Brands, Nestle USA and Kraft General Foods. In these roles, he supported revenue growth, efficiency and profitability initiatives, inventory management, treasury and capital markets activities, mergers and acquisitions, strategic and financial planning and investor relations. Mr. Manion began his career in public accounting at Arthur Andersen &amp; Co. He also served as the lead director of Fresh Food Group, a leading provider of fresh-cut fruit, apple slices, vegetables and snacking solutions.</w:t>
      </w:r>
    </w:p>
    <w:p>
      <w:pPr>
        <w:spacing w:after="0" w:line="101"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Mr. Manion has a BBA in accounting from the University of Notre Dame. He is a Certified Public Accountant, a Certified Production and Inventory Control Manager, a Certified Investor Relations Professional and a Certified Treasury Professional. He was named CFO of the Year in Orange County, CA in 2014.</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2</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Lisa Mueller, Senior Vice President</w:t>
      </w:r>
    </w:p>
    <w:p>
      <w:pPr>
        <w:ind w:right="7600" w:firstLine="9"/>
        <w:spacing w:after="0" w:line="297" w:lineRule="auto"/>
        <w:tabs>
          <w:tab w:leader="none" w:pos="4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622-8231 calavo@finprofiles.com</w:t>
      </w:r>
    </w:p>
    <w:p>
      <w:pPr>
        <w:spacing w:after="0" w:line="160"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520"/>
      </w:cols>
      <w:pgMar w:left="980" w:top="125"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decimal"/>
      <w:start w:val="1"/>
    </w:lvl>
    <w:lvl w:ilvl="1">
      <w:lvlJc w:val="left"/>
      <w:lvlText w:val="(%2)"/>
      <w:numFmt w:val="lowerLetter"/>
      <w:start w:val="3"/>
    </w:lvl>
  </w:abstractNum>
  <w:abstractNum w:abstractNumId="4">
    <w:nsid w:val="DED7263"/>
    <w:multiLevelType w:val="hybridMultilevel"/>
    <w:lvl w:ilvl="0">
      <w:lvlJc w:val="left"/>
      <w:lvlText w:val="%1."/>
      <w:numFmt w:val="decimal"/>
      <w:start w:val="3"/>
    </w:lvl>
    <w:lvl w:ilvl="1">
      <w:lvlJc w:val="left"/>
      <w:lvlText w:val="(%2)"/>
      <w:numFmt w:val="lowerLetter"/>
      <w:start w:val="1"/>
    </w:lvl>
  </w:abstractNum>
  <w:abstractNum w:abstractNumId="5">
    <w:nsid w:val="7FDCC233"/>
    <w:multiLevelType w:val="hybridMultilevel"/>
    <w:lvl w:ilvl="0">
      <w:lvlJc w:val="left"/>
      <w:lvlText w:val="(%1)"/>
      <w:numFmt w:val="lowerLetter"/>
      <w:start w:val="2"/>
    </w:lvl>
    <w:lvl w:ilvl="1">
      <w:lvlJc w:val="left"/>
      <w:lvlText w:val="(%2)"/>
      <w:numFmt w:val="lowerRoman"/>
      <w:start w:val="1"/>
    </w:lvl>
  </w:abstractNum>
  <w:abstractNum w:abstractNumId="6">
    <w:nsid w:val="1BEFD79F"/>
    <w:multiLevelType w:val="hybridMultilevel"/>
    <w:lvl w:ilvl="0">
      <w:lvlJc w:val="left"/>
      <w:lvlText w:val="(%1)"/>
      <w:numFmt w:val="lowerRoman"/>
      <w:start w:val="2"/>
    </w:lvl>
  </w:abstractNum>
  <w:abstractNum w:abstractNumId="7">
    <w:nsid w:val="41A7C4C9"/>
    <w:multiLevelType w:val="hybridMultilevel"/>
    <w:lvl w:ilvl="0">
      <w:lvlJc w:val="left"/>
      <w:lvlText w:val="%1"/>
      <w:numFmt w:val="decimal"/>
      <w:start w:val="1"/>
    </w:lvl>
    <w:lvl w:ilvl="1">
      <w:lvlJc w:val="left"/>
      <w:lvlText w:val="(%2)"/>
      <w:numFmt w:val="lowerLetter"/>
      <w:start w:val="4"/>
    </w:lvl>
  </w:abstractNum>
  <w:abstractNum w:abstractNumId="8">
    <w:nsid w:val="6B68079A"/>
    <w:multiLevelType w:val="hybridMultilevel"/>
    <w:lvl w:ilvl="0">
      <w:lvlJc w:val="left"/>
      <w:lvlText w:val="%1."/>
      <w:numFmt w:val="decimal"/>
      <w:start w:val="4"/>
    </w:lvl>
    <w:lvl w:ilvl="1">
      <w:lvlJc w:val="left"/>
      <w:lvlText w:val="(%2)"/>
      <w:numFmt w:val="lowerLetter"/>
      <w:start w:val="1"/>
    </w:lvl>
  </w:abstractNum>
  <w:abstractNum w:abstractNumId="9">
    <w:nsid w:val="4E6AFB66"/>
    <w:multiLevelType w:val="hybridMultilevel"/>
    <w:lvl w:ilvl="0">
      <w:lvlJc w:val="left"/>
      <w:lvlText w:val="(%1)"/>
      <w:numFmt w:val="lowerLetter"/>
      <w:start w:val="2"/>
    </w:lvl>
  </w:abstractNum>
  <w:abstractNum w:abstractNumId="10">
    <w:nsid w:val="25E45D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519B50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2">
    <w:nsid w:val="431BD7B7"/>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3">
    <w:nsid w:val="3F2DBA31"/>
    <w:multiLevelType w:val="hybridMultilevel"/>
    <w:lvl w:ilvl="0">
      <w:lvlJc w:val="left"/>
      <w:lvlText w:val="%1"/>
      <w:numFmt w:val="decimal"/>
      <w:start w:val="1"/>
    </w:lvl>
    <w:lvl w:ilvl="1">
      <w:lvlJc w:val="left"/>
      <w:lvlText w:val="(%2)"/>
      <w:numFmt w:val="lowerLetter"/>
      <w:start w:val="2"/>
    </w:lvl>
  </w:abstractNum>
  <w:abstractNum w:abstractNumId="14">
    <w:nsid w:val="7C83E458"/>
    <w:multiLevelType w:val="hybridMultilevel"/>
    <w:lvl w:ilvl="0">
      <w:lvlJc w:val="left"/>
      <w:lvlText w:val="%1."/>
      <w:numFmt w:val="decimal"/>
      <w:start w:val="7"/>
    </w:lvl>
    <w:lvl w:ilvl="1">
      <w:lvlJc w:val="left"/>
      <w:lvlText w:val="(%2)"/>
      <w:numFmt w:val="lowerLetter"/>
      <w:start w:val="1"/>
    </w:lvl>
  </w:abstractNum>
  <w:abstractNum w:abstractNumId="15">
    <w:nsid w:val="257130A3"/>
    <w:multiLevelType w:val="hybridMultilevel"/>
    <w:lvl w:ilvl="0">
      <w:lvlJc w:val="left"/>
      <w:lvlText w:val="%1"/>
      <w:numFmt w:val="decimal"/>
      <w:start w:val="1"/>
    </w:lvl>
    <w:lvl w:ilvl="1">
      <w:lvlJc w:val="left"/>
      <w:lvlText w:val="(%2)"/>
      <w:numFmt w:val="lowerLetter"/>
      <w:start w:val="2"/>
    </w:lvl>
  </w:abstractNum>
  <w:abstractNum w:abstractNumId="16">
    <w:nsid w:val="62BBD95A"/>
    <w:multiLevelType w:val="hybridMultilevel"/>
    <w:lvl w:ilvl="0">
      <w:lvlJc w:val="left"/>
      <w:lvlText w:val="%1."/>
      <w:numFmt w:val="decimal"/>
      <w:start w:val="8"/>
    </w:lvl>
    <w:lvl w:ilvl="1">
      <w:lvlJc w:val="left"/>
      <w:lvlText w:val="(%2)"/>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decimal"/>
      <w:start w:val="1"/>
    </w:lvl>
    <w:lvl w:ilvl="1">
      <w:lvlJc w:val="left"/>
      <w:lvlText w:val="(%2)"/>
      <w:numFmt w:val="lowerLetter"/>
      <w:start w:val="9"/>
    </w:lvl>
  </w:abstractNum>
  <w:abstractNum w:abstractNumId="19">
    <w:nsid w:val="333AB105"/>
    <w:multiLevelType w:val="hybridMultilevel"/>
    <w:lvl w:ilvl="0">
      <w:lvlJc w:val="left"/>
      <w:lvlText w:val="%1."/>
      <w:numFmt w:val="decimal"/>
      <w:start w:val="9"/>
    </w:lvl>
    <w:lvl w:ilvl="1">
      <w:lvlJc w:val="left"/>
      <w:lvlText w:val="(%2)"/>
      <w:numFmt w:val="lowerLetter"/>
      <w:start w:val="1"/>
    </w:lvl>
  </w:abstractNum>
  <w:abstractNum w:abstractNumId="20">
    <w:nsid w:val="721DA317"/>
    <w:multiLevelType w:val="hybridMultilevel"/>
    <w:lvl w:ilvl="0">
      <w:lvlJc w:val="left"/>
      <w:lvlText w:val="(%1)"/>
      <w:numFmt w:val="lowerLetter"/>
      <w:start w:val="2"/>
    </w:lvl>
  </w:abstractNum>
  <w:abstractNum w:abstractNumId="21">
    <w:nsid w:val="2443A858"/>
    <w:multiLevelType w:val="hybridMultilevel"/>
    <w:lvl w:ilvl="0">
      <w:lvlJc w:val="left"/>
      <w:lvlText w:val="(%1)"/>
      <w:numFmt w:val="lowerLetter"/>
      <w:start w:val="5"/>
    </w:lvl>
  </w:abstractNum>
  <w:abstractNum w:abstractNumId="22">
    <w:nsid w:val="2D1D5AE9"/>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2020-05-11T15:54:17Z</dcterms:created>
  <dcterms:modified xsi:type="dcterms:W3CDTF">2020-05-11T15:54:17Z</dcterms:modified>
</cp:coreProperties>
</file>