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0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jc w:val="center"/>
              <w:ind w:lef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  <w:w w:val="95"/>
              </w:rPr>
              <w:t>UNITED STATES</w:t>
            </w:r>
          </w:p>
        </w:tc>
      </w:tr>
      <w:tr>
        <w:trPr>
          <w:trHeight w:val="200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jc w:val="center"/>
              <w:ind w:lef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  <w:w w:val="97"/>
              </w:rPr>
              <w:t>SECURITIES AND EXCHANGE COMMISSION</w:t>
            </w:r>
          </w:p>
        </w:tc>
      </w:tr>
      <w:tr>
        <w:trPr>
          <w:trHeight w:val="200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jc w:val="center"/>
              <w:ind w:lef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  <w:w w:val="97"/>
              </w:rPr>
              <w:t>WASHINGTON, D.C. 20549</w:t>
            </w:r>
          </w:p>
        </w:tc>
      </w:tr>
      <w:tr>
        <w:trPr>
          <w:trHeight w:val="200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jc w:val="center"/>
              <w:ind w:lef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  <w:w w:val="97"/>
              </w:rPr>
              <w:t>SCHEDULE 14A</w:t>
            </w:r>
          </w:p>
        </w:tc>
      </w:tr>
      <w:tr>
        <w:trPr>
          <w:trHeight w:val="200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jc w:val="center"/>
              <w:ind w:lef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  <w:w w:val="98"/>
              </w:rPr>
              <w:t>Proxy Statement Pursuant to Section 14(a) of the</w:t>
            </w:r>
          </w:p>
        </w:tc>
      </w:tr>
      <w:tr>
        <w:trPr>
          <w:trHeight w:val="200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jc w:val="center"/>
              <w:ind w:lef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  <w:w w:val="98"/>
              </w:rPr>
              <w:t>Securities Exchange Act of 1934</w:t>
            </w:r>
          </w:p>
        </w:tc>
      </w:tr>
      <w:tr>
        <w:trPr>
          <w:trHeight w:val="220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jc w:val="center"/>
              <w:ind w:lef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(Amendment No.  )</w:t>
            </w:r>
          </w:p>
        </w:tc>
      </w:tr>
      <w:tr>
        <w:trPr>
          <w:trHeight w:val="383"/>
        </w:trPr>
        <w:tc>
          <w:tcPr>
            <w:tcW w:w="2240" w:type="dxa"/>
            <w:vAlign w:val="bottom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 xml:space="preserve">Filed by the Registrant </w:t>
            </w:r>
            <w:r>
              <w:rPr>
                <w:rFonts w:ascii="MS PGothic" w:cs="MS PGothic" w:eastAsia="MS PGothic" w:hAnsi="MS PGothic"/>
                <w:sz w:val="17"/>
                <w:szCs w:val="17"/>
                <w:color w:val="auto"/>
              </w:rPr>
              <w:t>☒</w:t>
            </w:r>
          </w:p>
        </w:tc>
        <w:tc>
          <w:tcPr>
            <w:tcW w:w="4020" w:type="dxa"/>
            <w:vAlign w:val="bottom"/>
          </w:tcPr>
          <w:p>
            <w:pPr>
              <w:jc w:val="center"/>
              <w:ind w:left="317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98"/>
              </w:rPr>
              <w:t xml:space="preserve">Filed by a Party other than the Registrant </w:t>
            </w:r>
            <w:r>
              <w:rPr>
                <w:rFonts w:ascii="MS PGothic" w:cs="MS PGothic" w:eastAsia="MS PGothic" w:hAnsi="MS PGothic"/>
                <w:sz w:val="17"/>
                <w:szCs w:val="17"/>
                <w:color w:val="auto"/>
                <w:w w:val="98"/>
              </w:rPr>
              <w:t>☐</w:t>
            </w:r>
          </w:p>
        </w:tc>
      </w:tr>
      <w:tr>
        <w:trPr>
          <w:trHeight w:val="216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Check the appropriate box:</w:t>
            </w:r>
          </w:p>
        </w:tc>
        <w:tc>
          <w:tcPr>
            <w:tcW w:w="4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pacing w:after="0" w:line="188" w:lineRule="exact"/>
        <w:rPr>
          <w:sz w:val="24"/>
          <w:szCs w:val="24"/>
          <w:color w:val="auto"/>
        </w:rPr>
      </w:pPr>
    </w:p>
    <w:p>
      <w:pPr>
        <w:ind w:left="320" w:hanging="271"/>
        <w:spacing w:after="0"/>
        <w:tabs>
          <w:tab w:leader="none" w:pos="3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Preliminary Proxy Statement</w:t>
      </w:r>
    </w:p>
    <w:p>
      <w:pPr>
        <w:spacing w:after="0" w:line="30" w:lineRule="exact"/>
        <w:rPr>
          <w:rFonts w:ascii="MS PGothic" w:cs="MS PGothic" w:eastAsia="MS PGothic" w:hAnsi="MS PGothic"/>
          <w:sz w:val="15"/>
          <w:szCs w:val="15"/>
          <w:color w:val="auto"/>
        </w:rPr>
      </w:pPr>
    </w:p>
    <w:p>
      <w:pPr>
        <w:ind w:left="320" w:hanging="271"/>
        <w:spacing w:after="0"/>
        <w:tabs>
          <w:tab w:leader="none" w:pos="3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4" w:lineRule="exact"/>
        <w:rPr>
          <w:rFonts w:ascii="MS PGothic" w:cs="MS PGothic" w:eastAsia="MS PGothic" w:hAnsi="MS PGothic"/>
          <w:sz w:val="15"/>
          <w:szCs w:val="15"/>
          <w:color w:val="auto"/>
        </w:rPr>
      </w:pPr>
    </w:p>
    <w:p>
      <w:pPr>
        <w:ind w:left="320" w:hanging="271"/>
        <w:spacing w:after="0"/>
        <w:tabs>
          <w:tab w:leader="none" w:pos="3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Definitive Proxy Statement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20" w:hanging="271"/>
        <w:spacing w:after="0"/>
        <w:tabs>
          <w:tab w:leader="none" w:pos="3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Definitive Additional Materials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320" w:hanging="271"/>
        <w:spacing w:after="0"/>
        <w:tabs>
          <w:tab w:leader="none" w:pos="3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Soliciting Material Pursuant to Section 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Calavo Growers, Inc.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Registrant as Specified in Its Charter)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480" w:hanging="431"/>
        <w:spacing w:after="0"/>
        <w:tabs>
          <w:tab w:leader="none" w:pos="4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No fee required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0" w:hanging="431"/>
        <w:spacing w:after="0"/>
        <w:tabs>
          <w:tab w:leader="none" w:pos="4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Fee computed on table below per Exchange Act Rules 14a-6(i)(1) and 0-11.</w:t>
      </w:r>
    </w:p>
    <w:p>
      <w:pPr>
        <w:spacing w:after="0" w:line="20" w:lineRule="exact"/>
        <w:rPr>
          <w:rFonts w:ascii="MS PGothic" w:cs="MS PGothic" w:eastAsia="MS PGothic" w:hAnsi="MS PGothic"/>
          <w:sz w:val="15"/>
          <w:szCs w:val="15"/>
          <w:color w:val="auto"/>
        </w:rPr>
      </w:pPr>
    </w:p>
    <w:p>
      <w:pPr>
        <w:ind w:left="480" w:hanging="431"/>
        <w:spacing w:after="0"/>
        <w:tabs>
          <w:tab w:leader="none" w:pos="4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Fee paid previously with preliminary materials.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451485</wp:posOffset>
            </wp:positionV>
            <wp:extent cx="5666105" cy="234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105" cy="23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619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266700</wp:posOffset>
            </wp:positionH>
            <wp:positionV relativeFrom="page">
              <wp:posOffset>88900</wp:posOffset>
            </wp:positionV>
            <wp:extent cx="6888480" cy="90633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8480" cy="9063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266700</wp:posOffset>
            </wp:positionH>
            <wp:positionV relativeFrom="page">
              <wp:posOffset>88900</wp:posOffset>
            </wp:positionV>
            <wp:extent cx="6888480" cy="90709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8480" cy="907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2023-02-28T17:32:12Z</dcterms:created>
  <dcterms:modified xsi:type="dcterms:W3CDTF">2023-02-28T17:32:12Z</dcterms:modified>
</cp:coreProperties>
</file>