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8, 2022</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-116840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1"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9" w:lineRule="exact"/>
        <w:rPr>
          <w:sz w:val="24"/>
          <w:szCs w:val="24"/>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60" w:right="159"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544830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125095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167640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August 9, 2022, Calavo Growers, Inc. (“Calavo”) issued a press release announcing the appointment of Ms. Helen Kurtz as Senior Vice President and General Manager of Calavo Prepared. A copy of the press release is filed as Exhibit 99.1 hereto and incorporated herein by reference.</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accordance with General Instruction B.2 of Form 8-K, Exhibit 99.1 is being furnished and shall not be deemed to be “filed” for purposes of Section 18 of the Securities Exchange Act of 1934, as amended (the “Exchange Act”), or otherwise subject to the liabilities of that section, and shall not be deemed to be incorporated by reference into any of Calavo’s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Calavo has appointed Ms. Helen Kurtz, age 52, to serve as Senior Vice President and General Manager of Calavo Prepared commencing August 17, 2022.</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Since 2017, Ms. Kurtz has served as Senior Vice President and Chief Marketing Officer of Foster Farms. From 1997 to 2017, Ms. Kurtz held various rolls at General Mills, Inc. (NYSE: GIS). At General Mills, Ms. Kurtz led a number of brands including Betty Crocker, Chex Mix and Fruit Snacks and served as Vice President of Yoplait.</w:t>
      </w:r>
    </w:p>
    <w:p>
      <w:pPr>
        <w:spacing w:after="0" w:line="1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Pursuant to an Employment Agreement between Calavo and Ms. Kurtz (the “Kurtz Employment Agreement”), Ms. Kurtz will receive an annual base salary of $430,000, which is subject to increases on an annual basis at the discretion of Calavo’s Compensation Committee. Ms. Kurtz will receive a performance bonus of not less than 50% of her annual base salary for fiscal 2023 if Calavo achieves the annual performance targets established by Calavo’s Compensation Committee for Calavo’s executive officers, provided she remains employed by Calavo for the entire fiscal year. The Compensation Committee may also elect to award Ms. Kurtz a discretionary bonus for any fiscal year, including fiscal 2022. Beginning with fiscal 2023, Ms. Kurtz will also be eligible to receive not less than the equivalent of 50% of her annual base salary in equity awards pursuant to the terms of the Company’s 2020 Equity Incentive Plan, which will vest as described in the Kurtz Employment Agreement. Ms. Kurtz will receive a signing bonus consisting of restricted stock units representing a contingent right to receive Calavo’s common stock having a value of $300,000, which restricted stock units will vest in three equal annual installments, subject to continued service on each vesting date, with the first installment to vest on the first anniversary of the commencement of Ms. Kurtz’s employment. In the event that Ms. Kurtz’s employment is terminated by Calavo without Cause (as defined in the Kurtz Employment Agreement) or Ms. Kurtz terminates her employment for Good Reason (as defined in the Kurtz Employment Agreement), and Ms. Kurtz executes a separation and release agreement, Ms. Kurtz will be entitled to receive severance payments equal to one year of her annual base salary, Calavo-paid health benefits for one year following separation, a pro-rated portion of her annual bonus, and the restricted stock units issued to Ms. Kurtz as a signing bonus will become fully vested as of the date of such termination.</w:t>
      </w:r>
    </w:p>
    <w:p>
      <w:pPr>
        <w:spacing w:after="0" w:line="193"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preceding summary does not purport to be complete and is subject to and qualified in its entirety by the complete text of the Kurtz Employment Agreement, which is filed as Exhibit 99.2 to this Current Report on Form 8-K and which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August 9, 2022.</w:t>
      </w:r>
    </w:p>
    <w:p>
      <w:pPr>
        <w:spacing w:after="0" w:line="27"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Employment Agreement dated August 8, 2022.</w:t>
      </w:r>
    </w:p>
    <w:p>
      <w:pPr>
        <w:spacing w:after="0" w:line="9" w:lineRule="exact"/>
        <w:rPr>
          <w:sz w:val="20"/>
          <w:szCs w:val="20"/>
          <w:color w:val="auto"/>
        </w:rPr>
      </w:pPr>
    </w:p>
    <w:p>
      <w:pPr>
        <w:ind w:left="580" w:hanging="524"/>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August 9, 2022</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97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Brian Kocher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188595</wp:posOffset>
            </wp:positionV>
            <wp:extent cx="1337310" cy="131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31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Calavo Growers, Inc. Names Helen Kurtz to Lead Prepared Segment</w:t>
      </w:r>
    </w:p>
    <w:p>
      <w:pPr>
        <w:spacing w:after="0" w:line="228" w:lineRule="exact"/>
        <w:rPr>
          <w:sz w:val="20"/>
          <w:szCs w:val="20"/>
          <w:color w:val="auto"/>
        </w:rPr>
      </w:pPr>
    </w:p>
    <w:p>
      <w:pPr>
        <w:ind w:right="240"/>
        <w:spacing w:after="0" w:line="237" w:lineRule="auto"/>
        <w:rPr>
          <w:sz w:val="20"/>
          <w:szCs w:val="20"/>
          <w:color w:val="auto"/>
        </w:rPr>
      </w:pPr>
      <w:r>
        <w:rPr>
          <w:rFonts w:ascii="Calibri" w:cs="Calibri" w:eastAsia="Calibri" w:hAnsi="Calibri"/>
          <w:sz w:val="22"/>
          <w:szCs w:val="22"/>
          <w:b w:val="1"/>
          <w:bCs w:val="1"/>
          <w:color w:val="auto"/>
        </w:rPr>
        <w:t xml:space="preserve">SANTA PAULA, Calif., August 09, 2022—Calavo Growers, Inc. (Nasdaq-GS: CVGW), </w:t>
      </w:r>
      <w:r>
        <w:rPr>
          <w:rFonts w:ascii="Calibri" w:cs="Calibri" w:eastAsia="Calibri" w:hAnsi="Calibri"/>
          <w:sz w:val="22"/>
          <w:szCs w:val="22"/>
          <w:color w:val="auto"/>
        </w:rPr>
        <w:t>a global avocado-industry</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leader and provider of value-added fresh food, today announced that Helen Kurtz has been named Senior Vice President &amp; General Manager of Calavo Prepared, the company’s prepared foods segment.</w:t>
      </w:r>
    </w:p>
    <w:p>
      <w:pPr>
        <w:spacing w:after="0" w:line="230" w:lineRule="exact"/>
        <w:rPr>
          <w:sz w:val="20"/>
          <w:szCs w:val="20"/>
          <w:color w:val="auto"/>
        </w:rPr>
      </w:pPr>
    </w:p>
    <w:p>
      <w:pPr>
        <w:ind w:right="60"/>
        <w:spacing w:after="0" w:line="238" w:lineRule="auto"/>
        <w:rPr>
          <w:sz w:val="20"/>
          <w:szCs w:val="20"/>
          <w:color w:val="auto"/>
        </w:rPr>
      </w:pPr>
      <w:r>
        <w:rPr>
          <w:rFonts w:ascii="Calibri" w:cs="Calibri" w:eastAsia="Calibri" w:hAnsi="Calibri"/>
          <w:sz w:val="22"/>
          <w:szCs w:val="22"/>
          <w:color w:val="auto"/>
        </w:rPr>
        <w:t>Ms. Kurtz is a veteran of the food industry with more than 25 years of experience, primarily with General Mills Inc. and, most recently, serving as SVP, Chief Marketng Ofcer of Foster Farms. There, she led the poultry business and orchestrated its sale to private equity. At General Mills, Ms. Kurtz led a number of brands, including Bety Crocker, Chex Mix and Fruit Snacks and served as Vice President of Yoplait.</w:t>
      </w:r>
    </w:p>
    <w:p>
      <w:pPr>
        <w:spacing w:after="0" w:line="231" w:lineRule="exact"/>
        <w:rPr>
          <w:sz w:val="20"/>
          <w:szCs w:val="20"/>
          <w:color w:val="auto"/>
        </w:rPr>
      </w:pPr>
    </w:p>
    <w:p>
      <w:pPr>
        <w:ind w:right="140"/>
        <w:spacing w:after="0" w:line="253" w:lineRule="auto"/>
        <w:rPr>
          <w:sz w:val="20"/>
          <w:szCs w:val="20"/>
          <w:color w:val="auto"/>
        </w:rPr>
      </w:pPr>
      <w:r>
        <w:rPr>
          <w:rFonts w:ascii="Calibri" w:cs="Calibri" w:eastAsia="Calibri" w:hAnsi="Calibri"/>
          <w:sz w:val="21"/>
          <w:szCs w:val="21"/>
          <w:color w:val="auto"/>
        </w:rPr>
        <w:t>In April, Calavo announced it would reorganize its business into two segments, Grown and Prepared, with a senior vice president and general manager responsible for each. The dual segment structure aligns product fulfllment responsibilites with P&amp;L management. Startng August 17th, Ms. Kurtz will lead Calavo’s Prepared segment, which consists of fresh cut fruits and vegetables, ready-to-eat sandwiches, wraps, salads and snacks, guacamole and salsa sold at retail and food service in additon to avocado pulp sold to food service. Ron Araiza, who is retring from a long career in the produce industry in October, will assist in onboarding and transitoning.</w:t>
      </w:r>
    </w:p>
    <w:p>
      <w:pPr>
        <w:spacing w:after="0" w:line="215" w:lineRule="exact"/>
        <w:rPr>
          <w:sz w:val="20"/>
          <w:szCs w:val="20"/>
          <w:color w:val="auto"/>
        </w:rPr>
      </w:pPr>
    </w:p>
    <w:p>
      <w:pPr>
        <w:ind w:right="160"/>
        <w:spacing w:after="0" w:line="238" w:lineRule="auto"/>
        <w:rPr>
          <w:sz w:val="20"/>
          <w:szCs w:val="20"/>
          <w:color w:val="auto"/>
        </w:rPr>
      </w:pPr>
      <w:r>
        <w:rPr>
          <w:rFonts w:ascii="Calibri" w:cs="Calibri" w:eastAsia="Calibri" w:hAnsi="Calibri"/>
          <w:sz w:val="22"/>
          <w:szCs w:val="22"/>
          <w:color w:val="auto"/>
        </w:rPr>
        <w:t>“Helen is a results-driven leader with a wealth of experience in the packaged foods industry, and we are excited for her to lead and grow our Prepared segment.,” said Brian W. Kocher, President and Chief Executve Ofcer of Calavo Growers, Inc. “Her operatonal and marketng expertse will help drive Calavo forward under our new segment structure.”</w:t>
      </w:r>
    </w:p>
    <w:p>
      <w:pPr>
        <w:spacing w:after="0" w:line="231" w:lineRule="exact"/>
        <w:rPr>
          <w:sz w:val="20"/>
          <w:szCs w:val="20"/>
          <w:color w:val="auto"/>
        </w:rPr>
      </w:pPr>
    </w:p>
    <w:p>
      <w:pPr>
        <w:ind w:right="80"/>
        <w:spacing w:after="0" w:line="235" w:lineRule="auto"/>
        <w:rPr>
          <w:sz w:val="20"/>
          <w:szCs w:val="20"/>
          <w:color w:val="auto"/>
        </w:rPr>
      </w:pPr>
      <w:r>
        <w:rPr>
          <w:rFonts w:ascii="Calibri" w:cs="Calibri" w:eastAsia="Calibri" w:hAnsi="Calibri"/>
          <w:sz w:val="22"/>
          <w:szCs w:val="22"/>
          <w:color w:val="auto"/>
        </w:rPr>
        <w:t>“I’m excited to join the Calavo team at this stage of the company’s transformaton, and I look forward to working with our team and customers to drive long-term growth in the Prepared segment.” Ms. Kurtz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669925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0" w:right="999" w:bottom="1440" w:gutter="0" w:footer="0" w:header="0"/>
        </w:sectPr>
      </w:pPr>
    </w:p>
    <w:bookmarkStart w:id="4" w:name="page5"/>
    <w:bookmarkEnd w:id="4"/>
    <w:p>
      <w:pPr>
        <w:spacing w:after="0"/>
        <w:rPr>
          <w:sz w:val="20"/>
          <w:szCs w:val="20"/>
          <w:color w:val="auto"/>
        </w:rPr>
      </w:pPr>
      <w:r>
        <w:rPr>
          <w:rFonts w:ascii="Calibri" w:cs="Calibri" w:eastAsia="Calibri" w:hAnsi="Calibri"/>
          <w:sz w:val="22"/>
          <w:szCs w:val="22"/>
          <w:i w:val="1"/>
          <w:iCs w:val="1"/>
          <w:color w:val="auto"/>
        </w:rPr>
        <w:t>Calavo Growers, Inc.</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 xml:space="preserve">Page </w:t>
      </w:r>
      <w:r>
        <w:rPr>
          <w:rFonts w:ascii="Calibri" w:cs="Calibri" w:eastAsia="Calibri" w:hAnsi="Calibri"/>
          <w:sz w:val="22"/>
          <w:szCs w:val="22"/>
          <w:b w:val="1"/>
          <w:bCs w:val="1"/>
          <w:i w:val="1"/>
          <w:iCs w:val="1"/>
          <w:color w:val="auto"/>
        </w:rPr>
        <w:t>2</w:t>
      </w:r>
      <w:r>
        <w:rPr>
          <w:rFonts w:ascii="Calibri" w:cs="Calibri" w:eastAsia="Calibri" w:hAnsi="Calibri"/>
          <w:sz w:val="22"/>
          <w:szCs w:val="22"/>
          <w:i w:val="1"/>
          <w:iCs w:val="1"/>
          <w:color w:val="auto"/>
        </w:rPr>
        <w:t xml:space="preserve"> of </w:t>
      </w:r>
      <w:r>
        <w:rPr>
          <w:rFonts w:ascii="Calibri" w:cs="Calibri" w:eastAsia="Calibri" w:hAnsi="Calibri"/>
          <w:sz w:val="22"/>
          <w:szCs w:val="22"/>
          <w:b w:val="1"/>
          <w:bCs w:val="1"/>
          <w:i w:val="1"/>
          <w:iCs w:val="1"/>
          <w:color w:val="auto"/>
        </w:rPr>
        <w:t>2</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Calavo Growers, Inc.</w:t>
      </w:r>
    </w:p>
    <w:p>
      <w:pPr>
        <w:spacing w:after="0" w:line="228" w:lineRule="exact"/>
        <w:rPr>
          <w:sz w:val="20"/>
          <w:szCs w:val="20"/>
          <w:color w:val="auto"/>
        </w:rPr>
      </w:pPr>
    </w:p>
    <w:p>
      <w:pPr>
        <w:ind w:right="60"/>
        <w:spacing w:after="0" w:line="237" w:lineRule="auto"/>
        <w:rPr>
          <w:sz w:val="20"/>
          <w:szCs w:val="20"/>
          <w:color w:val="auto"/>
        </w:rPr>
      </w:pPr>
      <w:r>
        <w:rPr>
          <w:rFonts w:ascii="Calibri" w:cs="Calibri" w:eastAsia="Calibri" w:hAnsi="Calibri"/>
          <w:sz w:val="22"/>
          <w:szCs w:val="22"/>
          <w:color w:val="auto"/>
        </w:rPr>
        <w:t>Calavo Growers, Inc. (Nasdaq: CVGW) is a global leader in quality produce, including avocados, tomatoes and papayas, and a pioneer of healthy fresh-cut fruit, vegetables and prepared foods. Calavo products are sold under the trusted Calavo brand name, proprietary sub-brands, private label and store brands.</w:t>
      </w:r>
    </w:p>
    <w:p>
      <w:pPr>
        <w:spacing w:after="0" w:line="230" w:lineRule="exact"/>
        <w:rPr>
          <w:sz w:val="20"/>
          <w:szCs w:val="20"/>
          <w:color w:val="auto"/>
        </w:rPr>
      </w:pPr>
    </w:p>
    <w:p>
      <w:pPr>
        <w:ind w:right="120"/>
        <w:spacing w:after="0" w:line="238" w:lineRule="auto"/>
        <w:rPr>
          <w:sz w:val="20"/>
          <w:szCs w:val="20"/>
          <w:color w:val="auto"/>
        </w:rPr>
      </w:pPr>
      <w:r>
        <w:rPr>
          <w:rFonts w:ascii="Calibri" w:cs="Calibri" w:eastAsia="Calibri" w:hAnsi="Calibri"/>
          <w:sz w:val="22"/>
          <w:szCs w:val="22"/>
          <w:color w:val="auto"/>
        </w:rPr>
        <w:t xml:space="preserve">Founded in 1924, Calavo has a rich culture of constant innovaton, sustainable practces and market growth. The company serves retail grocery, foodservice, club stores, mass merchandisers, food distributors and wholesalers worldwide. Calavo is headquartered in Santa Paula, California, with processing plants and packing facilites throughout the U.S. and Mexico. Learn more about </w:t>
      </w:r>
      <w:r>
        <w:rPr>
          <w:rFonts w:ascii="Calibri" w:cs="Calibri" w:eastAsia="Calibri" w:hAnsi="Calibri"/>
          <w:sz w:val="22"/>
          <w:szCs w:val="22"/>
          <w:i w:val="1"/>
          <w:iCs w:val="1"/>
          <w:color w:val="auto"/>
        </w:rPr>
        <w:t>The Family of Fresh™</w:t>
      </w:r>
      <w:r>
        <w:rPr>
          <w:rFonts w:ascii="Calibri" w:cs="Calibri" w:eastAsia="Calibri" w:hAnsi="Calibri"/>
          <w:sz w:val="22"/>
          <w:szCs w:val="22"/>
          <w:color w:val="auto"/>
        </w:rPr>
        <w:t xml:space="preserve"> at calavo.com.</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Safe Harbor Statement</w:t>
      </w:r>
    </w:p>
    <w:p>
      <w:pPr>
        <w:spacing w:after="0" w:line="228" w:lineRule="exact"/>
        <w:rPr>
          <w:sz w:val="20"/>
          <w:szCs w:val="20"/>
          <w:color w:val="auto"/>
        </w:rPr>
      </w:pPr>
    </w:p>
    <w:p>
      <w:pPr>
        <w:spacing w:after="0" w:line="239" w:lineRule="auto"/>
        <w:rPr>
          <w:sz w:val="20"/>
          <w:szCs w:val="20"/>
          <w:color w:val="auto"/>
        </w:rPr>
      </w:pPr>
      <w:r>
        <w:rPr>
          <w:rFonts w:ascii="Calibri" w:cs="Calibri" w:eastAsia="Calibri" w:hAnsi="Calibri"/>
          <w:sz w:val="22"/>
          <w:szCs w:val="22"/>
          <w:color w:val="auto"/>
        </w:rPr>
        <w:t>This press release contains statements relatng to future events and results of Calavo that are "forward-looking statements," as defned in the Private Securites Litgaton Reform Act of 1995, that involve risks, uncertaintes and assumptons. These statements are based on our current expectatons and are not promises or guarantees. If any of the risks or uncertaintes ever materialize or the assumptons prove incorrect, the results of Calavo may difer materially from those expressed or implied by such forward-looking statements and assumptons. The use of words such as "antcipates," "estmates," "expects," "projects," "intends," "plans" and "believes," among others, generally identfy forward-looking statements.</w:t>
      </w:r>
    </w:p>
    <w:p>
      <w:pPr>
        <w:spacing w:after="0" w:line="234" w:lineRule="exact"/>
        <w:rPr>
          <w:sz w:val="20"/>
          <w:szCs w:val="20"/>
          <w:color w:val="auto"/>
        </w:rPr>
      </w:pPr>
    </w:p>
    <w:p>
      <w:pPr>
        <w:ind w:right="160"/>
        <w:spacing w:after="0" w:line="239" w:lineRule="auto"/>
        <w:rPr>
          <w:sz w:val="20"/>
          <w:szCs w:val="20"/>
          <w:color w:val="auto"/>
        </w:rPr>
      </w:pPr>
      <w:r>
        <w:rPr>
          <w:rFonts w:ascii="Calibri" w:cs="Calibri" w:eastAsia="Calibri" w:hAnsi="Calibri"/>
          <w:sz w:val="22"/>
          <w:szCs w:val="22"/>
          <w:color w:val="auto"/>
        </w:rPr>
        <w:t>For a discussion of the risks and uncertaintes that we face, please see the risk factors described in our most recent Annual Report on Form 10-K fled with the Securites and Exchange Commission and any subsequent updates that may be contained in our Quarterly Reports on Form 10-Q and other flings with the Securites and Exchange Commission. Forward-looking statements contained in this press release are made only as of the date of this press release, and we undertake no obligaton to update or revise the forward-looking statements, whether as a result of new informaton, future events or otherwise.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3980" w:type="dxa"/>
            <w:vAlign w:val="bottom"/>
          </w:tcPr>
          <w:p>
            <w:pPr>
              <w:ind w:left="20"/>
              <w:spacing w:after="0"/>
              <w:rPr>
                <w:sz w:val="20"/>
                <w:szCs w:val="20"/>
                <w:color w:val="auto"/>
              </w:rPr>
            </w:pPr>
            <w:r>
              <w:rPr>
                <w:rFonts w:ascii="Calibri" w:cs="Calibri" w:eastAsia="Calibri" w:hAnsi="Calibri"/>
                <w:sz w:val="22"/>
                <w:szCs w:val="22"/>
                <w:b w:val="1"/>
                <w:bCs w:val="1"/>
                <w:color w:val="auto"/>
              </w:rPr>
              <w:t>Investor Contact</w:t>
            </w:r>
          </w:p>
        </w:tc>
        <w:tc>
          <w:tcPr>
            <w:tcW w:w="5940" w:type="dxa"/>
            <w:vAlign w:val="bottom"/>
          </w:tcPr>
          <w:p>
            <w:pPr>
              <w:ind w:left="1000"/>
              <w:spacing w:after="0"/>
              <w:rPr>
                <w:sz w:val="20"/>
                <w:szCs w:val="20"/>
                <w:color w:val="auto"/>
              </w:rPr>
            </w:pPr>
            <w:r>
              <w:rPr>
                <w:rFonts w:ascii="Calibri" w:cs="Calibri" w:eastAsia="Calibri" w:hAnsi="Calibri"/>
                <w:sz w:val="22"/>
                <w:szCs w:val="22"/>
                <w:b w:val="1"/>
                <w:bCs w:val="1"/>
                <w:color w:val="auto"/>
              </w:rPr>
              <w:t>Media Contact</w:t>
            </w:r>
          </w:p>
        </w:tc>
      </w:tr>
      <w:tr>
        <w:trPr>
          <w:trHeight w:val="270"/>
        </w:trPr>
        <w:tc>
          <w:tcPr>
            <w:tcW w:w="3980" w:type="dxa"/>
            <w:vAlign w:val="bottom"/>
          </w:tcPr>
          <w:p>
            <w:pPr>
              <w:ind w:left="20"/>
              <w:spacing w:after="0"/>
              <w:rPr>
                <w:sz w:val="20"/>
                <w:szCs w:val="20"/>
                <w:color w:val="auto"/>
              </w:rPr>
            </w:pPr>
            <w:r>
              <w:rPr>
                <w:rFonts w:ascii="Calibri" w:cs="Calibri" w:eastAsia="Calibri" w:hAnsi="Calibri"/>
                <w:sz w:val="22"/>
                <w:szCs w:val="22"/>
                <w:color w:val="auto"/>
              </w:rPr>
              <w:t>Julie Kegley, Senior Vice President</w:t>
            </w:r>
          </w:p>
        </w:tc>
        <w:tc>
          <w:tcPr>
            <w:tcW w:w="5940" w:type="dxa"/>
            <w:vAlign w:val="bottom"/>
          </w:tcPr>
          <w:p>
            <w:pPr>
              <w:ind w:left="1000"/>
              <w:spacing w:after="0"/>
              <w:rPr>
                <w:sz w:val="20"/>
                <w:szCs w:val="20"/>
                <w:color w:val="auto"/>
              </w:rPr>
            </w:pPr>
            <w:r>
              <w:rPr>
                <w:rFonts w:ascii="Calibri" w:cs="Calibri" w:eastAsia="Calibri" w:hAnsi="Calibri"/>
                <w:sz w:val="22"/>
                <w:szCs w:val="22"/>
                <w:color w:val="auto"/>
              </w:rPr>
              <w:t>Thomas Federl, VP Communicatons, Marketng &amp; ESG</w:t>
            </w:r>
          </w:p>
        </w:tc>
      </w:tr>
      <w:tr>
        <w:trPr>
          <w:trHeight w:val="270"/>
        </w:trPr>
        <w:tc>
          <w:tcPr>
            <w:tcW w:w="3980" w:type="dxa"/>
            <w:vAlign w:val="bottom"/>
          </w:tcPr>
          <w:p>
            <w:pPr>
              <w:ind w:left="20"/>
              <w:spacing w:after="0"/>
              <w:rPr>
                <w:sz w:val="20"/>
                <w:szCs w:val="20"/>
                <w:color w:val="auto"/>
              </w:rPr>
            </w:pPr>
            <w:r>
              <w:rPr>
                <w:rFonts w:ascii="Calibri" w:cs="Calibri" w:eastAsia="Calibri" w:hAnsi="Calibri"/>
                <w:sz w:val="22"/>
                <w:szCs w:val="22"/>
                <w:color w:val="auto"/>
              </w:rPr>
              <w:t>Financial Profles, Inc.</w:t>
            </w:r>
          </w:p>
        </w:tc>
        <w:tc>
          <w:tcPr>
            <w:tcW w:w="5940" w:type="dxa"/>
            <w:vAlign w:val="bottom"/>
          </w:tcPr>
          <w:p>
            <w:pPr>
              <w:ind w:left="1000"/>
              <w:spacing w:after="0"/>
              <w:rPr>
                <w:sz w:val="20"/>
                <w:szCs w:val="20"/>
                <w:color w:val="auto"/>
              </w:rPr>
            </w:pPr>
            <w:r>
              <w:rPr>
                <w:rFonts w:ascii="Calibri" w:cs="Calibri" w:eastAsia="Calibri" w:hAnsi="Calibri"/>
                <w:sz w:val="22"/>
                <w:szCs w:val="22"/>
                <w:color w:val="auto"/>
              </w:rPr>
              <w:t>Calavo Growers, Inc.</w:t>
            </w:r>
          </w:p>
        </w:tc>
      </w:tr>
      <w:tr>
        <w:trPr>
          <w:trHeight w:val="270"/>
        </w:trPr>
        <w:tc>
          <w:tcPr>
            <w:tcW w:w="3980" w:type="dxa"/>
            <w:vAlign w:val="bottom"/>
          </w:tcPr>
          <w:p>
            <w:pPr>
              <w:ind w:left="20"/>
              <w:spacing w:after="0"/>
              <w:rPr>
                <w:sz w:val="20"/>
                <w:szCs w:val="20"/>
                <w:color w:val="auto"/>
              </w:rPr>
            </w:pPr>
            <w:r>
              <w:rPr>
                <w:rFonts w:ascii="Calibri" w:cs="Calibri" w:eastAsia="Calibri" w:hAnsi="Calibri"/>
                <w:sz w:val="22"/>
                <w:szCs w:val="22"/>
                <w:color w:val="auto"/>
              </w:rPr>
              <w:t>calavo@fnprofles.com</w:t>
            </w:r>
          </w:p>
        </w:tc>
        <w:tc>
          <w:tcPr>
            <w:tcW w:w="5940" w:type="dxa"/>
            <w:vAlign w:val="bottom"/>
          </w:tcPr>
          <w:p>
            <w:pPr>
              <w:ind w:left="1000"/>
              <w:spacing w:after="0"/>
              <w:rPr>
                <w:sz w:val="20"/>
                <w:szCs w:val="20"/>
                <w:color w:val="auto"/>
              </w:rPr>
            </w:pPr>
            <w:r>
              <w:rPr>
                <w:rFonts w:ascii="Calibri" w:cs="Calibri" w:eastAsia="Calibri" w:hAnsi="Calibri"/>
                <w:sz w:val="22"/>
                <w:szCs w:val="22"/>
                <w:color w:val="auto"/>
              </w:rPr>
              <w:t>Thomas.Federl@calavo.com</w:t>
            </w:r>
          </w:p>
        </w:tc>
      </w:tr>
      <w:tr>
        <w:trPr>
          <w:trHeight w:val="270"/>
        </w:trPr>
        <w:tc>
          <w:tcPr>
            <w:tcW w:w="3980" w:type="dxa"/>
            <w:vAlign w:val="bottom"/>
          </w:tcPr>
          <w:p>
            <w:pPr>
              <w:ind w:left="20"/>
              <w:spacing w:after="0"/>
              <w:rPr>
                <w:sz w:val="20"/>
                <w:szCs w:val="20"/>
                <w:color w:val="auto"/>
              </w:rPr>
            </w:pPr>
            <w:r>
              <w:rPr>
                <w:rFonts w:ascii="Calibri" w:cs="Calibri" w:eastAsia="Calibri" w:hAnsi="Calibri"/>
                <w:sz w:val="22"/>
                <w:szCs w:val="22"/>
                <w:color w:val="auto"/>
              </w:rPr>
              <w:t>310-622-8246</w:t>
            </w:r>
          </w:p>
        </w:tc>
        <w:tc>
          <w:tcPr>
            <w:tcW w:w="5940" w:type="dxa"/>
            <w:vAlign w:val="bottom"/>
          </w:tcPr>
          <w:p>
            <w:pPr>
              <w:ind w:left="1000"/>
              <w:spacing w:after="0"/>
              <w:rPr>
                <w:sz w:val="20"/>
                <w:szCs w:val="20"/>
                <w:color w:val="auto"/>
              </w:rPr>
            </w:pPr>
            <w:r>
              <w:rPr>
                <w:rFonts w:ascii="Calibri" w:cs="Calibri" w:eastAsia="Calibri" w:hAnsi="Calibri"/>
                <w:sz w:val="22"/>
                <w:szCs w:val="22"/>
                <w:color w:val="auto"/>
              </w:rPr>
              <w:t>843-801-4174</w:t>
            </w:r>
          </w:p>
        </w:tc>
      </w:tr>
      <w:tr>
        <w:trPr>
          <w:trHeight w:val="1006"/>
        </w:trPr>
        <w:tc>
          <w:tcPr>
            <w:tcW w:w="398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54" w:right="9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06"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21"/>
          <w:szCs w:val="21"/>
          <w:color w:val="auto"/>
        </w:rPr>
        <w:t>This Employment Agreement (this "</w:t>
      </w:r>
      <w:r>
        <w:rPr>
          <w:rFonts w:ascii="Times New Roman" w:cs="Times New Roman" w:eastAsia="Times New Roman" w:hAnsi="Times New Roman"/>
          <w:sz w:val="21"/>
          <w:szCs w:val="21"/>
          <w:b w:val="1"/>
          <w:bCs w:val="1"/>
          <w:u w:val="single" w:color="auto"/>
          <w:color w:val="auto"/>
        </w:rPr>
        <w:t>Agreement</w:t>
      </w:r>
      <w:r>
        <w:rPr>
          <w:rFonts w:ascii="Times New Roman" w:cs="Times New Roman" w:eastAsia="Times New Roman" w:hAnsi="Times New Roman"/>
          <w:sz w:val="21"/>
          <w:szCs w:val="21"/>
          <w:color w:val="auto"/>
        </w:rPr>
        <w:t>") is entered into as of August 8</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2022, by and between Calavo Growers, Inc., a California corporation (the "</w:t>
      </w:r>
      <w:r>
        <w:rPr>
          <w:rFonts w:ascii="Times New Roman" w:cs="Times New Roman" w:eastAsia="Times New Roman" w:hAnsi="Times New Roman"/>
          <w:sz w:val="21"/>
          <w:szCs w:val="21"/>
          <w:b w:val="1"/>
          <w:bCs w:val="1"/>
          <w:u w:val="single" w:color="auto"/>
          <w:color w:val="auto"/>
        </w:rPr>
        <w:t>Employer</w:t>
      </w:r>
      <w:r>
        <w:rPr>
          <w:rFonts w:ascii="Times New Roman" w:cs="Times New Roman" w:eastAsia="Times New Roman" w:hAnsi="Times New Roman"/>
          <w:sz w:val="21"/>
          <w:szCs w:val="21"/>
          <w:color w:val="auto"/>
        </w:rPr>
        <w:t>"), and Helen Kurtz (the "</w:t>
      </w:r>
      <w:r>
        <w:rPr>
          <w:rFonts w:ascii="Times New Roman" w:cs="Times New Roman" w:eastAsia="Times New Roman" w:hAnsi="Times New Roman"/>
          <w:sz w:val="21"/>
          <w:szCs w:val="21"/>
          <w:b w:val="1"/>
          <w:bCs w:val="1"/>
          <w:u w:val="single" w:color="auto"/>
          <w:color w:val="auto"/>
        </w:rPr>
        <w:t>Employee</w:t>
      </w:r>
      <w:r>
        <w:rPr>
          <w:rFonts w:ascii="Times New Roman" w:cs="Times New Roman" w:eastAsia="Times New Roman" w:hAnsi="Times New Roman"/>
          <w:sz w:val="21"/>
          <w:szCs w:val="21"/>
          <w:color w:val="auto"/>
        </w:rPr>
        <w: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w:t>
      </w:r>
    </w:p>
    <w:p>
      <w:pPr>
        <w:spacing w:after="0" w:line="210"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The Employer desires to employ the Employee as the Employer's General Manager, Prepared, and the Employee desires to accept such employment, upon the terms set forth in this Agreement.</w:t>
      </w:r>
    </w:p>
    <w:p>
      <w:pPr>
        <w:spacing w:after="0" w:line="158" w:lineRule="exact"/>
        <w:rPr>
          <w:sz w:val="20"/>
          <w:szCs w:val="20"/>
          <w:color w:val="auto"/>
        </w:rPr>
      </w:pPr>
    </w:p>
    <w:p>
      <w:pPr>
        <w:ind w:right="380"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foregoing and other good and valuable consideration, the receipt and sufficiency of which hereby are acknowledged, the Employer and the Employee hereby agree as follows:</w:t>
      </w:r>
    </w:p>
    <w:p>
      <w:pPr>
        <w:spacing w:after="0" w:line="16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w:t>
      </w:r>
    </w:p>
    <w:p>
      <w:pPr>
        <w:spacing w:after="0" w:line="206" w:lineRule="exact"/>
        <w:rPr>
          <w:rFonts w:ascii="Times New Roman" w:cs="Times New Roman" w:eastAsia="Times New Roman" w:hAnsi="Times New Roman"/>
          <w:sz w:val="22"/>
          <w:szCs w:val="22"/>
          <w:b w:val="1"/>
          <w:bCs w:val="1"/>
          <w:color w:val="auto"/>
        </w:rPr>
      </w:pPr>
    </w:p>
    <w:p>
      <w:pPr>
        <w:ind w:right="80" w:firstLine="1304"/>
        <w:spacing w:after="0" w:line="237" w:lineRule="auto"/>
        <w:tabs>
          <w:tab w:leader="none" w:pos="1944" w:val="left"/>
        </w:tabs>
        <w:numPr>
          <w:ilvl w:val="1"/>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 of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Section 1(b) below, the Employer hereby employs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and the Employee hereby accepts employment with the Employer (</w:t>
      </w: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 accordance with the terms and conditions of this Agreement. The term of the Employee's Employment under the terms of this Agreement (the </w:t>
      </w:r>
      <w:r>
        <w:rPr>
          <w:rFonts w:ascii="Times New Roman" w:cs="Times New Roman" w:eastAsia="Times New Roman" w:hAnsi="Times New Roman"/>
          <w:sz w:val="22"/>
          <w:szCs w:val="22"/>
          <w:b w:val="1"/>
          <w:bCs w:val="1"/>
          <w:u w:val="single" w:color="auto"/>
          <w:color w:val="auto"/>
        </w:rPr>
        <w:t>"Term of Employment"</w:t>
      </w:r>
      <w:r>
        <w:rPr>
          <w:rFonts w:ascii="Times New Roman" w:cs="Times New Roman" w:eastAsia="Times New Roman" w:hAnsi="Times New Roman"/>
          <w:sz w:val="22"/>
          <w:szCs w:val="22"/>
          <w:color w:val="auto"/>
        </w:rPr>
        <w:t xml:space="preserve">) shall commence on August 17, 2022 (the </w:t>
      </w:r>
      <w:r>
        <w:rPr>
          <w:rFonts w:ascii="Times New Roman" w:cs="Times New Roman" w:eastAsia="Times New Roman" w:hAnsi="Times New Roman"/>
          <w:sz w:val="22"/>
          <w:szCs w:val="22"/>
          <w:b w:val="1"/>
          <w:bCs w:val="1"/>
          <w:u w:val="single" w:color="auto"/>
          <w:color w:val="auto"/>
        </w:rPr>
        <w:t>"Commencement Date"</w:t>
      </w:r>
      <w:r>
        <w:rPr>
          <w:rFonts w:ascii="Times New Roman" w:cs="Times New Roman" w:eastAsia="Times New Roman" w:hAnsi="Times New Roman"/>
          <w:sz w:val="22"/>
          <w:szCs w:val="22"/>
          <w:color w:val="auto"/>
        </w:rPr>
        <w:t>) and shall continue until terminated by the Employer or Employee as provided herein. Employee shall not begin her employment with Employer until the Commencement Date.</w:t>
      </w:r>
    </w:p>
    <w:p>
      <w:pPr>
        <w:spacing w:after="0" w:line="175" w:lineRule="exact"/>
        <w:rPr>
          <w:rFonts w:ascii="Times New Roman" w:cs="Times New Roman" w:eastAsia="Times New Roman" w:hAnsi="Times New Roman"/>
          <w:sz w:val="22"/>
          <w:szCs w:val="22"/>
          <w:b w:val="1"/>
          <w:bCs w:val="1"/>
          <w:color w:val="auto"/>
        </w:rPr>
      </w:pPr>
    </w:p>
    <w:p>
      <w:pPr>
        <w:ind w:right="20" w:firstLine="1304"/>
        <w:spacing w:after="0" w:line="236" w:lineRule="auto"/>
        <w:tabs>
          <w:tab w:leader="none" w:pos="1944" w:val="left"/>
        </w:tabs>
        <w:numPr>
          <w:ilvl w:val="1"/>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At Will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the foregoing, the Employer has the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the Employee's Employment at any time, with or without prior notice, and with or without cause and for any reason or for no specified reason, subject to the terms of Section 5 below of this Agreement. The Employee has the right to terminate her Employment at any time, with or without prior notice, subject to the terms of Section 5 below of this Agreement. The Employee is employed by the Employer "at will" and this Agreement does not provide the Employee with any right to continue in the Employment of the Employer for any minimum or specified period.</w:t>
      </w:r>
    </w:p>
    <w:p>
      <w:pPr>
        <w:spacing w:after="0" w:line="175"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POSITION, DUTIES, AUTHORITY AND EXCLUSIVITY OF SERVICES.</w:t>
      </w:r>
    </w:p>
    <w:p>
      <w:pPr>
        <w:spacing w:after="0" w:line="206" w:lineRule="exact"/>
        <w:rPr>
          <w:rFonts w:ascii="Times New Roman" w:cs="Times New Roman" w:eastAsia="Times New Roman" w:hAnsi="Times New Roman"/>
          <w:sz w:val="22"/>
          <w:szCs w:val="22"/>
          <w:b w:val="1"/>
          <w:bCs w:val="1"/>
          <w:color w:val="auto"/>
        </w:rPr>
      </w:pPr>
    </w:p>
    <w:p>
      <w:pPr>
        <w:ind w:right="420" w:firstLine="1304"/>
        <w:spacing w:after="0" w:line="286" w:lineRule="auto"/>
        <w:tabs>
          <w:tab w:leader="none" w:pos="1944" w:val="left"/>
        </w:tabs>
        <w:numPr>
          <w:ilvl w:val="1"/>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Position.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the Term of Employment, the Employee shall serve as the Employer's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General Manager, Prepared (or such other title as the parties may mutually agree upon from time to time).</w:t>
      </w:r>
    </w:p>
    <w:p>
      <w:pPr>
        <w:spacing w:after="0" w:line="126" w:lineRule="exact"/>
        <w:rPr>
          <w:rFonts w:ascii="Times New Roman" w:cs="Times New Roman" w:eastAsia="Times New Roman" w:hAnsi="Times New Roman"/>
          <w:sz w:val="21"/>
          <w:szCs w:val="21"/>
          <w:b w:val="1"/>
          <w:bCs w:val="1"/>
          <w:color w:val="auto"/>
        </w:rPr>
      </w:pPr>
    </w:p>
    <w:p>
      <w:pPr>
        <w:ind w:right="100" w:firstLine="1304"/>
        <w:spacing w:after="0" w:line="262" w:lineRule="auto"/>
        <w:tabs>
          <w:tab w:leader="none" w:pos="1944" w:val="left"/>
        </w:tabs>
        <w:numPr>
          <w:ilvl w:val="1"/>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Employee shall report on a regular basis directly to, and shall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supervision and direction of, the Employer's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6" w:name="page7"/>
    <w:bookmarkEnd w:id="6"/>
    <w:p>
      <w:pPr>
        <w:ind w:left="-20" w:firstLine="1304"/>
        <w:spacing w:after="0" w:line="235" w:lineRule="auto"/>
        <w:tabs>
          <w:tab w:leader="none" w:pos="1924" w:val="left"/>
        </w:tabs>
        <w:numPr>
          <w:ilvl w:val="1"/>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Duties, Responsibilities and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Employee's duties, responsibilities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authority shall consist of the duties as determined by the Chief Executive Officer or the Board of Directors of the Employer. The Employee shall be responsible for diligently and competently performing all services and acts that are necessary or advisable to fulfill those duties and responsibilities and shall render such services on the terms set forth in this Agreement. The Employee shall at all times be subject to, observe and carry out such reasonable employment-related rules, regulations and policies as the Employer's Board of Directors or Chief Executive Officer may from time to time establish for the Employer's employees, including, without limitation, the Employer's Employee Handbook, Insider Trading Policy and Code of Business Conduct and Ethics.</w:t>
      </w:r>
    </w:p>
    <w:p>
      <w:pPr>
        <w:spacing w:after="0" w:line="178" w:lineRule="exact"/>
        <w:rPr>
          <w:rFonts w:ascii="Times New Roman" w:cs="Times New Roman" w:eastAsia="Times New Roman" w:hAnsi="Times New Roman"/>
          <w:sz w:val="22"/>
          <w:szCs w:val="22"/>
          <w:b w:val="1"/>
          <w:bCs w:val="1"/>
          <w:color w:val="auto"/>
        </w:rPr>
      </w:pPr>
    </w:p>
    <w:p>
      <w:pPr>
        <w:ind w:left="-20" w:right="80" w:firstLine="1304"/>
        <w:spacing w:after="0" w:line="237" w:lineRule="auto"/>
        <w:tabs>
          <w:tab w:leader="none" w:pos="1924" w:val="left"/>
        </w:tabs>
        <w:numPr>
          <w:ilvl w:val="1"/>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Principal Business Office.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restricting any requirement that the Employee engage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reasonable business-related travel, the principal location in which the Employee shall be required to perform her duties and responsibilities shall be the Employee’s home office so long as doing so does not interfere with the Employee’s responsibilities under this Agreement; provided that, subject to any health or safety concerns related to the COVID-19 pandemic or other similar extraordinary circumstances, such remote work policy may be reasonably modified at the Chief Executive Officer’s discretion.</w:t>
      </w:r>
    </w:p>
    <w:p>
      <w:pPr>
        <w:spacing w:after="0" w:line="175" w:lineRule="exact"/>
        <w:rPr>
          <w:rFonts w:ascii="Times New Roman" w:cs="Times New Roman" w:eastAsia="Times New Roman" w:hAnsi="Times New Roman"/>
          <w:sz w:val="22"/>
          <w:szCs w:val="22"/>
          <w:b w:val="1"/>
          <w:bCs w:val="1"/>
          <w:color w:val="auto"/>
        </w:rPr>
      </w:pPr>
    </w:p>
    <w:p>
      <w:pPr>
        <w:ind w:left="-20" w:right="80" w:firstLine="1304"/>
        <w:spacing w:after="0" w:line="233" w:lineRule="auto"/>
        <w:tabs>
          <w:tab w:leader="none" w:pos="1924" w:val="left"/>
        </w:tabs>
        <w:numPr>
          <w:ilvl w:val="1"/>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Exclusivity of 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for sick leave and other forms of leave that are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Employer's rules, regulations and policies and except for the paid vacation time or paid time off to which Employee may be entitled, the Employee shall, throughout the Term of Employment, devote her full business time and attention during the Employer's normal business hours to serving in the position described in this Agreement and to the performance of her duties and responsibilities in good faith and to the best of her ability. The Employee may spend reasonable time managing her personal and family business and affairs and engaging in civic, educational, social, and charitable activities, so long as the same do not conflict or interfere with performance of her duties hereunder. The Employee may continue to serve on the boards of directors on which she serves as of the Effective Date. The Employee may serve on the board of directors of other for-profit entities with the prior written consent of the Employer's Board of Directors, which will not be unreasonably withheld. Notwithstanding the foregoing, the Employee shall not serve on the board of directors of any entity that competes with the Employer and the Employee shall not serve on the board of directors of more than two for-profit entities.</w:t>
      </w:r>
    </w:p>
    <w:p>
      <w:pPr>
        <w:spacing w:after="0" w:line="182" w:lineRule="exact"/>
        <w:rPr>
          <w:rFonts w:ascii="Times New Roman" w:cs="Times New Roman" w:eastAsia="Times New Roman" w:hAnsi="Times New Roman"/>
          <w:sz w:val="22"/>
          <w:szCs w:val="22"/>
          <w:b w:val="1"/>
          <w:bCs w:val="1"/>
          <w:color w:val="auto"/>
        </w:rPr>
      </w:pPr>
    </w:p>
    <w:p>
      <w:pPr>
        <w:ind w:left="1280" w:hanging="644"/>
        <w:spacing w:after="0"/>
        <w:tabs>
          <w:tab w:leader="none" w:pos="128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u w:val="single" w:color="auto"/>
          <w:color w:val="auto"/>
        </w:rPr>
        <w:t>.</w:t>
      </w:r>
    </w:p>
    <w:p>
      <w:pPr>
        <w:spacing w:after="0" w:line="206" w:lineRule="exact"/>
        <w:rPr>
          <w:rFonts w:ascii="Times New Roman" w:cs="Times New Roman" w:eastAsia="Times New Roman" w:hAnsi="Times New Roman"/>
          <w:sz w:val="22"/>
          <w:szCs w:val="22"/>
          <w:b w:val="1"/>
          <w:bCs w:val="1"/>
          <w:color w:val="auto"/>
        </w:rPr>
      </w:pPr>
    </w:p>
    <w:p>
      <w:pPr>
        <w:ind w:left="-20" w:firstLine="1304"/>
        <w:spacing w:after="0" w:line="241" w:lineRule="auto"/>
        <w:tabs>
          <w:tab w:leader="none" w:pos="1924"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Base Salary.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services rendered during the Term of Employment, the Employer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 the Employee an annual salary base salary of $430,000, payable in regular installments in accordance with the Employer's customary payroll practices for employees. If the Employee is entitled to receive Base Salary for any period that is less than one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353695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108" w:right="1019" w:bottom="1440" w:gutter="0" w:footer="0" w:header="0"/>
        </w:sectPr>
      </w:pPr>
    </w:p>
    <w:bookmarkStart w:id="7" w:name="page8"/>
    <w:bookmarkEnd w:id="7"/>
    <w:p>
      <w:pPr>
        <w:ind w:right="280"/>
        <w:spacing w:after="0" w:line="244" w:lineRule="auto"/>
        <w:rPr>
          <w:sz w:val="20"/>
          <w:szCs w:val="20"/>
          <w:color w:val="auto"/>
        </w:rPr>
      </w:pPr>
      <w:r>
        <w:rPr>
          <w:rFonts w:ascii="Times New Roman" w:cs="Times New Roman" w:eastAsia="Times New Roman" w:hAnsi="Times New Roman"/>
          <w:sz w:val="22"/>
          <w:szCs w:val="22"/>
          <w:color w:val="auto"/>
        </w:rPr>
        <w:t>month, the Base Salary for such period shall be computed by prorating the annual Base Salary over such period based upon the actual number of days therein. The Employer's Compensation Committee, in its sole authority, shall determine on an annual basis whether an increase in the Employee's Base Salary is justified.</w:t>
      </w:r>
    </w:p>
    <w:p>
      <w:pPr>
        <w:spacing w:after="0" w:line="170" w:lineRule="exact"/>
        <w:rPr>
          <w:sz w:val="20"/>
          <w:szCs w:val="20"/>
          <w:color w:val="auto"/>
        </w:rPr>
      </w:pPr>
    </w:p>
    <w:p>
      <w:pPr>
        <w:ind w:left="1960" w:hanging="656"/>
        <w:spacing w:after="0"/>
        <w:tabs>
          <w:tab w:leader="none" w:pos="196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Annual Bonus.</w:t>
      </w:r>
    </w:p>
    <w:p>
      <w:pPr>
        <w:spacing w:after="0" w:line="210" w:lineRule="exact"/>
        <w:rPr>
          <w:rFonts w:ascii="Times New Roman" w:cs="Times New Roman" w:eastAsia="Times New Roman" w:hAnsi="Times New Roman"/>
          <w:sz w:val="22"/>
          <w:szCs w:val="22"/>
          <w:b w:val="1"/>
          <w:bCs w:val="1"/>
          <w:color w:val="auto"/>
        </w:rPr>
      </w:pPr>
    </w:p>
    <w:p>
      <w:pPr>
        <w:ind w:right="20" w:firstLine="1952"/>
        <w:spacing w:after="0" w:line="233" w:lineRule="auto"/>
        <w:tabs>
          <w:tab w:leader="none" w:pos="2592" w:val="left"/>
        </w:tabs>
        <w:numPr>
          <w:ilvl w:val="1"/>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 respect to each of the Employer's fiscal years during the Term of Employment beginning with the 2023 fiscal year, the Employee shall be eligible to receive an annual performance bonus (the "</w:t>
      </w:r>
      <w:r>
        <w:rPr>
          <w:rFonts w:ascii="Times New Roman" w:cs="Times New Roman" w:eastAsia="Times New Roman" w:hAnsi="Times New Roman"/>
          <w:sz w:val="22"/>
          <w:szCs w:val="22"/>
          <w:b w:val="1"/>
          <w:bCs w:val="1"/>
          <w:u w:val="single" w:color="auto"/>
          <w:color w:val="auto"/>
        </w:rPr>
        <w:t>Annual Bonus</w:t>
      </w:r>
      <w:r>
        <w:rPr>
          <w:rFonts w:ascii="Times New Roman" w:cs="Times New Roman" w:eastAsia="Times New Roman" w:hAnsi="Times New Roman"/>
          <w:sz w:val="22"/>
          <w:szCs w:val="22"/>
          <w:color w:val="auto"/>
        </w:rPr>
        <w:t>") to be determined annually by the Employer's Compensation Committee in connection with its determination of performance­based bonuses and performance targets, thresholds and requirements for other executive officers pursuant to a compensation plan or plans approved from time to time by the Compensation Committee. Notwithstanding the foregoing, the Employee will receive an Annual Bonus in the amount of no less than 50% of Base Salary for any fiscal year in which the Employer achieves its annual performance target commencing with the 2023 fiscal year provided that the Employee is employed with the Employer for the entire fiscal year. With respect to each of the Employer's fiscal years during the Term of Employment beginning with the 2022 fiscal year (ending October 2022), the Compensation Committee may elect to award the Employee a discretionary bonus.</w:t>
      </w:r>
    </w:p>
    <w:p>
      <w:pPr>
        <w:spacing w:after="0" w:line="187" w:lineRule="exact"/>
        <w:rPr>
          <w:rFonts w:ascii="Times New Roman" w:cs="Times New Roman" w:eastAsia="Times New Roman" w:hAnsi="Times New Roman"/>
          <w:sz w:val="22"/>
          <w:szCs w:val="22"/>
          <w:b w:val="1"/>
          <w:bCs w:val="1"/>
          <w:color w:val="auto"/>
        </w:rPr>
      </w:pPr>
    </w:p>
    <w:p>
      <w:pPr>
        <w:ind w:firstLine="1952"/>
        <w:spacing w:after="0" w:line="233" w:lineRule="auto"/>
        <w:tabs>
          <w:tab w:leader="none" w:pos="2592" w:val="left"/>
        </w:tabs>
        <w:numPr>
          <w:ilvl w:val="1"/>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Beginning with the 2023 fiscal year, the Employee will also participate in the Employer’s Long Term Incentive Plan (“</w:t>
      </w:r>
      <w:r>
        <w:rPr>
          <w:rFonts w:ascii="Times New Roman" w:cs="Times New Roman" w:eastAsia="Times New Roman" w:hAnsi="Times New Roman"/>
          <w:sz w:val="22"/>
          <w:szCs w:val="22"/>
          <w:b w:val="1"/>
          <w:bCs w:val="1"/>
          <w:u w:val="single" w:color="auto"/>
          <w:color w:val="auto"/>
        </w:rPr>
        <w:t>LTIP</w:t>
      </w:r>
      <w:r>
        <w:rPr>
          <w:rFonts w:ascii="Times New Roman" w:cs="Times New Roman" w:eastAsia="Times New Roman" w:hAnsi="Times New Roman"/>
          <w:sz w:val="22"/>
          <w:szCs w:val="22"/>
          <w:color w:val="auto"/>
        </w:rPr>
        <w:t>”) to the extent such plan may exist, or any successor incentive plan that the Employer may develop (collectively, the “</w:t>
      </w:r>
      <w:r>
        <w:rPr>
          <w:rFonts w:ascii="Times New Roman" w:cs="Times New Roman" w:eastAsia="Times New Roman" w:hAnsi="Times New Roman"/>
          <w:sz w:val="22"/>
          <w:szCs w:val="22"/>
          <w:b w:val="1"/>
          <w:bCs w:val="1"/>
          <w:u w:val="single" w:color="auto"/>
          <w:color w:val="auto"/>
        </w:rPr>
        <w:t>Incentive Plan</w:t>
      </w:r>
      <w:r>
        <w:rPr>
          <w:rFonts w:ascii="Times New Roman" w:cs="Times New Roman" w:eastAsia="Times New Roman" w:hAnsi="Times New Roman"/>
          <w:sz w:val="22"/>
          <w:szCs w:val="22"/>
          <w:color w:val="auto"/>
        </w:rPr>
        <w:t>”). Employee shall be eligible to receive no less than the equivalent of 50% of her Base Salary (or higher, with respect to the performance vested target component described below) in equity awards pursuant to the terms of the Incentive Plan, including any vesting, incentive, and other requirements that may be incorporated into the Incentive Plan. Fifty percent of each such award shall vest over a three-year period in three equal annual installments, with the remaining fifty percent to be performance vested at the end of three years with targets based on the Employer's net sales, adjusted EBITDA, and return on invested capital. Cliff vesting shall apply to all LTIP awards and the Employee must be employed with the Employer on each date that restricted stock units are scheduled to vest. Except as otherwise set forth in this Agreement, Employee shall forfeit any such restricted stock units that have not vested as of the date her Employment ends.</w:t>
      </w:r>
    </w:p>
    <w:p>
      <w:pPr>
        <w:spacing w:after="0" w:line="184" w:lineRule="exact"/>
        <w:rPr>
          <w:rFonts w:ascii="Times New Roman" w:cs="Times New Roman" w:eastAsia="Times New Roman" w:hAnsi="Times New Roman"/>
          <w:sz w:val="22"/>
          <w:szCs w:val="22"/>
          <w:b w:val="1"/>
          <w:bCs w:val="1"/>
          <w:color w:val="auto"/>
        </w:rPr>
      </w:pPr>
    </w:p>
    <w:p>
      <w:pPr>
        <w:ind w:right="60" w:firstLine="1952"/>
        <w:spacing w:after="0" w:line="236" w:lineRule="auto"/>
        <w:tabs>
          <w:tab w:leader="none" w:pos="2592" w:val="left"/>
        </w:tabs>
        <w:numPr>
          <w:ilvl w:val="1"/>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Employee acknowledges that the Compensation Committee may award Annual Bonuses and discretionary bonuses to her in cash, Employer common stock, or rights to acquire Employer common stock, and that such equity-based awards may be subject to vesting conditions and requirements. Equity-based awards made by the Employer to the Employee under this Agreement or otherwise shall be subject to the terms and conditions of the Employer’s 2020 Equity Incentive Plan, as it may be amended from time to time and including any successor plan adopted by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 w:name="page9"/>
    <w:bookmarkEnd w:id="8"/>
    <w:p>
      <w:pPr>
        <w:ind w:left="1960" w:hanging="656"/>
        <w:spacing w:after="0"/>
        <w:tabs>
          <w:tab w:leader="none" w:pos="196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Intentionally Omitted</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Signing Bonus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1"/>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Employee shall receive a signing bonus of $300,000 in equity (the "</w:t>
      </w:r>
      <w:r>
        <w:rPr>
          <w:rFonts w:ascii="Times New Roman" w:cs="Times New Roman" w:eastAsia="Times New Roman" w:hAnsi="Times New Roman"/>
          <w:sz w:val="22"/>
          <w:szCs w:val="22"/>
          <w:b w:val="1"/>
          <w:bCs w:val="1"/>
          <w:u w:val="single" w:color="auto"/>
          <w:color w:val="auto"/>
        </w:rPr>
        <w:t>Signing</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Bonus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follows.</w:t>
      </w:r>
    </w:p>
    <w:p>
      <w:pPr>
        <w:spacing w:after="0" w:line="182" w:lineRule="exact"/>
        <w:rPr>
          <w:rFonts w:ascii="Times New Roman" w:cs="Times New Roman" w:eastAsia="Times New Roman" w:hAnsi="Times New Roman"/>
          <w:sz w:val="22"/>
          <w:szCs w:val="22"/>
          <w:b w:val="1"/>
          <w:bCs w:val="1"/>
          <w:color w:val="auto"/>
        </w:rPr>
      </w:pPr>
    </w:p>
    <w:p>
      <w:pPr>
        <w:ind w:firstLine="1952"/>
        <w:spacing w:after="0" w:line="246" w:lineRule="auto"/>
        <w:tabs>
          <w:tab w:leader="none" w:pos="2592" w:val="left"/>
        </w:tabs>
        <w:numPr>
          <w:ilvl w:val="1"/>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Employee shall be awarded restricted stock units representing a contingent right to the Employer's common stock having a value of $300,000 based on the closing price of the Employer's common stock on the Commencement Date. The restricted stock units will vest in three equal annual installments with the first installment to vest on the first anniversary of the Commencement Date and with the remainder of the restricted stock units to vest in equal installments on the next two anniversaries of the Commencement Date, subject to the requirement that the Employee must be employed with the Employer on each date that restricted stock units are scheduled to vest and the Employee shall forfeit any such restricted stock units that have not vested as of the date her Employment ends, except as otherwise set forth in this Agreement. The parties hereto shall sign a restricted stock unit agreement governing the restricted stock units issuable to the Employee.</w:t>
      </w:r>
    </w:p>
    <w:p>
      <w:pPr>
        <w:spacing w:after="0" w:line="171" w:lineRule="exact"/>
        <w:rPr>
          <w:rFonts w:ascii="Times New Roman" w:cs="Times New Roman" w:eastAsia="Times New Roman" w:hAnsi="Times New Roman"/>
          <w:sz w:val="21"/>
          <w:szCs w:val="21"/>
          <w:b w:val="1"/>
          <w:bCs w:val="1"/>
          <w:color w:val="auto"/>
        </w:rPr>
      </w:pPr>
    </w:p>
    <w:p>
      <w:pPr>
        <w:ind w:right="100" w:firstLine="1304"/>
        <w:spacing w:after="0" w:line="238" w:lineRule="auto"/>
        <w:tabs>
          <w:tab w:leader="none" w:pos="1944"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that a Change in Control, as defined in Section 13(i)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2020 Equity Incentive Plan (a “</w:t>
      </w: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 occurs during the Term of Employment or during any other period contemplated by this Agreement, then the effect upon any compensation paid to the Employee under the 2020 Equity Incentive Plan, including any portion of Annual Bonus or Signing Bonus in the form of equity, shall be governed in accordance with Section 9(c) of the 2020 Equity Incentive Plan.</w:t>
      </w:r>
    </w:p>
    <w:p>
      <w:pPr>
        <w:spacing w:after="0" w:line="176" w:lineRule="exact"/>
        <w:rPr>
          <w:rFonts w:ascii="Times New Roman" w:cs="Times New Roman" w:eastAsia="Times New Roman" w:hAnsi="Times New Roman"/>
          <w:sz w:val="22"/>
          <w:szCs w:val="22"/>
          <w:b w:val="1"/>
          <w:bCs w:val="1"/>
          <w:color w:val="auto"/>
        </w:rPr>
      </w:pPr>
    </w:p>
    <w:p>
      <w:pPr>
        <w:ind w:right="40" w:firstLine="1304"/>
        <w:spacing w:after="0" w:line="235" w:lineRule="auto"/>
        <w:tabs>
          <w:tab w:leader="none" w:pos="1944"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The Signing Bonus and all Base Salary, Annual Bonuses and other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made to the Employee under this Agreement are subject to the Employer's right to make customary and applicable deductions and withholdings, including, without limitation, for federal and state taxes, FICA, Medicaid and other customary payroll activities. In connection with any grant or vesting of equity awarded under the LTIP, as a Signing Bonus, or as part of an Annual Bonus for which federal, state, or local tax withholdings are required, Employee may choose to satisfy her tax obligations by tendering a cash payment to the Employer or having the Employer withhold shares issued to Employee sufficient to cover her associated tax obligations, consistent with applicable law.</w:t>
      </w:r>
    </w:p>
    <w:p>
      <w:pPr>
        <w:spacing w:after="0" w:line="178" w:lineRule="exact"/>
        <w:rPr>
          <w:rFonts w:ascii="Times New Roman" w:cs="Times New Roman" w:eastAsia="Times New Roman" w:hAnsi="Times New Roman"/>
          <w:sz w:val="22"/>
          <w:szCs w:val="22"/>
          <w:b w:val="1"/>
          <w:bCs w:val="1"/>
          <w:color w:val="auto"/>
        </w:rPr>
      </w:pPr>
    </w:p>
    <w:p>
      <w:pPr>
        <w:ind w:right="80" w:firstLine="1304"/>
        <w:spacing w:after="0" w:line="237" w:lineRule="auto"/>
        <w:tabs>
          <w:tab w:leader="none" w:pos="1944"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Provisions</w:t>
      </w:r>
      <w:r>
        <w:rPr>
          <w:rFonts w:ascii="Times New Roman" w:cs="Times New Roman" w:eastAsia="Times New Roman" w:hAnsi="Times New Roman"/>
          <w:sz w:val="22"/>
          <w:szCs w:val="22"/>
          <w:color w:val="auto"/>
        </w:rPr>
        <w:t>. Notwithstanding any other provisions in this Agreement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contrary, any incentive-based compensation, or any other compensation, paid to the Employee pursuant to this Agreement or any other agreement or arrangement with the Employer which is subject to recovery under any law, government regulation or stock exchange listing requirement, or which is subject to recovery under any clawback policy adopted by the Employer that is applicable to its executive officers, will be subject to such deductions and clawback as may be required to be made pursuant to such law, government regulation or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9" w:name="page10"/>
    <w:bookmarkEnd w:id="9"/>
    <w:p>
      <w:pPr>
        <w:ind w:right="200"/>
        <w:spacing w:after="0" w:line="244" w:lineRule="auto"/>
        <w:rPr>
          <w:sz w:val="20"/>
          <w:szCs w:val="20"/>
          <w:color w:val="auto"/>
        </w:rPr>
      </w:pPr>
      <w:r>
        <w:rPr>
          <w:rFonts w:ascii="Times New Roman" w:cs="Times New Roman" w:eastAsia="Times New Roman" w:hAnsi="Times New Roman"/>
          <w:sz w:val="22"/>
          <w:szCs w:val="22"/>
          <w:color w:val="auto"/>
        </w:rPr>
        <w:t>exchange listing requirement or pursuant to such Employer clawback policy. The Employer will make any determination for clawback or recovery in accordance with its determination of any applicable law or regulation and based upon its review of any clawback policy adopted by the Employer.</w:t>
      </w:r>
    </w:p>
    <w:p>
      <w:pPr>
        <w:spacing w:after="0" w:line="170" w:lineRule="exact"/>
        <w:rPr>
          <w:sz w:val="20"/>
          <w:szCs w:val="20"/>
          <w:color w:val="auto"/>
        </w:rPr>
      </w:pPr>
    </w:p>
    <w:p>
      <w:pPr>
        <w:ind w:right="40" w:firstLine="1304"/>
        <w:spacing w:after="0" w:line="238" w:lineRule="auto"/>
        <w:tabs>
          <w:tab w:leader="none" w:pos="1944"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Equity Interests in the Employer.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Employee acknowledges and agrees that, except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in this Agreement, the Employer has not made any representations or promises to her regarding her receipt of (1) stock options or other rights to acquire shares of the Employer's common stock under an employee stock plan or otherwise or (2) equity interests in the Employer, and that nothing in this Agreement entitles her to any such stock options, shares or other equity interests except as provided herein.</w:t>
      </w:r>
    </w:p>
    <w:p>
      <w:pPr>
        <w:spacing w:after="0" w:line="176" w:lineRule="exact"/>
        <w:rPr>
          <w:rFonts w:ascii="Times New Roman" w:cs="Times New Roman" w:eastAsia="Times New Roman" w:hAnsi="Times New Roman"/>
          <w:sz w:val="22"/>
          <w:szCs w:val="22"/>
          <w:b w:val="1"/>
          <w:bCs w:val="1"/>
          <w:color w:val="auto"/>
        </w:rPr>
      </w:pPr>
    </w:p>
    <w:p>
      <w:pPr>
        <w:ind w:left="1300" w:right="420" w:hanging="644"/>
        <w:spacing w:after="0" w:line="262" w:lineRule="auto"/>
        <w:tabs>
          <w:tab w:leader="none" w:pos="130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EMPLOYEE BENEFITS, EXPENSE REIMBURSEMENT AND INDEMNIFICATION; 409(A) COMPLIANCE.</w:t>
      </w:r>
    </w:p>
    <w:p>
      <w:pPr>
        <w:spacing w:after="0" w:line="149" w:lineRule="exact"/>
        <w:rPr>
          <w:rFonts w:ascii="Times New Roman" w:cs="Times New Roman" w:eastAsia="Times New Roman" w:hAnsi="Times New Roman"/>
          <w:sz w:val="22"/>
          <w:szCs w:val="22"/>
          <w:b w:val="1"/>
          <w:bCs w:val="1"/>
          <w:color w:val="auto"/>
        </w:rPr>
      </w:pPr>
    </w:p>
    <w:p>
      <w:pPr>
        <w:ind w:right="40" w:firstLine="1304"/>
        <w:spacing w:after="0" w:line="234" w:lineRule="auto"/>
        <w:tabs>
          <w:tab w:leader="none" w:pos="1944" w:val="left"/>
        </w:tabs>
        <w:numPr>
          <w:ilvl w:val="1"/>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Employee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Term of Employment, the Employee shall be entitled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 all benefits under any and all deferred compensation plans, retirement plans, life, disability, health, accident and other insurance programs, automobile allowances, and similar employee benefit plans and programs, sick leave, vacation time and paid time off (if any) that the Employer elects in its sole discretion to provide from time to time to its other executive officers (collectively referred to herein as the “</w:t>
      </w:r>
      <w:r>
        <w:rPr>
          <w:rFonts w:ascii="Times New Roman" w:cs="Times New Roman" w:eastAsia="Times New Roman" w:hAnsi="Times New Roman"/>
          <w:sz w:val="22"/>
          <w:szCs w:val="22"/>
          <w:b w:val="1"/>
          <w:bCs w:val="1"/>
          <w:u w:val="single" w:color="auto"/>
          <w:color w:val="auto"/>
        </w:rPr>
        <w:t>Benefits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However, the Employer reserves the right to terminate, reduce or otherwise amend any or all of the Benefits from time to time to the extent allowed by law, so long as such action applies generally to all of its executive officers. Except as otherwise required by applicable law or as provided herein and except as provided under the terms of the Employer's life, disability, health, accident and other insurance programs and similar employee benefit plans and programs, the Employee's right to receive Benefits shall terminate upon the termination of her Employment for any reason. The Employee shall be entitled to not less than four weeks vacation per year.</w:t>
      </w:r>
    </w:p>
    <w:p>
      <w:pPr>
        <w:spacing w:after="0" w:line="175" w:lineRule="exact"/>
        <w:rPr>
          <w:rFonts w:ascii="Times New Roman" w:cs="Times New Roman" w:eastAsia="Times New Roman" w:hAnsi="Times New Roman"/>
          <w:sz w:val="22"/>
          <w:szCs w:val="22"/>
          <w:b w:val="1"/>
          <w:bCs w:val="1"/>
          <w:color w:val="auto"/>
        </w:rPr>
      </w:pPr>
    </w:p>
    <w:p>
      <w:pPr>
        <w:ind w:firstLine="1304"/>
        <w:spacing w:after="0" w:line="235" w:lineRule="auto"/>
        <w:tabs>
          <w:tab w:leader="none" w:pos="1944" w:val="left"/>
        </w:tabs>
        <w:numPr>
          <w:ilvl w:val="1"/>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Business Expense Reimbursement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that the Employee provides appropriate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documentation of her expenses, the Employee shall be entitled to receive full reimbursement for all reasonable out-of-pocket business expenses that are incurred by her during the Term of Employment in accordance with the policies and procedures established from time to time by the Employer. Further, provided the Employee provides appropriate documentation, the Employee shall be entitled to receive reimbursement for her vehicle in the amount of $933 per month, and for her cellular and internet plans in the amount of $110 per month. The Employee's rights under this paragraph shall terminate as of the date that her Employment terminates for any reason, provided that the Employer shall remain obligated to reimburse the Employee for any such expenses that were properly incurred by her during the Term of Employment.</w:t>
      </w:r>
    </w:p>
    <w:p>
      <w:pPr>
        <w:spacing w:after="0" w:line="173"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1"/>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Employer and the Employee shall enter into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1" w:right="1019" w:bottom="1440" w:gutter="0" w:footer="0" w:header="0"/>
        </w:sectPr>
      </w:pPr>
    </w:p>
    <w:bookmarkStart w:id="10" w:name="page11"/>
    <w:bookmarkEnd w:id="10"/>
    <w:p>
      <w:pPr>
        <w:ind w:right="80"/>
        <w:spacing w:after="0" w:line="259" w:lineRule="auto"/>
        <w:rPr>
          <w:sz w:val="20"/>
          <w:szCs w:val="20"/>
          <w:color w:val="auto"/>
        </w:rPr>
      </w:pPr>
      <w:r>
        <w:rPr>
          <w:rFonts w:ascii="Times New Roman" w:cs="Times New Roman" w:eastAsia="Times New Roman" w:hAnsi="Times New Roman"/>
          <w:sz w:val="22"/>
          <w:szCs w:val="22"/>
          <w:color w:val="auto"/>
        </w:rPr>
        <w:t>Employer’s form of indemnification agreement that is provided to members of the Employer’s Board of Directors and its executive officers.</w:t>
      </w:r>
    </w:p>
    <w:p>
      <w:pPr>
        <w:spacing w:after="0" w:line="157" w:lineRule="exact"/>
        <w:rPr>
          <w:sz w:val="20"/>
          <w:szCs w:val="20"/>
          <w:color w:val="auto"/>
        </w:rPr>
      </w:pPr>
    </w:p>
    <w:p>
      <w:pPr>
        <w:ind w:firstLine="1304"/>
        <w:spacing w:after="0" w:line="235" w:lineRule="auto"/>
        <w:tabs>
          <w:tab w:leader="none" w:pos="1944" w:val="left"/>
        </w:tabs>
        <w:numPr>
          <w:ilvl w:val="1"/>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is the Employer’s intention that the benefits and rights to which the Employee could become entitled to under this Agreement comply with, or alternatively fall within one of the exceptions to, Section 409A of the Internal Revenue Code of 1986, as amended, and the regulations promulgated thereunder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409A</w:t>
      </w:r>
      <w:r>
        <w:rPr>
          <w:rFonts w:ascii="Times New Roman" w:cs="Times New Roman" w:eastAsia="Times New Roman" w:hAnsi="Times New Roman"/>
          <w:sz w:val="22"/>
          <w:szCs w:val="22"/>
          <w:color w:val="auto"/>
        </w:rPr>
        <w:t>”). If the Employee or the Employer believes, at any time, that any of such benefit or right does not comply,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 shall promptly advise the other and shall negotiate reasonably and in good faith to amend the terms of such benefits and rights such that they comply (with the most limited possible economic effect on the Employee and on the Employer) with Section 409A.</w:t>
      </w:r>
    </w:p>
    <w:p>
      <w:pPr>
        <w:spacing w:after="0" w:line="17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POST-EMPLOYMENT COMPENSATION</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right="340" w:firstLine="1304"/>
        <w:spacing w:after="0" w:line="263" w:lineRule="auto"/>
        <w:tabs>
          <w:tab w:leader="none" w:pos="1944" w:val="left"/>
        </w:tabs>
        <w:numPr>
          <w:ilvl w:val="1"/>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General.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specifically provided in this Agreement, the Employer shall have no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 to make any compensation, severance or other payments to the Employee, or to provide any other benefits to the Employee, after the date of the termination of the Employee's Employment for any reason.</w:t>
      </w:r>
    </w:p>
    <w:p>
      <w:pPr>
        <w:spacing w:after="0" w:line="151" w:lineRule="exact"/>
        <w:rPr>
          <w:rFonts w:ascii="Times New Roman" w:cs="Times New Roman" w:eastAsia="Times New Roman" w:hAnsi="Times New Roman"/>
          <w:sz w:val="21"/>
          <w:szCs w:val="21"/>
          <w:b w:val="1"/>
          <w:bCs w:val="1"/>
          <w:color w:val="auto"/>
        </w:rPr>
      </w:pPr>
    </w:p>
    <w:p>
      <w:pPr>
        <w:ind w:right="500" w:firstLine="1304"/>
        <w:spacing w:after="0" w:line="286" w:lineRule="auto"/>
        <w:tabs>
          <w:tab w:leader="none" w:pos="1944" w:val="left"/>
        </w:tabs>
        <w:numPr>
          <w:ilvl w:val="1"/>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Base Salary.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the termination of the Employee's Employment for any reason,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shall not be entitled to receive any additional Base Salary payments from the Employer except:</w:t>
      </w:r>
    </w:p>
    <w:p>
      <w:pPr>
        <w:spacing w:after="0" w:line="130" w:lineRule="exact"/>
        <w:rPr>
          <w:rFonts w:ascii="Times New Roman" w:cs="Times New Roman" w:eastAsia="Times New Roman" w:hAnsi="Times New Roman"/>
          <w:sz w:val="21"/>
          <w:szCs w:val="21"/>
          <w:b w:val="1"/>
          <w:bCs w:val="1"/>
          <w:color w:val="auto"/>
        </w:rPr>
      </w:pPr>
    </w:p>
    <w:p>
      <w:pPr>
        <w:ind w:right="400" w:firstLine="1952"/>
        <w:spacing w:after="0" w:line="244" w:lineRule="auto"/>
        <w:tabs>
          <w:tab w:leader="none" w:pos="2592" w:val="left"/>
        </w:tabs>
        <w:numPr>
          <w:ilvl w:val="2"/>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Employee shall have the right to receive any earned but unpaid Base Salary and, to the extent required by law, accrued vacation pay or accrued paid time off, as of the date of the Employment termination; and</w:t>
      </w:r>
    </w:p>
    <w:p>
      <w:pPr>
        <w:spacing w:after="0" w:line="173" w:lineRule="exact"/>
        <w:rPr>
          <w:rFonts w:ascii="Times New Roman" w:cs="Times New Roman" w:eastAsia="Times New Roman" w:hAnsi="Times New Roman"/>
          <w:sz w:val="22"/>
          <w:szCs w:val="22"/>
          <w:b w:val="1"/>
          <w:bCs w:val="1"/>
          <w:color w:val="auto"/>
        </w:rPr>
      </w:pPr>
    </w:p>
    <w:p>
      <w:pPr>
        <w:ind w:right="40" w:firstLine="1952"/>
        <w:spacing w:after="0" w:line="233" w:lineRule="auto"/>
        <w:tabs>
          <w:tab w:leader="none" w:pos="2592" w:val="left"/>
        </w:tabs>
        <w:numPr>
          <w:ilvl w:val="2"/>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Employer terminates the Employee's Employment without Cause (as defined in this Agreement), or the Employee terminates her Employment for Good Reason (as defined in this Agreement), then, provided that the Employee executes a Separation and Release Agreement in the form attached to this Agreement, the Employer shall: (1) pay the Employee an amount equal to one year of her annual Base Salary, payable at regular payroll intervals; (2) make payments on behalf of the Employee in an amount sufficient for the Employee to maintain her then-current group health benefits for one year; (3) provide the Employee with a pro rata portion of her Annual Bonus pursuant to the Annual Bonus plan then in effect for the Employer’s executive officers for the year in which her Employment terminates, payable at the time that the Employer’s other executive officers receive their Annual Bonuses; and (4) the Signing Bonus will become fully vested as of the date of such termination of Employment. The Employee will be treated as an in-service employee for purposes of benefits continuation during any benefits continuation period. The payments and benefits described in this paragraph shall be subject to the Employer's right to make customary and applicable deductions and withholdings, including, without limitation, for federal and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1" w:name="page12"/>
    <w:bookmarkEnd w:id="11"/>
    <w:p>
      <w:pPr>
        <w:ind w:right="80"/>
        <w:spacing w:after="0" w:line="235" w:lineRule="auto"/>
        <w:rPr>
          <w:sz w:val="20"/>
          <w:szCs w:val="20"/>
          <w:color w:val="auto"/>
        </w:rPr>
      </w:pPr>
      <w:r>
        <w:rPr>
          <w:rFonts w:ascii="Times New Roman" w:cs="Times New Roman" w:eastAsia="Times New Roman" w:hAnsi="Times New Roman"/>
          <w:sz w:val="22"/>
          <w:szCs w:val="22"/>
          <w:color w:val="auto"/>
        </w:rPr>
        <w:t>taxes, FICA, Medicaid and other customary payroll activities. Such payments described above in clause (2) will include medical, dental, and vision insurance coverage, and all other Employer provided benefits. Under such circumstances, Employer will also provide the Employee the option, for a period of eighteen (18) months thereafter, at the Employee’s own expense to continue her medical, dental, and vision benefits at the equivalent of her COBRA continuation cost, if and to the extent the continuation of such benefits is permitted under COBRA and other applicable law and the terms of the insurance policies. The Employee shall not be entitled to receive the payments and benefits described in this paragraph if the Employer terminates the Employee’s Employment for Cause or if she terminates her Employment other than for Good Reason.</w:t>
      </w:r>
    </w:p>
    <w:p>
      <w:pPr>
        <w:spacing w:after="0" w:line="175" w:lineRule="exact"/>
        <w:rPr>
          <w:sz w:val="20"/>
          <w:szCs w:val="20"/>
          <w:color w:val="auto"/>
        </w:rPr>
      </w:pPr>
    </w:p>
    <w:p>
      <w:pPr>
        <w:ind w:firstLine="1952"/>
        <w:spacing w:after="0" w:line="232" w:lineRule="auto"/>
        <w:tabs>
          <w:tab w:leader="none" w:pos="2668"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u w:val="single" w:color="auto"/>
          <w:color w:val="auto"/>
        </w:rPr>
        <w:t>Cause</w:t>
      </w:r>
      <w:r>
        <w:rPr>
          <w:rFonts w:ascii="Times New Roman" w:cs="Times New Roman" w:eastAsia="Times New Roman" w:hAnsi="Times New Roman"/>
          <w:sz w:val="22"/>
          <w:szCs w:val="22"/>
          <w:color w:val="auto"/>
        </w:rPr>
        <w:t>" means: (1) willful misconduct by the Employee with respect to the Employer that has a material adverse effect on the Employer and continues for a period of at least ten (10) days after written notice of such misconduct is given by Employer to the Employee; (2) the Employee’s willful refusal to attempt to follow any proper written direction of the Chairman of the Board of Directors, the Board of Directors, or the Employer’s Chief Executive Officer unless the Employee has a good faith reason to believe that such direction is illegal or is a violation of the Employer's rules, regulations and policies, which refusal shall continue for a period of at least ten (10) days after written notice of such refusal is given by the Employer to the Employee; (3) the substantial and continuing refusal by the Employee to attempt to perform her duties required under this Agreement after written notice of demand for performance of such duties is delivered to the Employee by the Employer (which notice must specifically identify the manner in which the Employer believes the Employee has substantially and continually refused to attempt to perform her duties under this Agreement) and after such refusal to attempt to perform her duties has continued for at least ten days after her receipt of such notice; (4) the Employee's conviction of, or entry of a plea of guilty or nolo contendere to, a felony (other than a felony involving a traffic violation); (5) the Employee's theft, embezzlement or other criminal misappropriation of funds from the Employer; or (6) the Employee's willful breach of any other material provision of this Agreement or of the Employer’s Employee Handbook, Insider Trading Policy or Code of Business Conduct and Ethics and such willful breach continues for at least ten (10) days after written notice from Employer to the Employee specifying the breach if such breach is curable.</w:t>
      </w:r>
    </w:p>
    <w:p>
      <w:pPr>
        <w:spacing w:after="0" w:line="188" w:lineRule="exact"/>
        <w:rPr>
          <w:rFonts w:ascii="Times New Roman" w:cs="Times New Roman" w:eastAsia="Times New Roman" w:hAnsi="Times New Roman"/>
          <w:sz w:val="22"/>
          <w:szCs w:val="22"/>
          <w:b w:val="1"/>
          <w:bCs w:val="1"/>
          <w:color w:val="auto"/>
        </w:rPr>
      </w:pPr>
    </w:p>
    <w:p>
      <w:pPr>
        <w:ind w:right="60" w:firstLine="1952"/>
        <w:spacing w:after="0" w:line="235" w:lineRule="auto"/>
        <w:tabs>
          <w:tab w:leader="none" w:pos="2651"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u w:val="single" w:color="auto"/>
          <w:color w:val="auto"/>
        </w:rPr>
        <w:t>Good Reason</w:t>
      </w:r>
      <w:r>
        <w:rPr>
          <w:rFonts w:ascii="Times New Roman" w:cs="Times New Roman" w:eastAsia="Times New Roman" w:hAnsi="Times New Roman"/>
          <w:sz w:val="22"/>
          <w:szCs w:val="22"/>
          <w:color w:val="auto"/>
        </w:rPr>
        <w:t>" means the occurrence, without the Employee's written consent, of any of the following: (1) any requirement (whether as a result of change in duties or otherwise) that Employee perform the majority of her hours of employment more than 35 miles from the Employee’s primary work location, if the Employer fails to remedy such change within thirty days after written notice is given by the Employee to the Employer; (2) any reduction in base salary below $430,000 per year; (3) any material adverse change in the Employee’s title, duties, responsibilities, or authority, including, without limitation, any adverse change in reporting relationship or assignment to Employee of duties inconsistent with the position of General Manager, Prepared, including in a successor entity in the event of a Change in Control, which is not cured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2" w:name="page13"/>
    <w:bookmarkEnd w:id="12"/>
    <w:p>
      <w:pPr>
        <w:ind w:right="40"/>
        <w:spacing w:after="0" w:line="244" w:lineRule="auto"/>
        <w:rPr>
          <w:sz w:val="20"/>
          <w:szCs w:val="20"/>
          <w:color w:val="auto"/>
        </w:rPr>
      </w:pPr>
      <w:r>
        <w:rPr>
          <w:rFonts w:ascii="Times New Roman" w:cs="Times New Roman" w:eastAsia="Times New Roman" w:hAnsi="Times New Roman"/>
          <w:sz w:val="21"/>
          <w:szCs w:val="21"/>
          <w:color w:val="auto"/>
        </w:rPr>
        <w:t>thirty (30) days after written notice from the Employee to Employer; (4) any breach by the Employer of any material provision of this Agreement (whether or not described above), which breach is not cured by the Employer within thirty (30) days after written notice of such breach is given by the Employee to the Employer; or (5</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the failure of any successor to the Employer (whether direct or indirect or whether by merger, acquisition of assets, consolidation or otherwise) to assume in a writing delivered to the Employee the obligations of the Employer under this Agreement, if such assumption agreement is not delivered to the Employee within ten (10) days after she provides the successor to the Employer with written notice of her desire to receive such agreement. Notwithstanding the foregoing, the Employee shall be deemed to have terminated her Employment for Good Reason for purposes of this Agreement only if she terminates her Employment within sixty (60) days after the occurrence of the event described in this paragraph (including expiration of the applicable notice and cure period) that permits her to terminate her Employment for Good Reason. In the event that the Employee elects to terminate her Employment for Good Reason pursuant to subsection (3) above following a Change in Control, the Employee shall provide the Employer with at least three (3) month’s notice of her intention to terminate her employment for Good Reason and the Employer shall retain the option to shorten such notice period.</w:t>
      </w:r>
    </w:p>
    <w:p>
      <w:pPr>
        <w:spacing w:after="0" w:line="177"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CONFIDENTIALITY/UNFAIR COMPETITION.</w:t>
      </w:r>
    </w:p>
    <w:p>
      <w:pPr>
        <w:spacing w:after="0" w:line="206" w:lineRule="exact"/>
        <w:rPr>
          <w:rFonts w:ascii="Times New Roman" w:cs="Times New Roman" w:eastAsia="Times New Roman" w:hAnsi="Times New Roman"/>
          <w:sz w:val="22"/>
          <w:szCs w:val="22"/>
          <w:b w:val="1"/>
          <w:bCs w:val="1"/>
          <w:color w:val="auto"/>
        </w:rPr>
      </w:pPr>
    </w:p>
    <w:p>
      <w:pPr>
        <w:ind w:firstLine="1304"/>
        <w:spacing w:after="0" w:line="244" w:lineRule="auto"/>
        <w:tabs>
          <w:tab w:leader="none" w:pos="1944" w:val="left"/>
        </w:tabs>
        <w:numPr>
          <w:ilvl w:val="1"/>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Employee shall at no time, either during her Employment or after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termination of her Employment for any reason, use or disclose to any person, directly or indirectly, any confidential or proprietary information concerning the business of the Employer, including, without limitation, any business secret, trade secret, financial information, software, internal procedure, business plan, marketing plan, pricing strategy or policy or customer list, except to the extent that such use or disclosure is (1) in connection with the good faith performance of the Employee's duties during the period that she is so employed, (2) required by an order of a court of competent jurisdiction, or (3) authorized in writing by the Employer’s Chairman of the Board of Directors or the Board of Directors. The prohibition that is contained in the preceding sentence shall not apply to any information that is or becomes generally available to the public other than through an improper disclosure by the Employee or by a person acting in concert with her to effect such improper disclosure. Within five (5) days after the termination of her Employment, the Employee shall return to the Employer all memoranda, notes and other documents in her possession or control that relate to the confidential information of the Employer. Upon the Employer’s request, the Employee agrees to execute and deliver to the Employer any reasonable form of confidentiality agreement that the Employer requires generally from its employees.</w:t>
      </w:r>
    </w:p>
    <w:p>
      <w:pPr>
        <w:spacing w:after="0" w:line="180" w:lineRule="exact"/>
        <w:rPr>
          <w:rFonts w:ascii="Times New Roman" w:cs="Times New Roman" w:eastAsia="Times New Roman" w:hAnsi="Times New Roman"/>
          <w:sz w:val="21"/>
          <w:szCs w:val="21"/>
          <w:b w:val="1"/>
          <w:bCs w:val="1"/>
          <w:color w:val="auto"/>
        </w:rPr>
      </w:pPr>
    </w:p>
    <w:p>
      <w:pPr>
        <w:ind w:right="220" w:firstLine="1304"/>
        <w:spacing w:after="0" w:line="252" w:lineRule="auto"/>
        <w:tabs>
          <w:tab w:leader="none" w:pos="1944" w:val="left"/>
        </w:tabs>
        <w:numPr>
          <w:ilvl w:val="1"/>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Competition During the Term of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her Employment, the Employee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not, directly or indirectly (as owner, principal, agent, partner, officer, employee, independent contractor, consultant, shareholder or otherwise), (1) hire (or solicit for the purpose of hiring) or cause any other person to hire (or solicit for the purpose of hiring) any employee or officer of the Employer or (2) compete in any manner with the business then being conducted by the Employer. The prohibition that is set forth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3" w:name="page14"/>
    <w:bookmarkEnd w:id="13"/>
    <w:p>
      <w:pPr>
        <w:ind w:right="300"/>
        <w:spacing w:after="0" w:line="244" w:lineRule="auto"/>
        <w:rPr>
          <w:sz w:val="20"/>
          <w:szCs w:val="20"/>
          <w:color w:val="auto"/>
        </w:rPr>
      </w:pPr>
      <w:r>
        <w:rPr>
          <w:rFonts w:ascii="Times New Roman" w:cs="Times New Roman" w:eastAsia="Times New Roman" w:hAnsi="Times New Roman"/>
          <w:sz w:val="22"/>
          <w:szCs w:val="22"/>
          <w:color w:val="auto"/>
        </w:rPr>
        <w:t>preceding sentence shall not be construed as prohibiting the Employee from acquiring and owning up to one percent (1%) of the outstanding common stock of any corporation whose common stock is traded on a national securities exchange.</w:t>
      </w:r>
    </w:p>
    <w:p>
      <w:pPr>
        <w:spacing w:after="0" w:line="170" w:lineRule="exact"/>
        <w:rPr>
          <w:sz w:val="20"/>
          <w:szCs w:val="20"/>
          <w:color w:val="auto"/>
        </w:rPr>
      </w:pPr>
    </w:p>
    <w:p>
      <w:pPr>
        <w:ind w:right="180" w:firstLine="1304"/>
        <w:spacing w:after="0" w:line="234" w:lineRule="auto"/>
        <w:tabs>
          <w:tab w:leader="none" w:pos="1944" w:val="left"/>
        </w:tabs>
        <w:numPr>
          <w:ilvl w:val="1"/>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Remedies.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the Employee breaches any of the provisions of this Section or if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breaches any of the terms of any other confidentiality or unfair competition agreement that she may enter into with the Employer, the Employer may, among its other remedies and notwithstanding any provision to the contrary in this Agreement, terminate all payments that are otherwise owed to the Employee under this Agreement, and the Employer shall be relieved of any obligation to make such payments to the Employee. Furthermore, the Employee acknowledges that damages and such termination of payments would be an inadequate remedy for her breach of any of the provisions of this Section, and that her breach of any of such provisions will result in immeasurable and irreparable harm to the Employer. Therefore, in addition to any other remedy to which the Employer may be entitled by reason of the Employee’s breach of any such provision, the Employer shall be entitled to seek and obtain temporary, preliminary and permanent injunctive relief restraining the Employee from committing or continuing any breach of any provision of this Section.</w:t>
      </w:r>
    </w:p>
    <w:p>
      <w:pPr>
        <w:spacing w:after="0" w:line="175"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INVENTIONS/WORK PRODUCT</w:t>
      </w:r>
    </w:p>
    <w:p>
      <w:pPr>
        <w:spacing w:after="0" w:line="206" w:lineRule="exact"/>
        <w:rPr>
          <w:rFonts w:ascii="Times New Roman" w:cs="Times New Roman" w:eastAsia="Times New Roman" w:hAnsi="Times New Roman"/>
          <w:sz w:val="22"/>
          <w:szCs w:val="22"/>
          <w:b w:val="1"/>
          <w:bCs w:val="1"/>
          <w:color w:val="auto"/>
        </w:rPr>
      </w:pPr>
    </w:p>
    <w:p>
      <w:pPr>
        <w:ind w:right="20" w:firstLine="1304"/>
        <w:spacing w:after="0" w:line="233" w:lineRule="auto"/>
        <w:tabs>
          <w:tab w:leader="none" w:pos="1944" w:val="left"/>
        </w:tabs>
        <w:numPr>
          <w:ilvl w:val="1"/>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Work Product.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Employee acknowledges and agrees that all writings, works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authorship, technology, inventions, discoveries, ideas and other work product of any nature whatsoever that are created, prepared, produced, authored, edited, amended, conceived or reduced to practice by the Employee individually or jointly with others during the period of her Employment by the Employer and relating in any way to the business or contemplated business, research or development of the Employer (regardless of when or where the Work Product is prepared or whose equipment or other resources is used in preparing the same) and all printed, physical and electronic copies, all improvements, rights and claims related to the foregoing, and other tangible embodiments thereof (collectively, "</w:t>
      </w:r>
      <w:r>
        <w:rPr>
          <w:rFonts w:ascii="Times New Roman" w:cs="Times New Roman" w:eastAsia="Times New Roman" w:hAnsi="Times New Roman"/>
          <w:sz w:val="22"/>
          <w:szCs w:val="22"/>
          <w:b w:val="1"/>
          <w:bCs w:val="1"/>
          <w:u w:val="single" w:color="auto"/>
          <w:color w:val="auto"/>
        </w:rPr>
        <w:t>Work Product</w:t>
      </w:r>
      <w:r>
        <w:rPr>
          <w:rFonts w:ascii="Times New Roman" w:cs="Times New Roman" w:eastAsia="Times New Roman" w:hAnsi="Times New Roman"/>
          <w:sz w:val="22"/>
          <w:szCs w:val="22"/>
          <w:color w:val="auto"/>
        </w:rPr>
        <w:t>"), as well as any and all rights in and to copyrights, trade secrets, trademarks (and related goodwill), patents and other intellectual property rights therein arising in any jurisdiction throughout the world and all related rights of priority under international conventions with respect thereto, including all pending and future applications and registrations therefor, and continuations, divisions, continuations-in-part, reissues, extensions and renewals thereof (collectively, ''</w:t>
      </w:r>
      <w:r>
        <w:rPr>
          <w:rFonts w:ascii="Times New Roman" w:cs="Times New Roman" w:eastAsia="Times New Roman" w:hAnsi="Times New Roman"/>
          <w:sz w:val="22"/>
          <w:szCs w:val="22"/>
          <w:b w:val="1"/>
          <w:bCs w:val="1"/>
          <w:u w:val="single" w:color="auto"/>
          <w:color w:val="auto"/>
        </w:rPr>
        <w:t>Intellectual Property Rights</w:t>
      </w:r>
      <w:r>
        <w:rPr>
          <w:rFonts w:ascii="Times New Roman" w:cs="Times New Roman" w:eastAsia="Times New Roman" w:hAnsi="Times New Roman"/>
          <w:sz w:val="22"/>
          <w:szCs w:val="22"/>
          <w:color w:val="auto"/>
        </w:rPr>
        <w:t>"), shall be the sole and exclusive property of the Employer.</w:t>
      </w:r>
    </w:p>
    <w:p>
      <w:pPr>
        <w:spacing w:after="0" w:line="182" w:lineRule="exact"/>
        <w:rPr>
          <w:rFonts w:ascii="Times New Roman" w:cs="Times New Roman" w:eastAsia="Times New Roman" w:hAnsi="Times New Roman"/>
          <w:sz w:val="22"/>
          <w:szCs w:val="22"/>
          <w:b w:val="1"/>
          <w:bCs w:val="1"/>
          <w:color w:val="auto"/>
        </w:rPr>
      </w:pPr>
    </w:p>
    <w:p>
      <w:pPr>
        <w:ind w:firstLine="1304"/>
        <w:spacing w:after="0" w:line="237" w:lineRule="auto"/>
        <w:tabs>
          <w:tab w:leader="none" w:pos="1944" w:val="left"/>
        </w:tabs>
        <w:numPr>
          <w:ilvl w:val="1"/>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Work Made for Hire; Assignment.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Employee acknowledges that, by reason of being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employed by the Employer at the relevant times, to the extent permitted by law, all of the Work Product consisting of copyrightable subject matter is "work made for hire" ac; defined in 17 U.S.C.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101 and such copyrights are therefore owned by the Employer. To the extent that the foregoing does not apply, the Employee hereby irrevocably assigns to the Employer, for no additional consideration, the Employee's entire right, title and interest in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2" w:right="1019" w:bottom="1440" w:gutter="0" w:footer="0" w:header="0"/>
        </w:sectPr>
      </w:pPr>
    </w:p>
    <w:bookmarkStart w:id="14" w:name="page15"/>
    <w:bookmarkEnd w:id="14"/>
    <w:p>
      <w:pPr>
        <w:ind w:right="160"/>
        <w:spacing w:after="0" w:line="238" w:lineRule="auto"/>
        <w:rPr>
          <w:sz w:val="20"/>
          <w:szCs w:val="20"/>
          <w:color w:val="auto"/>
        </w:rPr>
      </w:pPr>
      <w:r>
        <w:rPr>
          <w:rFonts w:ascii="Times New Roman" w:cs="Times New Roman" w:eastAsia="Times New Roman" w:hAnsi="Times New Roman"/>
          <w:sz w:val="22"/>
          <w:szCs w:val="22"/>
          <w:color w:val="auto"/>
        </w:rPr>
        <w:t>to all Work Product and Intellectual Property Rights therein, including the right to sue, counterclaim and recover for all past, present and future infringement, misappropriation or dilution thereof, and all rights corresponding thereto throughout the world. Nothing contained in this Agreement shall be construed to reduce or limit the Employer’s rights, title or interest in any Work Product or Intellectual Property Rights so as to be less in any respect than that the Employer would have had in the absence of this Agreement.</w:t>
      </w:r>
    </w:p>
    <w:p>
      <w:pPr>
        <w:spacing w:after="0" w:line="173" w:lineRule="exact"/>
        <w:rPr>
          <w:sz w:val="20"/>
          <w:szCs w:val="20"/>
          <w:color w:val="auto"/>
        </w:rPr>
      </w:pPr>
    </w:p>
    <w:p>
      <w:pPr>
        <w:ind w:firstLine="1304"/>
        <w:spacing w:after="0" w:line="233" w:lineRule="auto"/>
        <w:tabs>
          <w:tab w:leader="none" w:pos="1944" w:val="left"/>
        </w:tabs>
        <w:numPr>
          <w:ilvl w:val="1"/>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Further Assurances; Power of Attorney.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and after her Employment,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agrees to reasonably cooperate with the Employer to (1) apply for, obtain, perfect and transfer to the Employer the Work Product as well as an Intellectual Property Right in the Work Product in any jurisdiction in the world, and (2) maintain, protect and enforce the same, including, without limitation, executing and delivering to the Employer any and all applications, oaths, declarations, affidavits, waivers, assignments and other documents and instruments as shall be requested by the Employer. The Employee hereby irrevocably grants the Employer a power of attorney to execute and deliver any such documents on the Employee's behalf in her name and to do all other lawfully permitted acts to transfer the Work Product to the Employer and further the transfer, issuance, prosecution and maintenance of all Intellectual Property Rights therein, to the full extent permitted by law, if the Employee does not promptly cooperate with the Employer’s request (without limiting the rights the Employer shall have in such circumstances by operation of law). The power of attorney is coupled with an interest and shall not be affected by the Employee's subsequent incapacity.</w:t>
      </w:r>
    </w:p>
    <w:p>
      <w:pPr>
        <w:spacing w:after="0" w:line="184"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PROVISIONS</w:t>
      </w:r>
      <w:r>
        <w:rPr>
          <w:rFonts w:ascii="Times New Roman" w:cs="Times New Roman" w:eastAsia="Times New Roman" w:hAnsi="Times New Roman"/>
          <w:sz w:val="22"/>
          <w:szCs w:val="22"/>
          <w:u w:val="single" w:color="auto"/>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right="60" w:firstLine="1304"/>
        <w:spacing w:after="0" w:line="256" w:lineRule="auto"/>
        <w:tabs>
          <w:tab w:leader="none" w:pos="1944" w:val="left"/>
        </w:tabs>
        <w:numPr>
          <w:ilvl w:val="1"/>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(and any separate indemnification and confidentiality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agreements that may be entered into between the Employer and the Employee) constitutes the entire agreement of the Employer and the Employee relating to the terms and conditions of the Employee’s Employment and supersedes all prior oral and written understandings and agreements relating to such subject matter.</w:t>
      </w:r>
    </w:p>
    <w:p>
      <w:pPr>
        <w:spacing w:after="0" w:line="157" w:lineRule="exact"/>
        <w:rPr>
          <w:rFonts w:ascii="Times New Roman" w:cs="Times New Roman" w:eastAsia="Times New Roman" w:hAnsi="Times New Roman"/>
          <w:sz w:val="21"/>
          <w:szCs w:val="21"/>
          <w:b w:val="1"/>
          <w:bCs w:val="1"/>
          <w:color w:val="auto"/>
        </w:rPr>
      </w:pPr>
    </w:p>
    <w:p>
      <w:pPr>
        <w:ind w:firstLine="1304"/>
        <w:spacing w:after="0" w:line="235" w:lineRule="auto"/>
        <w:tabs>
          <w:tab w:leader="none" w:pos="1944"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notices required or permitted by this Agreement to be given by one party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party shall be delivered in writing, by email and by registered or certified United States mail (postage prepaid and return receipt requested) or by email and by reputable overnight delivery service, to the Employer or the Employee, as applicable, at the address that appears on the signature page of this Agreement (or to such other address that one party gives the other in the foregoing manner or, in the case of the Employee, to her principal residential address on file with the Employer). Any such notice that is sent in the foregoing manner shall be deemed to have been delivered three days after deposit in the United States mail or one day after delivery to an overnight delivery service.</w:t>
      </w:r>
    </w:p>
    <w:p>
      <w:pPr>
        <w:spacing w:after="0" w:line="178" w:lineRule="exact"/>
        <w:rPr>
          <w:rFonts w:ascii="Times New Roman" w:cs="Times New Roman" w:eastAsia="Times New Roman" w:hAnsi="Times New Roman"/>
          <w:sz w:val="22"/>
          <w:szCs w:val="22"/>
          <w:b w:val="1"/>
          <w:bCs w:val="1"/>
          <w:color w:val="auto"/>
        </w:rPr>
      </w:pPr>
    </w:p>
    <w:p>
      <w:pPr>
        <w:ind w:right="200" w:firstLine="1304"/>
        <w:spacing w:after="0" w:line="262" w:lineRule="auto"/>
        <w:tabs>
          <w:tab w:leader="none" w:pos="1944"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party to this Agreement shall bear its own costs and expenses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limitation, attorneys' fees) incurred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2" w:right="1019" w:bottom="1440" w:gutter="0" w:footer="0" w:header="0"/>
        </w:sectPr>
      </w:pPr>
    </w:p>
    <w:bookmarkStart w:id="15" w:name="page16"/>
    <w:bookmarkEnd w:id="15"/>
    <w:p>
      <w:pPr>
        <w:ind w:left="-20" w:right="380" w:firstLine="1304"/>
        <w:spacing w:after="0" w:line="262" w:lineRule="auto"/>
        <w:tabs>
          <w:tab w:leader="none" w:pos="2075"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amended or terminated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a writing executed by the Employer and the Employee.</w:t>
      </w:r>
    </w:p>
    <w:p>
      <w:pPr>
        <w:spacing w:after="0" w:line="150" w:lineRule="exact"/>
        <w:rPr>
          <w:rFonts w:ascii="Times New Roman" w:cs="Times New Roman" w:eastAsia="Times New Roman" w:hAnsi="Times New Roman"/>
          <w:sz w:val="22"/>
          <w:szCs w:val="22"/>
          <w:b w:val="1"/>
          <w:bCs w:val="1"/>
          <w:color w:val="auto"/>
        </w:rPr>
      </w:pPr>
    </w:p>
    <w:p>
      <w:pPr>
        <w:ind w:left="-20" w:right="60" w:firstLine="1304"/>
        <w:spacing w:after="0" w:line="235" w:lineRule="auto"/>
        <w:tabs>
          <w:tab w:leader="none" w:pos="1924"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binding upon, and shall benefit,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 and the Employee and their respective successors and assigns (including, without limitation, the Employee's personal representative and beneficiaries and any corporation or other entity into which the Employer is merged); provided, however, that the Employee is not entitled to assign her obligations hereunder to another person. A successor of the Employer shall include, without limitation, any corporation or other entity that acquires, directly or indirectly, all or substantially all of the Employer’s assets, whether by merger, acquisition, lease or another form of transaction. Any such successor to the Employer referred to in this paragraph shall thereafter be deemed the “Employer" for purposes of this Agreement.</w:t>
      </w:r>
    </w:p>
    <w:p>
      <w:pPr>
        <w:spacing w:after="0" w:line="178" w:lineRule="exact"/>
        <w:rPr>
          <w:rFonts w:ascii="Times New Roman" w:cs="Times New Roman" w:eastAsia="Times New Roman" w:hAnsi="Times New Roman"/>
          <w:sz w:val="22"/>
          <w:szCs w:val="22"/>
          <w:b w:val="1"/>
          <w:bCs w:val="1"/>
          <w:color w:val="auto"/>
        </w:rPr>
      </w:pPr>
    </w:p>
    <w:p>
      <w:pPr>
        <w:ind w:left="-20" w:firstLine="1304"/>
        <w:spacing w:after="0" w:line="241" w:lineRule="auto"/>
        <w:tabs>
          <w:tab w:leader="none" w:pos="1924"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Calculation of Time</w:t>
      </w:r>
      <w:r>
        <w:rPr>
          <w:rFonts w:ascii="Times New Roman" w:cs="Times New Roman" w:eastAsia="Times New Roman" w:hAnsi="Times New Roman"/>
          <w:sz w:val="22"/>
          <w:szCs w:val="22"/>
          <w:color w:val="auto"/>
        </w:rPr>
        <w:t>. Wherever in this Agreement a period of time is stated in a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it shall be deemed to mean calendar days. However, when any period of time so stated would end upon a Saturday, Sunday or legal holiday, such period shall be deemed to end upon the next day following that is not a Saturday, Sunday or legal holiday.</w:t>
      </w:r>
    </w:p>
    <w:p>
      <w:pPr>
        <w:spacing w:after="0" w:line="171" w:lineRule="exact"/>
        <w:rPr>
          <w:rFonts w:ascii="Times New Roman" w:cs="Times New Roman" w:eastAsia="Times New Roman" w:hAnsi="Times New Roman"/>
          <w:sz w:val="22"/>
          <w:szCs w:val="22"/>
          <w:b w:val="1"/>
          <w:bCs w:val="1"/>
          <w:color w:val="auto"/>
        </w:rPr>
      </w:pPr>
    </w:p>
    <w:p>
      <w:pPr>
        <w:ind w:left="-20" w:right="200" w:firstLine="1304"/>
        <w:spacing w:after="0" w:line="246" w:lineRule="auto"/>
        <w:tabs>
          <w:tab w:leader="none" w:pos="1924"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Further Assurances.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the Employer and the Employee shall perform any further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acts and execute and deliver any further documents that may be reasonably necessary to carry out the provisions of this Agreement.</w:t>
      </w:r>
    </w:p>
    <w:p>
      <w:pPr>
        <w:spacing w:after="0" w:line="167" w:lineRule="exact"/>
        <w:rPr>
          <w:rFonts w:ascii="Times New Roman" w:cs="Times New Roman" w:eastAsia="Times New Roman" w:hAnsi="Times New Roman"/>
          <w:sz w:val="22"/>
          <w:szCs w:val="22"/>
          <w:b w:val="1"/>
          <w:bCs w:val="1"/>
          <w:color w:val="auto"/>
        </w:rPr>
      </w:pPr>
    </w:p>
    <w:p>
      <w:pPr>
        <w:ind w:left="-20" w:right="40" w:firstLine="1304"/>
        <w:spacing w:after="0" w:line="237" w:lineRule="auto"/>
        <w:tabs>
          <w:tab w:leader="none" w:pos="1924"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Provisions Subject to Applicable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provisions of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only to the extent that they do not violate any applicable law and are intended to be limited to the extent necessary so that they will not render this Agreement invalid, illegal or unenforceable under any applicable law. If any provision of this Agreement or any application thereof shall be held to be invalid, illegal or unenforceable, the validity, legality and enforceability of other provisions of this Agreement or of any other application of such provision shall in no way be affected thereby.</w:t>
      </w:r>
    </w:p>
    <w:p>
      <w:pPr>
        <w:spacing w:after="0" w:line="175" w:lineRule="exact"/>
        <w:rPr>
          <w:rFonts w:ascii="Times New Roman" w:cs="Times New Roman" w:eastAsia="Times New Roman" w:hAnsi="Times New Roman"/>
          <w:sz w:val="22"/>
          <w:szCs w:val="22"/>
          <w:b w:val="1"/>
          <w:bCs w:val="1"/>
          <w:color w:val="auto"/>
        </w:rPr>
      </w:pPr>
    </w:p>
    <w:p>
      <w:pPr>
        <w:ind w:left="160" w:right="20" w:firstLine="1124"/>
        <w:spacing w:after="0" w:line="238" w:lineRule="auto"/>
        <w:tabs>
          <w:tab w:leader="none" w:pos="1942"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Waiver of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Neither party shall be deemed to have waived any right or remedy that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under this Agreement unless this Agreement expressly provides a period of time within which such right or remedy must be exercised and such period has expired or unless such party has expressly waived the same in writing. The waiver by either party of a right or remedy hereunder shall not be deemed to be a waiver of any other right or remedy or of any subsequent right or remedy of the same kind.</w:t>
      </w:r>
    </w:p>
    <w:p>
      <w:pPr>
        <w:spacing w:after="0" w:line="176" w:lineRule="exact"/>
        <w:rPr>
          <w:rFonts w:ascii="Times New Roman" w:cs="Times New Roman" w:eastAsia="Times New Roman" w:hAnsi="Times New Roman"/>
          <w:sz w:val="22"/>
          <w:szCs w:val="22"/>
          <w:b w:val="1"/>
          <w:bCs w:val="1"/>
          <w:color w:val="auto"/>
        </w:rPr>
      </w:pPr>
    </w:p>
    <w:p>
      <w:pPr>
        <w:ind w:left="160" w:right="440" w:firstLine="1124"/>
        <w:spacing w:after="0" w:line="246" w:lineRule="auto"/>
        <w:tabs>
          <w:tab w:leader="none" w:pos="1942"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Headings; Gender and Number</w:t>
      </w:r>
      <w:r>
        <w:rPr>
          <w:rFonts w:ascii="Times New Roman" w:cs="Times New Roman" w:eastAsia="Times New Roman" w:hAnsi="Times New Roman"/>
          <w:sz w:val="22"/>
          <w:szCs w:val="22"/>
          <w:color w:val="auto"/>
        </w:rPr>
        <w:t>. The headings contained in this Agreement are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purposes only and shall not affect in any manner the meaning or interpretation of this Agreement. Where appropriate to the context of this Agreement,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353695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1000" w:top="108" w:right="1019" w:bottom="1440" w:gutter="0" w:footer="0" w:header="0"/>
        </w:sectPr>
      </w:pPr>
    </w:p>
    <w:bookmarkStart w:id="16" w:name="page17"/>
    <w:bookmarkEnd w:id="16"/>
    <w:p>
      <w:pPr>
        <w:ind w:right="220"/>
        <w:spacing w:after="0" w:line="238" w:lineRule="auto"/>
        <w:rPr>
          <w:sz w:val="20"/>
          <w:szCs w:val="20"/>
          <w:color w:val="auto"/>
        </w:rPr>
      </w:pPr>
      <w:r>
        <w:rPr>
          <w:rFonts w:ascii="Times New Roman" w:cs="Times New Roman" w:eastAsia="Times New Roman" w:hAnsi="Times New Roman"/>
          <w:sz w:val="22"/>
          <w:szCs w:val="22"/>
          <w:color w:val="auto"/>
        </w:rPr>
        <w:t>the singular shall be deemed also to refer to the plural, and use of the plural to the singular, and pronouns of one gender shall be deemed to comprehend either or both of the other genders. The terms “hereof,” “herein,” “hereby” and variations thereof shall, whenever used in this Agreement, refer to this Agreement as a whole and not to any particular section of this Agreement. The term “</w:t>
      </w:r>
      <w:r>
        <w:rPr>
          <w:rFonts w:ascii="Times New Roman" w:cs="Times New Roman" w:eastAsia="Times New Roman" w:hAnsi="Times New Roman"/>
          <w:sz w:val="22"/>
          <w:szCs w:val="22"/>
          <w:b w:val="1"/>
          <w:bCs w:val="1"/>
          <w:u w:val="single" w:color="auto"/>
          <w:color w:val="auto"/>
        </w:rPr>
        <w:t>person</w:t>
      </w:r>
      <w:r>
        <w:rPr>
          <w:rFonts w:ascii="Times New Roman" w:cs="Times New Roman" w:eastAsia="Times New Roman" w:hAnsi="Times New Roman"/>
          <w:sz w:val="22"/>
          <w:szCs w:val="22"/>
          <w:color w:val="auto"/>
        </w:rPr>
        <w:t>” refers to any natural person, corporation, partnership, limited liability company or other association or entity, as applicable.</w:t>
      </w:r>
    </w:p>
    <w:p>
      <w:pPr>
        <w:spacing w:after="0" w:line="173" w:lineRule="exact"/>
        <w:rPr>
          <w:sz w:val="20"/>
          <w:szCs w:val="20"/>
          <w:color w:val="auto"/>
        </w:rPr>
      </w:pPr>
    </w:p>
    <w:p>
      <w:pPr>
        <w:ind w:right="80" w:firstLine="1304"/>
        <w:spacing w:after="0" w:line="250" w:lineRule="auto"/>
        <w:tabs>
          <w:tab w:leader="none" w:pos="1944" w:val="left"/>
        </w:tabs>
        <w:numPr>
          <w:ilvl w:val="1"/>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Representation of the Employee; Interpretation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Employee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acknowledges and agrees that she has had an adequate opportunity to review this Agreement with her attorney prior to executing this Agreement, and that she is freely entering into this Agreement without coercion from any source. The Employer and the Employee have negotiated the terms of this Agreement, and the language used herein was chosen by the parties to express their mutual intent. This Agreement shall be construed without regard to any presumption or rule requiring construction against the party causing the instrument to be drafted.</w:t>
      </w:r>
    </w:p>
    <w:p>
      <w:pPr>
        <w:spacing w:after="0" w:line="164" w:lineRule="exact"/>
        <w:rPr>
          <w:rFonts w:ascii="Times New Roman" w:cs="Times New Roman" w:eastAsia="Times New Roman" w:hAnsi="Times New Roman"/>
          <w:sz w:val="21"/>
          <w:szCs w:val="21"/>
          <w:b w:val="1"/>
          <w:bCs w:val="1"/>
          <w:color w:val="auto"/>
        </w:rPr>
      </w:pPr>
    </w:p>
    <w:p>
      <w:pPr>
        <w:ind w:right="180" w:firstLine="1304"/>
        <w:spacing w:after="0" w:line="246" w:lineRule="auto"/>
        <w:tabs>
          <w:tab w:leader="none" w:pos="1944"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counterparts and by facsimile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transmission in PDF format, each of which will be deemed an original but both of which together will constitute a single instrument.</w:t>
      </w:r>
    </w:p>
    <w:p>
      <w:pPr>
        <w:spacing w:after="0" w:line="167" w:lineRule="exact"/>
        <w:rPr>
          <w:rFonts w:ascii="Times New Roman" w:cs="Times New Roman" w:eastAsia="Times New Roman" w:hAnsi="Times New Roman"/>
          <w:sz w:val="22"/>
          <w:szCs w:val="22"/>
          <w:b w:val="1"/>
          <w:bCs w:val="1"/>
          <w:color w:val="auto"/>
        </w:rPr>
      </w:pPr>
    </w:p>
    <w:p>
      <w:pPr>
        <w:ind w:right="360" w:firstLine="1304"/>
        <w:spacing w:after="0" w:line="262" w:lineRule="auto"/>
        <w:tabs>
          <w:tab w:leader="none" w:pos="1944"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governed by, and construed and enforced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internal laws of the State of California.</w:t>
      </w:r>
    </w:p>
    <w:p>
      <w:pPr>
        <w:spacing w:after="0" w:line="14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u w:val="single" w:color="auto"/>
          <w:color w:val="auto"/>
        </w:rPr>
        <w:t>.</w:t>
      </w:r>
    </w:p>
    <w:p>
      <w:pPr>
        <w:spacing w:after="0" w:line="206" w:lineRule="exact"/>
        <w:rPr>
          <w:rFonts w:ascii="Times New Roman" w:cs="Times New Roman" w:eastAsia="Times New Roman" w:hAnsi="Times New Roman"/>
          <w:sz w:val="22"/>
          <w:szCs w:val="22"/>
          <w:b w:val="1"/>
          <w:bCs w:val="1"/>
          <w:color w:val="auto"/>
        </w:rPr>
      </w:pPr>
    </w:p>
    <w:p>
      <w:pPr>
        <w:ind w:firstLine="1304"/>
        <w:spacing w:after="0" w:line="244" w:lineRule="auto"/>
        <w:tabs>
          <w:tab w:leader="none" w:pos="1944" w:val="left"/>
        </w:tabs>
        <w:numPr>
          <w:ilvl w:val="1"/>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Submission to Arbitration.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dispute, controversy or claim arising out of or related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this Agreement, any breach of this Agreement or the Employee’s employment with the Employer shall be submitted to and decided exclusively by binding arbitration in Los Angeles, California. Claims covered by this provision include, but are not limited to, the following: (1) alleged violations of federal, state and/or local constitutions, statutes, regulations or ordinances, including, but not limited to, laws dealing with unlawful discrimination and harassment; (2) claims for misappropriation of trade secrets, breach of fiduciary duty, or other duties owed by the Employee to the Employer; (3) claims based on any purported breach of contractual obligation, including but not limited to breach of the covenant of good faith and fair dealing, wrongful termination or constructive discharge; (4) violations of public policy; (5) claims relating to a transfer, reassignment, denial of promotion, demotion, reduction in pay, or any other term or condition of employment; (6) claims based on contract or tort; and (7) any and all other claims arising out of the Employee’s employment with or termination by the Employer. This includes, but is not limited to, claims brought under Title VII of the Civil Rights Act of 1964; California Government Code Section 12960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xml:space="preserve"> and any other federal, state or local anti-discrimination laws relating to discrimination, including, but not limited to, those based on the following protected categories: genetic information or characteristics; sex and gender; race; religion; national origin; mental or physical disability (including claims under the Americans With Disabilities Act); medical condition; veteran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2" w:right="1019" w:bottom="1440" w:gutter="0" w:footer="0" w:header="0"/>
        </w:sectPr>
      </w:pPr>
    </w:p>
    <w:bookmarkStart w:id="17" w:name="page18"/>
    <w:bookmarkEnd w:id="17"/>
    <w:p>
      <w:pPr>
        <w:jc w:val="both"/>
        <w:ind w:right="640"/>
        <w:spacing w:after="0" w:line="244" w:lineRule="auto"/>
        <w:rPr>
          <w:sz w:val="20"/>
          <w:szCs w:val="20"/>
          <w:color w:val="auto"/>
        </w:rPr>
      </w:pPr>
      <w:r>
        <w:rPr>
          <w:rFonts w:ascii="Times New Roman" w:cs="Times New Roman" w:eastAsia="Times New Roman" w:hAnsi="Times New Roman"/>
          <w:sz w:val="22"/>
          <w:szCs w:val="22"/>
          <w:color w:val="auto"/>
        </w:rPr>
        <w:t>military status; marital status; sexual orientation or preference; age; pregnancy; and retaliation or wrongful termination in violation of public policy for alleging or filing or participating in any grievance or otherwise complaining of any wrong relating to the aforementioned categories or any public policy.</w:t>
      </w:r>
    </w:p>
    <w:p>
      <w:pPr>
        <w:spacing w:after="0" w:line="170" w:lineRule="exact"/>
        <w:rPr>
          <w:sz w:val="20"/>
          <w:szCs w:val="20"/>
          <w:color w:val="auto"/>
        </w:rPr>
      </w:pPr>
    </w:p>
    <w:p>
      <w:pPr>
        <w:ind w:right="20" w:firstLine="1304"/>
        <w:spacing w:after="0" w:line="235" w:lineRule="auto"/>
        <w:tabs>
          <w:tab w:leader="none" w:pos="1944"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Exclusion of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following claims are expressly excluded and not covered by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for final and binding arbitration: (1) claims related to Workers' Compensation and Unemployment Insurance; (2) administrative filings with governmental agencies such as the California Department of Fair Employment &amp; Housing, the Equal Employment Opportunity Commission, the U.S. Department of Labor or the National Labor Relations Board; (3) claims that are expressly excluded by statute or are expressly required to be arbitrated under a different procedure pursuant to the terms of an employee benefit plan; and (4) claims within the jurisdictional limits of small claims court. Nor does this Agreement preclude either party from seeking appropriate interim injunctive relief pursuant to the California Code of Civil Procedure or applicable federal law before arbitration or while arbitration proceedings are pending.</w:t>
      </w:r>
    </w:p>
    <w:p>
      <w:pPr>
        <w:spacing w:after="0" w:line="173" w:lineRule="exact"/>
        <w:rPr>
          <w:rFonts w:ascii="Times New Roman" w:cs="Times New Roman" w:eastAsia="Times New Roman" w:hAnsi="Times New Roman"/>
          <w:sz w:val="22"/>
          <w:szCs w:val="22"/>
          <w:b w:val="1"/>
          <w:bCs w:val="1"/>
          <w:color w:val="auto"/>
        </w:rPr>
      </w:pPr>
    </w:p>
    <w:p>
      <w:pPr>
        <w:ind w:right="160" w:firstLine="1304"/>
        <w:spacing w:after="0" w:line="235" w:lineRule="auto"/>
        <w:tabs>
          <w:tab w:leader="none" w:pos="1944"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Arbitration Provider and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claim arising between the Employee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 covered by the arbitration provisions of this Agreement shall be submitted to final and binding arbitration in the rules and procedures of JAMS, or any successor entity thereto, in effect upon the date the claim is submitted in writing to the Employer or the Employee, to which rules and procedures the parties hereby expressly agree. Such rules may be found at https://www.jamsadr.com/rules-employment-arbitration/ Such rules allow for discovery by each party as ordered by the arbitrator. The arbitrator must allow discovery adequate to arbitrate all claims, including access to essential documents and witnesses. In making his or her award, the arbitrator shall have the authority to make any finding and provide any remedy.</w:t>
      </w:r>
    </w:p>
    <w:p>
      <w:pPr>
        <w:spacing w:after="0" w:line="178" w:lineRule="exact"/>
        <w:rPr>
          <w:rFonts w:ascii="Times New Roman" w:cs="Times New Roman" w:eastAsia="Times New Roman" w:hAnsi="Times New Roman"/>
          <w:sz w:val="22"/>
          <w:szCs w:val="22"/>
          <w:b w:val="1"/>
          <w:bCs w:val="1"/>
          <w:color w:val="auto"/>
        </w:rPr>
      </w:pPr>
    </w:p>
    <w:p>
      <w:pPr>
        <w:ind w:firstLine="1304"/>
        <w:spacing w:after="0" w:line="238" w:lineRule="auto"/>
        <w:tabs>
          <w:tab w:leader="none" w:pos="1944"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Written Award Required.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arbitrator must issue a written award. The arbitrator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award or separately, make specific findings of fact, and set forth such facts in support of his or her decision, as well as the reasons and basis for his or her opinion. Should the arbitrator exceed the jurisdiction or authority here conferred, any party aggrieved thereby may file a petition to vacate, amend or correct the arbitrator's award in a court of competent jurisdiction, pursuant to applicable law.</w:t>
      </w:r>
    </w:p>
    <w:p>
      <w:pPr>
        <w:spacing w:after="0" w:line="176" w:lineRule="exact"/>
        <w:rPr>
          <w:rFonts w:ascii="Times New Roman" w:cs="Times New Roman" w:eastAsia="Times New Roman" w:hAnsi="Times New Roman"/>
          <w:sz w:val="22"/>
          <w:szCs w:val="22"/>
          <w:b w:val="1"/>
          <w:bCs w:val="1"/>
          <w:color w:val="auto"/>
        </w:rPr>
      </w:pPr>
    </w:p>
    <w:p>
      <w:pPr>
        <w:ind w:right="20" w:firstLine="1304"/>
        <w:spacing w:after="0" w:line="238" w:lineRule="auto"/>
        <w:tabs>
          <w:tab w:leader="none" w:pos="1944"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Fees and Costs.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Employer shall pay the arbitrator's fees and other administrative costs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arbitration, and other reasonable costs as specified by the arbitrator under applicable law so that Employee does not have to bear any cost which she would not have to bear in court beyond any amount which would have to be paid as a filing fee in a superior court. The arbitrator may award attorneys’ fees and costs to the prevailing party to the extent allowed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8" w:name="page19"/>
    <w:bookmarkEnd w:id="18"/>
    <w:p>
      <w:pPr>
        <w:spacing w:after="0" w:line="259" w:lineRule="auto"/>
        <w:rPr>
          <w:sz w:val="20"/>
          <w:szCs w:val="20"/>
          <w:color w:val="auto"/>
        </w:rPr>
      </w:pPr>
      <w:r>
        <w:rPr>
          <w:rFonts w:ascii="Times New Roman" w:cs="Times New Roman" w:eastAsia="Times New Roman" w:hAnsi="Times New Roman"/>
          <w:sz w:val="22"/>
          <w:szCs w:val="22"/>
          <w:color w:val="auto"/>
        </w:rPr>
        <w:t>IN WITNESS WHEREOF, the Employer and the Employee have executed and delivered this Agreement as of the date first written above.</w:t>
      </w:r>
    </w:p>
    <w:p>
      <w:pPr>
        <w:spacing w:after="0" w:line="19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CALAVO GROWERS, INC.</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10795</wp:posOffset>
            </wp:positionV>
            <wp:extent cx="31457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22"/>
          <w:szCs w:val="22"/>
          <w:color w:val="auto"/>
        </w:rPr>
        <w:t>Name: Brian Kocher</w:t>
      </w:r>
    </w:p>
    <w:p>
      <w:pPr>
        <w:ind w:left="4960"/>
        <w:spacing w:after="0" w:line="230" w:lineRule="auto"/>
        <w:rPr>
          <w:sz w:val="20"/>
          <w:szCs w:val="20"/>
          <w:color w:val="auto"/>
        </w:rPr>
      </w:pPr>
      <w:r>
        <w:rPr>
          <w:rFonts w:ascii="Times New Roman" w:cs="Times New Roman" w:eastAsia="Times New Roman" w:hAnsi="Times New Roman"/>
          <w:sz w:val="22"/>
          <w:szCs w:val="22"/>
          <w:color w:val="auto"/>
        </w:rPr>
        <w:t>Title: Chief Executive Officer</w:t>
      </w:r>
    </w:p>
    <w:p>
      <w:pPr>
        <w:ind w:left="4960"/>
        <w:spacing w:after="0" w:line="231" w:lineRule="auto"/>
        <w:rPr>
          <w:sz w:val="20"/>
          <w:szCs w:val="20"/>
          <w:color w:val="auto"/>
        </w:rPr>
      </w:pPr>
      <w:r>
        <w:rPr>
          <w:rFonts w:ascii="Times New Roman" w:cs="Times New Roman" w:eastAsia="Times New Roman" w:hAnsi="Times New Roman"/>
          <w:sz w:val="22"/>
          <w:szCs w:val="22"/>
          <w:color w:val="auto"/>
        </w:rPr>
        <w:t>Current Address:</w:t>
      </w:r>
    </w:p>
    <w:p>
      <w:pPr>
        <w:ind w:left="4960"/>
        <w:spacing w:after="0"/>
        <w:rPr>
          <w:sz w:val="20"/>
          <w:szCs w:val="20"/>
          <w:color w:val="auto"/>
        </w:rPr>
      </w:pPr>
      <w:r>
        <w:rPr>
          <w:rFonts w:ascii="Times New Roman" w:cs="Times New Roman" w:eastAsia="Times New Roman" w:hAnsi="Times New Roman"/>
          <w:sz w:val="22"/>
          <w:szCs w:val="22"/>
          <w:color w:val="auto"/>
        </w:rPr>
        <w:t>1141A Cummings Road Santa Paula, CA 93060</w:t>
      </w:r>
    </w:p>
    <w:p>
      <w:pPr>
        <w:spacing w:after="0" w:line="20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/s/: Helen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10795</wp:posOffset>
            </wp:positionV>
            <wp:extent cx="31457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Helen Kurtz</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880"/>
      </w:cols>
      <w:pgMar w:left="980" w:top="112"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04"/>
    </w:lvl>
  </w:abstractNum>
  <w:abstractNum w:abstractNumId="2">
    <w:nsid w:val="66EF438D"/>
    <w:multiLevelType w:val="hybridMultilevel"/>
    <w:lvl w:ilvl="0">
      <w:lvlJc w:val="left"/>
      <w:lvlText w:val="%1."/>
      <w:numFmt w:val="decimal"/>
      <w:start w:val="1"/>
    </w:lvl>
    <w:lvl w:ilvl="1">
      <w:lvlJc w:val="left"/>
      <w:lvlText w:val="(%2)"/>
      <w:numFmt w:val="lowerLetter"/>
      <w:start w:val="1"/>
    </w:lvl>
  </w:abstractNum>
  <w:abstractNum w:abstractNumId="3">
    <w:nsid w:val="140E0F76"/>
    <w:multiLevelType w:val="hybridMultilevel"/>
    <w:lvl w:ilvl="0">
      <w:lvlJc w:val="left"/>
      <w:lvlText w:val="%1"/>
      <w:numFmt w:val="decimal"/>
      <w:start w:val="1"/>
    </w:lvl>
    <w:lvl w:ilvl="1">
      <w:lvlJc w:val="left"/>
      <w:lvlText w:val="(%2)"/>
      <w:numFmt w:val="lowerLetter"/>
      <w:start w:val="3"/>
    </w:lvl>
  </w:abstractNum>
  <w:abstractNum w:abstractNumId="4">
    <w:nsid w:val="3352255A"/>
    <w:multiLevelType w:val="hybridMultilevel"/>
    <w:lvl w:ilvl="0">
      <w:lvlJc w:val="left"/>
      <w:lvlText w:val="%1."/>
      <w:numFmt w:val="decimal"/>
      <w:start w:val="3"/>
    </w:lvl>
    <w:lvl w:ilvl="1">
      <w:lvlJc w:val="left"/>
      <w:lvlText w:val="(%2)"/>
      <w:numFmt w:val="lowerLetter"/>
      <w:start w:val="1"/>
    </w:lvl>
  </w:abstractNum>
  <w:abstractNum w:abstractNumId="5">
    <w:nsid w:val="109CF92E"/>
    <w:multiLevelType w:val="hybridMultilevel"/>
    <w:lvl w:ilvl="0">
      <w:lvlJc w:val="left"/>
      <w:lvlText w:val="(%1)"/>
      <w:numFmt w:val="lowerLetter"/>
      <w:start w:val="2"/>
    </w:lvl>
    <w:lvl w:ilvl="1">
      <w:lvlJc w:val="left"/>
      <w:lvlText w:val="(%2)"/>
      <w:numFmt w:val="lowerRoman"/>
      <w:start w:val="1"/>
    </w:lvl>
  </w:abstractNum>
  <w:abstractNum w:abstractNumId="6">
    <w:nsid w:val="DED7263"/>
    <w:multiLevelType w:val="hybridMultilevel"/>
    <w:lvl w:ilvl="0">
      <w:lvlJc w:val="left"/>
      <w:lvlText w:val="(%1)"/>
      <w:numFmt w:val="lowerLetter"/>
      <w:start w:val="3"/>
    </w:lvl>
    <w:lvl w:ilvl="1">
      <w:lvlJc w:val="left"/>
      <w:lvlText w:val="(%2)"/>
      <w:numFmt w:val="lowerRoman"/>
      <w:start w:val="1"/>
    </w:lvl>
  </w:abstractNum>
  <w:abstractNum w:abstractNumId="7">
    <w:nsid w:val="7FDCC233"/>
    <w:multiLevelType w:val="hybridMultilevel"/>
    <w:lvl w:ilvl="0">
      <w:lvlJc w:val="left"/>
      <w:lvlText w:val="%1"/>
      <w:numFmt w:val="decimal"/>
      <w:start w:val="1"/>
    </w:lvl>
    <w:lvl w:ilvl="1">
      <w:lvlJc w:val="left"/>
      <w:lvlText w:val="(%2)"/>
      <w:numFmt w:val="lowerLetter"/>
      <w:start w:val="8"/>
    </w:lvl>
  </w:abstractNum>
  <w:abstractNum w:abstractNumId="8">
    <w:nsid w:val="1BEFD79F"/>
    <w:multiLevelType w:val="hybridMultilevel"/>
    <w:lvl w:ilvl="0">
      <w:lvlJc w:val="left"/>
      <w:lvlText w:val="%1."/>
      <w:numFmt w:val="decimal"/>
      <w:start w:val="4"/>
    </w:lvl>
    <w:lvl w:ilvl="1">
      <w:lvlJc w:val="left"/>
      <w:lvlText w:val="(%2)"/>
      <w:numFmt w:val="lowerLetter"/>
      <w:start w:val="1"/>
    </w:lvl>
  </w:abstractNum>
  <w:abstractNum w:abstractNumId="9">
    <w:nsid w:val="41A7C4C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0">
    <w:nsid w:val="6B68079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
    <w:nsid w:val="4E6AFB66"/>
    <w:multiLevelType w:val="hybridMultilevel"/>
    <w:lvl w:ilvl="0">
      <w:lvlJc w:val="left"/>
      <w:lvlText w:val="(%1)"/>
      <w:numFmt w:val="lowerRoman"/>
      <w:start w:val="3"/>
    </w:lvl>
  </w:abstractNum>
  <w:abstractNum w:abstractNumId="12">
    <w:nsid w:val="25E45D32"/>
    <w:multiLevelType w:val="hybridMultilevel"/>
    <w:lvl w:ilvl="0">
      <w:lvlJc w:val="left"/>
      <w:lvlText w:val="%1."/>
      <w:numFmt w:val="decimal"/>
      <w:start w:val="6"/>
    </w:lvl>
    <w:lvl w:ilvl="1">
      <w:lvlJc w:val="left"/>
      <w:lvlText w:val="(%2)"/>
      <w:numFmt w:val="lowerLetter"/>
      <w:start w:val="1"/>
    </w:lvl>
  </w:abstractNum>
  <w:abstractNum w:abstractNumId="13">
    <w:nsid w:val="519B500D"/>
    <w:multiLevelType w:val="hybridMultilevel"/>
    <w:lvl w:ilvl="0">
      <w:lvlJc w:val="left"/>
      <w:lvlText w:val="%1"/>
      <w:numFmt w:val="decimal"/>
      <w:start w:val="1"/>
    </w:lvl>
    <w:lvl w:ilvl="1">
      <w:lvlJc w:val="left"/>
      <w:lvlText w:val="(%2)"/>
      <w:numFmt w:val="lowerLetter"/>
      <w:start w:val="3"/>
    </w:lvl>
  </w:abstractNum>
  <w:abstractNum w:abstractNumId="14">
    <w:nsid w:val="431BD7B7"/>
    <w:multiLevelType w:val="hybridMultilevel"/>
    <w:lvl w:ilvl="0">
      <w:lvlJc w:val="left"/>
      <w:lvlText w:val="%1."/>
      <w:numFmt w:val="decimal"/>
      <w:start w:val="7"/>
    </w:lvl>
    <w:lvl w:ilvl="1">
      <w:lvlJc w:val="left"/>
      <w:lvlText w:val="(%2)"/>
      <w:numFmt w:val="lowerLetter"/>
      <w:start w:val="1"/>
    </w:lvl>
  </w:abstractNum>
  <w:abstractNum w:abstractNumId="15">
    <w:nsid w:val="3F2DBA31"/>
    <w:multiLevelType w:val="hybridMultilevel"/>
    <w:lvl w:ilvl="0">
      <w:lvlJc w:val="left"/>
      <w:lvlText w:val="%1"/>
      <w:numFmt w:val="decimal"/>
      <w:start w:val="1"/>
    </w:lvl>
    <w:lvl w:ilvl="1">
      <w:lvlJc w:val="left"/>
      <w:lvlText w:val="(%2)"/>
      <w:numFmt w:val="lowerLetter"/>
      <w:start w:val="3"/>
    </w:lvl>
  </w:abstractNum>
  <w:abstractNum w:abstractNumId="16">
    <w:nsid w:val="7C83E458"/>
    <w:multiLevelType w:val="hybridMultilevel"/>
    <w:lvl w:ilvl="0">
      <w:lvlJc w:val="left"/>
      <w:lvlText w:val="%1."/>
      <w:numFmt w:val="decimal"/>
      <w:start w:val="8"/>
    </w:lvl>
    <w:lvl w:ilvl="1">
      <w:lvlJc w:val="left"/>
      <w:lvlText w:val="(%2)"/>
      <w:numFmt w:val="lowerLetter"/>
      <w:start w:val="1"/>
    </w:lvl>
  </w:abstractNum>
  <w:abstractNum w:abstractNumId="17">
    <w:nsid w:val="257130A3"/>
    <w:multiLevelType w:val="hybridMultilevel"/>
    <w:lvl w:ilvl="0">
      <w:lvlJc w:val="left"/>
      <w:lvlText w:val="(%1)"/>
      <w:numFmt w:val="lowerLetter"/>
      <w:start w:val="4"/>
    </w:lvl>
  </w:abstractNum>
  <w:abstractNum w:abstractNumId="18">
    <w:nsid w:val="62BBD95A"/>
    <w:multiLevelType w:val="hybridMultilevel"/>
    <w:lvl w:ilvl="0">
      <w:lvlJc w:val="left"/>
      <w:lvlText w:val="%1"/>
      <w:numFmt w:val="decimal"/>
      <w:start w:val="1"/>
    </w:lvl>
    <w:lvl w:ilvl="1">
      <w:lvlJc w:val="left"/>
      <w:lvlText w:val="(%2)"/>
      <w:numFmt w:val="lowerLetter"/>
      <w:start w:val="11"/>
    </w:lvl>
  </w:abstractNum>
  <w:abstractNum w:abstractNumId="19">
    <w:nsid w:val="436C6125"/>
    <w:multiLevelType w:val="hybridMultilevel"/>
    <w:lvl w:ilvl="0">
      <w:lvlJc w:val="left"/>
      <w:lvlText w:val="%1."/>
      <w:numFmt w:val="decimal"/>
      <w:start w:val="9"/>
    </w:lvl>
    <w:lvl w:ilvl="1">
      <w:lvlJc w:val="left"/>
      <w:lvlText w:val="(%2)"/>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2022-08-09T19:40:09Z</dcterms:created>
  <dcterms:modified xsi:type="dcterms:W3CDTF">2022-08-09T19:40:09Z</dcterms:modified>
</cp:coreProperties>
</file>